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>
      <w:pPr>
        <w:pStyle w:val="Heading1"/>
        <w:spacing w:before="0" w:after="80"/>
      </w:pPr>
      <w:r>
        <w:t>Start Here</w:t>
      </w:r>
    </w:p>
    <w:p>
      <w:pPr>
        <w:spacing w:after="140"/>
      </w:pPr>
      <w:r>
        <w:rPr>
          <w:color w:val="504655"/>
          <w:sz w:val="20"/>
        </w:rPr>
        <w:t>Two ways to review the Glyph Systems Logic Engine portfolio.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6768"/>
      </w:tblGrid>
      <w:tr>
        <w:trPr>
          <w:cantSplit/>
        </w:trPr>
        <w:tc>
          <w:tcPr>
            <w:tcW w:type="dxa" w:w="7085"/>
            <w:shd w:fill="F6F2F7"/>
            <w:tcBorders>
              <w:top w:val="single" w:sz="10" w:color="00EAF2"/>
              <w:bottom w:val="single" w:sz="10" w:color="00EAF2"/>
              <w:left w:val="single" w:sz="10" w:color="00EAF2"/>
              <w:right w:val="single" w:sz="10" w:color="00EAF2"/>
            </w:tcBorders>
          </w:tcPr>
          <w:p>
            <w:r>
              <w:rPr>
                <w:b/>
                <w:color w:val="00EAF2"/>
                <w:sz w:val="28"/>
              </w:rPr>
              <w:t>GUIDED BROWSER VIEW</w:t>
            </w:r>
          </w:p>
          <w:p>
            <w:pPr>
              <w:spacing w:before="160"/>
            </w:pPr>
            <w:r>
              <w:rPr>
                <w:sz w:val="20"/>
              </w:rPr>
              <w:t>Open the Glyph_Systems_Interactive_Portfolio_Demo folder and double-click OPEN_PORTFOLIO.bat.</w:t>
              <w:br/>
              <w:br/>
              <w:t>This opens the complete presentation in a browser with the documents and evidence arranged in order.</w:t>
            </w:r>
          </w:p>
        </w:tc>
        <w:tc>
          <w:tcPr>
            <w:tcW w:type="dxa" w:w="7085"/>
            <w:shd w:fill="F6F2F7"/>
            <w:tcBorders>
              <w:top w:val="single" w:sz="10" w:color="C23A82"/>
              <w:bottom w:val="single" w:sz="10" w:color="C23A82"/>
              <w:left w:val="single" w:sz="10" w:color="C23A82"/>
              <w:right w:val="single" w:sz="10" w:color="C23A82"/>
            </w:tcBorders>
          </w:tcPr>
          <w:p>
            <w:r>
              <w:rPr>
                <w:b/>
                <w:color w:val="C23A82"/>
                <w:sz w:val="28"/>
              </w:rPr>
              <w:t>MANUAL FOLDER VIEW</w:t>
            </w:r>
          </w:p>
          <w:p>
            <w:pPr>
              <w:spacing w:before="160"/>
            </w:pPr>
            <w:r>
              <w:rPr>
                <w:sz w:val="20"/>
              </w:rPr>
              <w:t>Open the seven Word documents at the top level, then use the HTML Files, PROGRAMS DOC INFO, Screen Shots, and Screen Recording folders.</w:t>
              <w:br/>
              <w:br/>
              <w:t>Each evidence folder contains its own detailed reading guide.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68"/>
      </w:tblGrid>
      <w:tr>
        <w:trPr>
          <w:cantSplit/>
        </w:trPr>
        <w:tc>
          <w:tcPr>
            <w:tcW w:type="dxa" w:w="14170"/>
            <w:shd w:fill="F3F0F5"/>
            <w:tcBorders>
              <w:left w:val="single" w:sz="22" w:color="FFF200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b/>
                <w:color w:val="28232D"/>
                <w:sz w:val="19"/>
              </w:rPr>
              <w:t>Recommended folder name: GLYPH_SYSTEMS_LOGIC_ENGINE_PORTFOLIO. Keep this README at the top level and name it 00_READ_ME_FIRST so it sorts first.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424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lder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2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0" w:after="80"/>
      </w:pPr>
      <w:r>
        <w:t>What Is in the Folder</w:t>
      </w:r>
    </w:p>
    <w:p>
      <w:pPr>
        <w:spacing w:after="140"/>
      </w:pPr>
      <w:r>
        <w:rPr>
          <w:color w:val="504655"/>
          <w:sz w:val="20"/>
        </w:rPr>
        <w:t>The folder is organized from presentation material into increasingly detailed evidence.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9288"/>
      </w:tblGrid>
      <w:tr>
        <w:trPr>
          <w:cantSplit/>
        </w:trPr>
        <w:tc>
          <w:tcPr>
            <w:tcW w:type="dxa" w:w="7085"/>
            <w:shd w:fill="050107"/>
          </w:tcPr>
          <w:p>
            <w:r>
              <w:rPr>
                <w:b/>
                <w:color w:val="FFF200"/>
                <w:sz w:val="18"/>
              </w:rPr>
              <w:t>Folder or section</w:t>
            </w:r>
          </w:p>
        </w:tc>
        <w:tc>
          <w:tcPr>
            <w:tcW w:type="dxa" w:w="7085"/>
            <w:shd w:fill="050107"/>
          </w:tcPr>
          <w:p>
            <w:r>
              <w:rPr>
                <w:b/>
                <w:color w:val="FFF200"/>
                <w:sz w:val="18"/>
              </w:rPr>
              <w:t>What it contains</w:t>
            </w:r>
          </w:p>
        </w:tc>
      </w:tr>
      <w:tr>
        <w:trPr>
          <w:cantSplit/>
        </w:trPr>
        <w:tc>
          <w:tcPr>
            <w:tcW w:type="dxa" w:w="4392"/>
          </w:tcPr>
          <w:p>
            <w:r>
              <w:rPr>
                <w:b/>
                <w:color w:val="008C96"/>
                <w:sz w:val="18"/>
              </w:rPr>
              <w:t>Seven Core Documents</w:t>
            </w:r>
          </w:p>
        </w:tc>
        <w:tc>
          <w:tcPr>
            <w:tcW w:type="dxa" w:w="9288"/>
          </w:tcPr>
          <w:p>
            <w:r>
              <w:rPr>
                <w:sz w:val="18"/>
              </w:rPr>
              <w:t>The main product, business, funding, evidence, revenue-path, data-origin, and progressive-pitch documents. These are the core presentation records.</w:t>
            </w:r>
          </w:p>
        </w:tc>
      </w:tr>
      <w:tr>
        <w:trPr>
          <w:cantSplit/>
        </w:trPr>
        <w:tc>
          <w:tcPr>
            <w:tcW w:type="dxa" w:w="4392"/>
          </w:tcPr>
          <w:p>
            <w:r>
              <w:rPr>
                <w:b/>
                <w:color w:val="008C96"/>
                <w:sz w:val="18"/>
              </w:rPr>
              <w:t>Glyph_Systems_Interactive_Portfolio_Demo</w:t>
            </w:r>
          </w:p>
        </w:tc>
        <w:tc>
          <w:tcPr>
            <w:tcW w:type="dxa" w:w="9288"/>
          </w:tcPr>
          <w:p>
            <w:r>
              <w:rPr>
                <w:sz w:val="18"/>
              </w:rPr>
              <w:t>The browser program. Open OPEN_PORTFOLIO.bat on Windows, or open index.html directly. It contains browser-ready copies of the portfolio materials.</w:t>
            </w:r>
          </w:p>
        </w:tc>
      </w:tr>
      <w:tr>
        <w:trPr>
          <w:cantSplit/>
        </w:trPr>
        <w:tc>
          <w:tcPr>
            <w:tcW w:type="dxa" w:w="4392"/>
          </w:tcPr>
          <w:p>
            <w:r>
              <w:rPr>
                <w:b/>
                <w:color w:val="008C96"/>
                <w:sz w:val="18"/>
              </w:rPr>
              <w:t>HTML Files</w:t>
            </w:r>
          </w:p>
        </w:tc>
        <w:tc>
          <w:tcPr>
            <w:tcW w:type="dxa" w:w="9288"/>
          </w:tcPr>
          <w:p>
            <w:r>
              <w:rPr>
                <w:sz w:val="18"/>
              </w:rPr>
              <w:t>Nine human-readable program reports. Open READ_ME_HTML_EVIDENCE_FOLDER.docx before reviewing them manually.</w:t>
            </w:r>
          </w:p>
        </w:tc>
      </w:tr>
      <w:tr>
        <w:trPr>
          <w:cantSplit/>
        </w:trPr>
        <w:tc>
          <w:tcPr>
            <w:tcW w:type="dxa" w:w="4392"/>
          </w:tcPr>
          <w:p>
            <w:r>
              <w:rPr>
                <w:b/>
                <w:color w:val="008C96"/>
                <w:sz w:val="18"/>
              </w:rPr>
              <w:t>PROGRAMS DOC INFO</w:t>
            </w:r>
          </w:p>
        </w:tc>
        <w:tc>
          <w:tcPr>
            <w:tcW w:type="dxa" w:w="9288"/>
          </w:tcPr>
          <w:p>
            <w:r>
              <w:rPr>
                <w:sz w:val="18"/>
              </w:rPr>
              <w:t>The deeper technical evidence packages: run-log JSON files, manifests, hashes, and frozen public-input snapshots. Open READ_ME_PROGRAM_EVIDENCE_FOLDER.docx first.</w:t>
            </w:r>
          </w:p>
        </w:tc>
      </w:tr>
      <w:tr>
        <w:trPr>
          <w:cantSplit/>
        </w:trPr>
        <w:tc>
          <w:tcPr>
            <w:tcW w:type="dxa" w:w="4392"/>
          </w:tcPr>
          <w:p>
            <w:r>
              <w:rPr>
                <w:b/>
                <w:color w:val="008C96"/>
                <w:sz w:val="18"/>
              </w:rPr>
              <w:t>Screen Shots</w:t>
            </w:r>
          </w:p>
        </w:tc>
        <w:tc>
          <w:tcPr>
            <w:tcW w:type="dxa" w:w="9288"/>
          </w:tcPr>
          <w:p>
            <w:r>
              <w:rPr>
                <w:sz w:val="18"/>
              </w:rPr>
              <w:t>Fifteen visual milestone images and the detailed Screenshot Folder Technical Guide.</w:t>
            </w:r>
          </w:p>
        </w:tc>
      </w:tr>
      <w:tr>
        <w:trPr>
          <w:cantSplit/>
        </w:trPr>
        <w:tc>
          <w:tcPr>
            <w:tcW w:type="dxa" w:w="4392"/>
          </w:tcPr>
          <w:p>
            <w:r>
              <w:rPr>
                <w:b/>
                <w:color w:val="008C96"/>
                <w:sz w:val="18"/>
              </w:rPr>
              <w:t>Screen Recording</w:t>
            </w:r>
          </w:p>
        </w:tc>
        <w:tc>
          <w:tcPr>
            <w:tcW w:type="dxa" w:w="9288"/>
          </w:tcPr>
          <w:p>
            <w:r>
              <w:rPr>
                <w:sz w:val="18"/>
              </w:rPr>
              <w:t>Two local video records and the guide containing the full twelve-hour Program 35 YouTube record.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68"/>
      </w:tblGrid>
      <w:tr>
        <w:trPr>
          <w:cantSplit/>
        </w:trPr>
        <w:tc>
          <w:tcPr>
            <w:tcW w:type="dxa" w:w="14170"/>
            <w:shd w:fill="F3F0F5"/>
            <w:tcBorders>
              <w:left w:val="single" w:sz="22" w:color="C23A82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b/>
                <w:color w:val="28232D"/>
                <w:sz w:val="19"/>
              </w:rPr>
              <w:t>Programs 41 and 42 are continuing live runs. Their twelve-hour milestone reports are valid contained evidence. The separate zero-round files are startup/preflight records only.</w:t>
            </w:r>
          </w:p>
        </w:tc>
      </w:tr>
    </w:tbl>
    <w:p>
      <w:r>
        <w:br w:type="page"/>
      </w:r>
    </w:p>
    <w:p>
      <w:pPr>
        <w:pStyle w:val="Heading1"/>
        <w:spacing w:before="0" w:after="80"/>
      </w:pPr>
      <w:r>
        <w:t>Recommended Review Order</w:t>
      </w:r>
    </w:p>
    <w:p>
      <w:pPr>
        <w:spacing w:after="140"/>
      </w:pPr>
      <w:r>
        <w:rPr>
          <w:color w:val="504655"/>
          <w:sz w:val="20"/>
        </w:rPr>
        <w:t>A simple route for investors, business reviewers, or technical evaluators.</w:t>
      </w:r>
    </w:p>
    <w:p>
      <w:pPr>
        <w:pStyle w:val="ListBullet"/>
        <w:spacing w:after="60"/>
        <w:ind w:left="360"/>
      </w:pPr>
      <w:r>
        <w:rPr>
          <w:sz w:val="19"/>
        </w:rPr>
        <w:t>1. Open the Progressive Pitch Script and choose the amount of time available: 10 seconds, 90 seconds, five minutes, or ten minutes.</w:t>
      </w:r>
    </w:p>
    <w:p>
      <w:pPr>
        <w:pStyle w:val="ListBullet"/>
        <w:spacing w:after="60"/>
        <w:ind w:left="360"/>
      </w:pPr>
      <w:r>
        <w:rPr>
          <w:sz w:val="19"/>
        </w:rPr>
        <w:t>2. Read What Is Logic Engine? and How Logic Engine Makes Money.</w:t>
      </w:r>
    </w:p>
    <w:p>
      <w:pPr>
        <w:pStyle w:val="ListBullet"/>
        <w:spacing w:after="60"/>
        <w:ind w:left="360"/>
      </w:pPr>
      <w:r>
        <w:rPr>
          <w:sz w:val="19"/>
        </w:rPr>
        <w:t>3. Read Data Origin and Reproducibility and the Test Screenshot Evidence document.</w:t>
      </w:r>
    </w:p>
    <w:p>
      <w:pPr>
        <w:pStyle w:val="ListBullet"/>
        <w:spacing w:after="60"/>
        <w:ind w:left="360"/>
      </w:pPr>
      <w:r>
        <w:rPr>
          <w:sz w:val="19"/>
        </w:rPr>
        <w:t>4. Read From Investment to First Commercial Revenue and the Commercialization Funding Plan.</w:t>
      </w:r>
    </w:p>
    <w:p>
      <w:pPr>
        <w:pStyle w:val="ListBullet"/>
        <w:spacing w:after="60"/>
        <w:ind w:left="360"/>
      </w:pPr>
      <w:r>
        <w:rPr>
          <w:sz w:val="19"/>
        </w:rPr>
        <w:t>5. Open the interactive portfolio or review the HTML evidence reports manually.</w:t>
      </w:r>
    </w:p>
    <w:p>
      <w:pPr>
        <w:pStyle w:val="ListBullet"/>
        <w:spacing w:after="60"/>
        <w:ind w:left="360"/>
      </w:pPr>
      <w:r>
        <w:rPr>
          <w:sz w:val="19"/>
        </w:rPr>
        <w:t>6. Use the screenshot and video folders for visual continuity.</w:t>
      </w:r>
    </w:p>
    <w:p>
      <w:pPr>
        <w:pStyle w:val="ListBullet"/>
        <w:spacing w:after="60"/>
        <w:ind w:left="360"/>
      </w:pPr>
      <w:r>
        <w:rPr>
          <w:sz w:val="19"/>
        </w:rPr>
        <w:t>7. Use PROGRAMS DOC INFO only when deeper technical verification is needed.</w:t>
      </w:r>
    </w:p>
    <w:p/>
    <w:p>
      <w:pPr>
        <w:pStyle w:val="Heading2"/>
      </w:pPr>
      <w:r>
        <w:t>Important evidence boundary</w:t>
      </w:r>
    </w:p>
    <w:p>
      <w:r>
        <w:t>The portfolio documents controlled matched testing, long-duration continuity, and modeled operational-recovery differences. Modeled values are not realized customer revenue or guaranteed future savings. The next commercial gate is independent technical review and an authorized read-only customer shadow pilot using pre-agreed measurement rules.</w:t>
      </w:r>
    </w:p>
    <w:p/>
    <w:p>
      <w:pPr>
        <w:pStyle w:val="Heading2"/>
      </w:pPr>
      <w:r>
        <w:t>Before uploading to GitHub</w:t>
      </w:r>
    </w:p>
    <w:p>
      <w:pPr>
        <w:pStyle w:val="ListBullet"/>
        <w:spacing w:after="60"/>
        <w:ind w:left="360"/>
      </w:pPr>
      <w:r>
        <w:rPr>
          <w:sz w:val="19"/>
        </w:rPr>
        <w:t>Keep the current original evidence files unchanged.</w:t>
      </w:r>
    </w:p>
    <w:p>
      <w:pPr>
        <w:pStyle w:val="ListBullet"/>
        <w:spacing w:after="60"/>
        <w:ind w:left="360"/>
      </w:pPr>
      <w:r>
        <w:rPr>
          <w:sz w:val="19"/>
        </w:rPr>
        <w:t>Do not rename files inside the interactive program until its file references are updated.</w:t>
      </w:r>
    </w:p>
    <w:p>
      <w:pPr>
        <w:pStyle w:val="ListBullet"/>
        <w:spacing w:after="60"/>
        <w:ind w:left="360"/>
      </w:pPr>
      <w:r>
        <w:rPr>
          <w:sz w:val="19"/>
        </w:rPr>
        <w:t>Keep public materials separate from private source code and protected internal architecture.</w:t>
      </w:r>
    </w:p>
    <w:p>
      <w:pPr>
        <w:pStyle w:val="ListBullet"/>
        <w:spacing w:after="60"/>
        <w:ind w:left="360"/>
      </w:pPr>
      <w:r>
        <w:rPr>
          <w:sz w:val="19"/>
        </w:rPr>
        <w:t>Confirm that the README, browser program, seven core documents, and each evidence-folder guide open correctly.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68"/>
      </w:tblGrid>
      <w:tr>
        <w:trPr>
          <w:cantSplit/>
        </w:trPr>
        <w:tc>
          <w:tcPr>
            <w:tcW w:type="dxa" w:w="14170"/>
            <w:shd w:fill="F3F0F5"/>
            <w:tcBorders>
              <w:left w:val="single" w:sz="22" w:color="00EAF2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b/>
                <w:color w:val="28232D"/>
                <w:sz w:val="19"/>
              </w:rPr>
              <w:t>This README is the first file a reviewer should open. It gives the route through the portfolio without forcing anyone to understand the full technical archive immediately.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5840" w:h="12240" w:orient="landscape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1" w:color="00D2DC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1F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B9C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23A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Glyph Systems Logic Engine Portfolio - Start Here</dc:title>
  <dc:subject>Simple navigation guide for the complete portfolio folder</dc:subject>
  <dc:creator>Glyph Systems</dc:creator>
  <cp:keywords>Glyph Systems, Logic Engine, README, portfolio, start here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