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0"/>
          <w:footerReference w:type="default" r:id="rId11"/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>
      <w:pPr>
        <w:pStyle w:val="Heading1"/>
        <w:spacing w:before="0" w:after="80"/>
      </w:pPr>
      <w:r>
        <w:t>Program Evidence Folder — Technical Overview</w:t>
      </w:r>
    </w:p>
    <w:p>
      <w:pPr>
        <w:spacing w:after="160"/>
      </w:pPr>
      <w:r>
        <w:rPr>
          <w:color w:val="504655"/>
          <w:sz w:val="20"/>
        </w:rPr>
        <w:t>What is inside PROGRAMS DOC INFO, how the files relate, and which records are final, milestone, or startup-only.</w:t>
      </w:r>
    </w:p>
    <w:p>
      <w:r>
        <w:rPr>
          <w:b/>
        </w:rPr>
        <w:t xml:space="preserve">Purpose. </w:t>
      </w:r>
      <w:r>
        <w:t>This document is the standalone reading guide for the program evidence folder. It allows a reviewer to understand the directory without opening the interactive portfolio and establishes a clean path from human-readable reports to machine-readable evidence.</w:t>
      </w:r>
    </w:p>
    <w:p>
      <w:r>
        <w:rPr>
          <w:b/>
        </w:rPr>
        <w:t xml:space="preserve">Package summary. </w:t>
      </w:r>
      <w:r>
        <w:t>The folder contains 7 run directories, 28 files, and approximately 141.7 MB of preserved evidence. Programs 36, 38, and 40 contain both twelve-hour milestone exports and completed long-duration final exports. Programs 41 and 42 contain valid twelve-hour milestone records for continuing live runs, plus separate startup/preflight exports that ended before a completed round.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8869680" cy="54427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lder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44275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2"/>
      </w:tblGrid>
      <w:tr>
        <w:trPr>
          <w:cantSplit/>
        </w:trPr>
        <w:tc>
          <w:tcPr>
            <w:tcW w:type="dxa" w:w="14256"/>
            <w:shd w:fill="F3F0F5"/>
            <w:tcBorders>
              <w:left w:val="single" w:sz="22" w:color="FFF200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b/>
                <w:color w:val="28232D"/>
                <w:sz w:val="18"/>
              </w:rPr>
              <w:t>This is an evidence package, not a source-code repository. The proprietary program source is intentionally excluded while source hashes and evidence hashes are preserved.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 w:after="80"/>
      </w:pPr>
      <w:r>
        <w:t>1. How the Files Work Together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8869680" cy="34269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_ro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3426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The folder is designed for layered review:</w:t>
      </w:r>
    </w:p>
    <w:p>
      <w:pPr>
        <w:pStyle w:val="ListBullet"/>
        <w:spacing w:after="40"/>
        <w:ind w:left="360"/>
      </w:pPr>
      <w:r>
        <w:rPr>
          <w:sz w:val="18"/>
        </w:rPr>
        <w:t>Investor Evidence HTML is the first reading layer: executive result, charts, distribution, controller comparison, evidence boundary, and interpretation.</w:t>
      </w:r>
    </w:p>
    <w:p>
      <w:pPr>
        <w:pStyle w:val="ListBullet"/>
        <w:spacing w:after="40"/>
        <w:ind w:left="360"/>
      </w:pPr>
      <w:r>
        <w:rPr>
          <w:sz w:val="18"/>
        </w:rPr>
        <w:t>Run Logs JSON is the technical layer: complete rounds, event logs, profile schedules, cost coefficients, configurations, source hashes, evidence payload hashes, and export metadata.</w:t>
      </w:r>
    </w:p>
    <w:p>
      <w:pPr>
        <w:pStyle w:val="ListBullet"/>
        <w:spacing w:after="40"/>
        <w:ind w:left="360"/>
      </w:pPr>
      <w:r>
        <w:rPr>
          <w:sz w:val="18"/>
        </w:rPr>
        <w:t>Package Manifest JSON is the integrity layer: program identity, version, master seed, source-code inclusion status, source SHA-256, and a SHA-256 map for every packaged evidence file.</w:t>
      </w:r>
    </w:p>
    <w:p>
      <w:pPr>
        <w:pStyle w:val="ListBullet"/>
        <w:spacing w:after="40"/>
        <w:ind w:left="360"/>
      </w:pPr>
      <w:r>
        <w:rPr>
          <w:sz w:val="18"/>
        </w:rPr>
        <w:t>Public Incident Snapshot JSON is the external-input layer for public-incident-driven programs. It freezes the provider records and schedule used by the run.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2"/>
      </w:tblGrid>
      <w:tr>
        <w:trPr>
          <w:cantSplit/>
        </w:trPr>
        <w:tc>
          <w:tcPr>
            <w:tcW w:type="dxa" w:w="14256"/>
            <w:shd w:fill="F3F0F5"/>
            <w:tcBorders>
              <w:left w:val="single" w:sz="22" w:color="FFF200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b/>
                <w:color w:val="28232D"/>
                <w:sz w:val="18"/>
              </w:rPr>
              <w:t>Paired HTML and RUN_LOGS files describe the same export moment. A twelve-hour milestone and a later final export are separate preserved records, not replacements for one another.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 w:after="80"/>
      </w:pPr>
      <w:r>
        <w:t>2. Folder and Filename Anatomy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9216"/>
      </w:tblGrid>
      <w:tr>
        <w:trPr>
          <w:cantSplit/>
        </w:trPr>
        <w:tc>
          <w:tcPr>
            <w:tcW w:type="dxa" w:w="7128"/>
            <w:shd w:fill="050107"/>
          </w:tcPr>
          <w:p>
            <w:r>
              <w:rPr>
                <w:b/>
                <w:color w:val="FFF200"/>
                <w:sz w:val="17"/>
              </w:rPr>
              <w:t>Element</w:t>
            </w:r>
          </w:p>
        </w:tc>
        <w:tc>
          <w:tcPr>
            <w:tcW w:type="dxa" w:w="7128"/>
            <w:shd w:fill="050107"/>
          </w:tcPr>
          <w:p>
            <w:r>
              <w:rPr>
                <w:b/>
                <w:color w:val="FFF200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Consolas" w:hAnsi="Consolas"/>
                <w:sz w:val="16"/>
              </w:rPr>
              <w:t>PROGRAM_36</w:t>
            </w:r>
          </w:p>
        </w:tc>
        <w:tc>
          <w:tcPr>
            <w:tcW w:type="dxa" w:w="9216"/>
          </w:tcPr>
          <w:p>
            <w:r>
              <w:rPr>
                <w:sz w:val="17"/>
              </w:rPr>
              <w:t>Program family and test lane.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Consolas" w:hAnsi="Consolas"/>
                <w:sz w:val="16"/>
              </w:rPr>
              <w:t>RUN_20260714-163251</w:t>
            </w:r>
          </w:p>
        </w:tc>
        <w:tc>
          <w:tcPr>
            <w:tcW w:type="dxa" w:w="9216"/>
          </w:tcPr>
          <w:p>
            <w:r>
              <w:rPr>
                <w:sz w:val="17"/>
              </w:rPr>
              <w:t>Run creation date and time component.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Consolas" w:hAnsi="Consolas"/>
                <w:sz w:val="16"/>
              </w:rPr>
              <w:t>14b41334946e2bae</w:t>
            </w:r>
          </w:p>
        </w:tc>
        <w:tc>
          <w:tcPr>
            <w:tcW w:type="dxa" w:w="9216"/>
          </w:tcPr>
          <w:p>
            <w:r>
              <w:rPr>
                <w:sz w:val="17"/>
              </w:rPr>
              <w:t>Unique seed/run suffix used to distinguish one execution from another.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Consolas" w:hAnsi="Consolas"/>
                <w:sz w:val="16"/>
              </w:rPr>
              <w:t>12H_MILESTONE</w:t>
            </w:r>
          </w:p>
        </w:tc>
        <w:tc>
          <w:tcPr>
            <w:tcW w:type="dxa" w:w="9216"/>
          </w:tcPr>
          <w:p>
            <w:r>
              <w:rPr>
                <w:sz w:val="17"/>
              </w:rPr>
              <w:t>Export created when the predeclared twelve-hour / 72-round minimum was reached.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Consolas" w:hAnsi="Consolas"/>
                <w:sz w:val="16"/>
              </w:rPr>
              <w:t>FINAL</w:t>
            </w:r>
          </w:p>
        </w:tc>
        <w:tc>
          <w:tcPr>
            <w:tcW w:type="dxa" w:w="9216"/>
          </w:tcPr>
          <w:p>
            <w:r>
              <w:rPr>
                <w:sz w:val="17"/>
              </w:rPr>
              <w:t>Operator-stopped closeout export. Always check runtime, completed rounds, and minimum_reached; “FINAL” does not automatically mean the minimum was completed.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Consolas" w:hAnsi="Consolas"/>
                <w:sz w:val="16"/>
              </w:rPr>
              <w:t>INVESTOR_EVIDENCE.html</w:t>
            </w:r>
          </w:p>
        </w:tc>
        <w:tc>
          <w:tcPr>
            <w:tcW w:type="dxa" w:w="9216"/>
          </w:tcPr>
          <w:p>
            <w:r>
              <w:rPr>
                <w:sz w:val="17"/>
              </w:rPr>
              <w:t>Human-readable browser report.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Consolas" w:hAnsi="Consolas"/>
                <w:sz w:val="16"/>
              </w:rPr>
              <w:t>RUN_LOGS.json</w:t>
            </w:r>
          </w:p>
        </w:tc>
        <w:tc>
          <w:tcPr>
            <w:tcW w:type="dxa" w:w="9216"/>
          </w:tcPr>
          <w:p>
            <w:r>
              <w:rPr>
                <w:sz w:val="17"/>
              </w:rPr>
              <w:t>Machine-readable evidence record.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Consolas" w:hAnsi="Consolas"/>
                <w:sz w:val="16"/>
              </w:rPr>
              <w:t>PACKAGE_MANIFEST.json</w:t>
            </w:r>
          </w:p>
        </w:tc>
        <w:tc>
          <w:tcPr>
            <w:tcW w:type="dxa" w:w="9216"/>
          </w:tcPr>
          <w:p>
            <w:r>
              <w:rPr>
                <w:sz w:val="17"/>
              </w:rPr>
              <w:t>Cryptographic file map and package metadata.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Consolas" w:hAnsi="Consolas"/>
                <w:sz w:val="16"/>
              </w:rPr>
              <w:t>PUBLIC_INCIDENT_SNAPSHOT.json</w:t>
            </w:r>
          </w:p>
        </w:tc>
        <w:tc>
          <w:tcPr>
            <w:tcW w:type="dxa" w:w="9216"/>
          </w:tcPr>
          <w:p>
            <w:r>
              <w:rPr>
                <w:sz w:val="17"/>
              </w:rPr>
              <w:t>Frozen public incident input record used by Programs 40 and 42.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2"/>
      </w:tblGrid>
      <w:tr>
        <w:trPr>
          <w:cantSplit/>
        </w:trPr>
        <w:tc>
          <w:tcPr>
            <w:tcW w:type="dxa" w:w="14256"/>
            <w:shd w:fill="F3F0F5"/>
            <w:tcBorders>
              <w:left w:val="single" w:sz="22" w:color="FFF200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b/>
                <w:color w:val="28232D"/>
                <w:sz w:val="18"/>
              </w:rPr>
              <w:t>Critical rule: use runtime and completed-round count to classify an export. The two startup/preflight “FINAL” files have zero completed rounds and must not be presented as long-horizon outcome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 w:after="80"/>
      </w:pPr>
      <w:r>
        <w:t>3. Program Status Map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8823960" cy="41713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s_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171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Programs 41 and 42 have two separate run IDs because a short startup execution and the continuing long-duration execution were different runs. The startup records remain useful as preflight history, but the twelve-hour milestone folders carry the meaningful contained evidence. The later witnessed shutdown and final exports for the continuing runs are not yet present in this package.</w:t>
      </w:r>
    </w:p>
    <w:p>
      <w:r>
        <w:br w:type="page"/>
      </w:r>
    </w:p>
    <w:p>
      <w:pPr>
        <w:pStyle w:val="Heading1"/>
        <w:spacing w:before="0" w:after="80"/>
      </w:pPr>
      <w:r>
        <w:t>4. Program 36 — Small Payment Processor Continuous Run</w:t>
      </w:r>
    </w:p>
    <w:p>
      <w:r>
        <w:t>Program 36 models a conservative small-payment-processor environment. The folder preserves a twelve-hour milestone and a later operator-stopped final export from the same master seed.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2448"/>
        <w:gridCol w:w="2160"/>
        <w:gridCol w:w="2160"/>
        <w:gridCol w:w="5040"/>
      </w:tblGrid>
      <w:tr>
        <w:trPr>
          <w:cantSplit/>
        </w:trPr>
        <w:tc>
          <w:tcPr>
            <w:tcW w:type="dxa" w:w="2851"/>
            <w:shd w:fill="050107"/>
          </w:tcPr>
          <w:p>
            <w:r>
              <w:rPr>
                <w:b/>
                <w:color w:val="00EAF2"/>
                <w:sz w:val="17"/>
              </w:rPr>
              <w:t>Export</w:t>
            </w:r>
          </w:p>
        </w:tc>
        <w:tc>
          <w:tcPr>
            <w:tcW w:type="dxa" w:w="2851"/>
            <w:shd w:fill="050107"/>
          </w:tcPr>
          <w:p>
            <w:r>
              <w:rPr>
                <w:b/>
                <w:color w:val="00EAF2"/>
                <w:sz w:val="17"/>
              </w:rPr>
              <w:t>Runtime</w:t>
            </w:r>
          </w:p>
        </w:tc>
        <w:tc>
          <w:tcPr>
            <w:tcW w:type="dxa" w:w="2851"/>
            <w:shd w:fill="050107"/>
          </w:tcPr>
          <w:p>
            <w:r>
              <w:rPr>
                <w:b/>
                <w:color w:val="00EAF2"/>
                <w:sz w:val="17"/>
              </w:rPr>
              <w:t>Rate</w:t>
            </w:r>
          </w:p>
        </w:tc>
        <w:tc>
          <w:tcPr>
            <w:tcW w:type="dxa" w:w="2851"/>
            <w:shd w:fill="050107"/>
          </w:tcPr>
          <w:p>
            <w:r>
              <w:rPr>
                <w:b/>
                <w:color w:val="00EAF2"/>
                <w:sz w:val="17"/>
              </w:rPr>
              <w:t>Cumulative</w:t>
            </w:r>
          </w:p>
        </w:tc>
        <w:tc>
          <w:tcPr>
            <w:tcW w:type="dxa" w:w="2851"/>
            <w:shd w:fill="050107"/>
          </w:tcPr>
          <w:p>
            <w:r>
              <w:rPr>
                <w:b/>
                <w:color w:val="00EAF2"/>
                <w:sz w:val="17"/>
              </w:rPr>
              <w:t>Interpretation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t>12H milestone</w:t>
            </w:r>
          </w:p>
        </w:tc>
        <w:tc>
          <w:tcPr>
            <w:tcW w:type="dxa" w:w="2448"/>
          </w:tcPr>
          <w:p>
            <w:r>
              <w:t>12.000 h / 72 rounds</w:t>
            </w:r>
          </w:p>
        </w:tc>
        <w:tc>
          <w:tcPr>
            <w:tcW w:type="dxa" w:w="2160"/>
          </w:tcPr>
          <w:p>
            <w:r>
              <w:t>$4.0382/min</w:t>
            </w:r>
          </w:p>
        </w:tc>
        <w:tc>
          <w:tcPr>
            <w:tcW w:type="dxa" w:w="2160"/>
          </w:tcPr>
          <w:p>
            <w:r>
              <w:t>$2,907.50</w:t>
            </w:r>
          </w:p>
        </w:tc>
        <w:tc>
          <w:tcPr>
            <w:tcW w:type="dxa" w:w="5040"/>
          </w:tcPr>
          <w:p>
            <w:r>
              <w:t>Minimum reached; early long-horizon checkpoint.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t>Final</w:t>
            </w:r>
          </w:p>
        </w:tc>
        <w:tc>
          <w:tcPr>
            <w:tcW w:type="dxa" w:w="2448"/>
          </w:tcPr>
          <w:p>
            <w:r>
              <w:t>65.058 h / 390 rounds</w:t>
            </w:r>
          </w:p>
        </w:tc>
        <w:tc>
          <w:tcPr>
            <w:tcW w:type="dxa" w:w="2160"/>
          </w:tcPr>
          <w:p>
            <w:r>
              <w:t>$4.2695/min</w:t>
            </w:r>
          </w:p>
        </w:tc>
        <w:tc>
          <w:tcPr>
            <w:tcW w:type="dxa" w:w="2160"/>
          </w:tcPr>
          <w:p>
            <w:r>
              <w:t>$16,665.69</w:t>
            </w:r>
          </w:p>
        </w:tc>
        <w:tc>
          <w:tcPr>
            <w:tcW w:type="dxa" w:w="5040"/>
          </w:tcPr>
          <w:p>
            <w:r>
              <w:t>Completed long-duration small-processor evidence. Median $0.8609/min; worst $0.0289/min.</w:t>
            </w:r>
          </w:p>
        </w:tc>
      </w:tr>
    </w:tbl>
    <w:p>
      <w:pPr>
        <w:pStyle w:val="ListBullet"/>
        <w:spacing w:after="40"/>
        <w:ind w:left="360"/>
      </w:pPr>
      <w:r>
        <w:rPr>
          <w:sz w:val="18"/>
        </w:rPr>
        <w:t>Use the final HTML for the complete long-duration executive view.</w:t>
      </w:r>
    </w:p>
    <w:p>
      <w:pPr>
        <w:pStyle w:val="ListBullet"/>
        <w:spacing w:after="40"/>
        <w:ind w:left="360"/>
      </w:pPr>
      <w:r>
        <w:rPr>
          <w:sz w:val="18"/>
        </w:rPr>
        <w:t>Use the final RUN_LOGS JSON for round-level review and exact controller totals.</w:t>
      </w:r>
    </w:p>
    <w:p>
      <w:pPr>
        <w:pStyle w:val="ListBullet"/>
        <w:spacing w:after="40"/>
        <w:ind w:left="360"/>
      </w:pPr>
      <w:r>
        <w:rPr>
          <w:sz w:val="18"/>
        </w:rPr>
        <w:t>Use the manifest to verify the milestone and final HTML/JSON hashes.</w:t>
      </w:r>
    </w:p>
    <w:p>
      <w:pPr>
        <w:pStyle w:val="ListBullet"/>
        <w:spacing w:after="40"/>
        <w:ind w:left="360"/>
      </w:pPr>
      <w:r>
        <w:rPr>
          <w:sz w:val="18"/>
        </w:rPr>
        <w:t>The dollar values are full modeled operational savings before any commercial allocation.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2"/>
      </w:tblGrid>
      <w:tr>
        <w:trPr>
          <w:cantSplit/>
        </w:trPr>
        <w:tc>
          <w:tcPr>
            <w:tcW w:type="dxa" w:w="14256"/>
            <w:shd w:fill="F3F0F5"/>
            <w:tcBorders>
              <w:left w:val="single" w:sz="22" w:color="FFF200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b/>
                <w:color w:val="28232D"/>
                <w:sz w:val="18"/>
              </w:rPr>
              <w:t>Program 36 is final controlled evidence, not realized customer revenue and not private data from a named processor.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 w:after="80"/>
      </w:pPr>
      <w:r>
        <w:t>5. Program 38 — Ordinary-Day Payment Processor Floor Run</w:t>
      </w:r>
    </w:p>
    <w:p>
      <w:r>
        <w:t>Program 38 intentionally removes burst-saturation rounds and tests the ordinary-day floor. Its purpose is to show whether the signal survives mostly low, moderate, and ordinary high conditions rather than relying on extreme incidents.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2304"/>
        <w:gridCol w:w="1944"/>
        <w:gridCol w:w="2232"/>
        <w:gridCol w:w="2088"/>
        <w:gridCol w:w="3456"/>
      </w:tblGrid>
      <w:tr>
        <w:trPr>
          <w:cantSplit/>
        </w:trPr>
        <w:tc>
          <w:tcPr>
            <w:tcW w:type="dxa" w:w="2376"/>
            <w:shd w:fill="050107"/>
          </w:tcPr>
          <w:p>
            <w:r>
              <w:rPr>
                <w:b/>
                <w:color w:val="C23A82"/>
                <w:sz w:val="17"/>
              </w:rPr>
              <w:t>Export</w:t>
            </w:r>
          </w:p>
        </w:tc>
        <w:tc>
          <w:tcPr>
            <w:tcW w:type="dxa" w:w="2376"/>
            <w:shd w:fill="050107"/>
          </w:tcPr>
          <w:p>
            <w:r>
              <w:rPr>
                <w:b/>
                <w:color w:val="C23A82"/>
                <w:sz w:val="17"/>
              </w:rPr>
              <w:t>Runtime</w:t>
            </w:r>
          </w:p>
        </w:tc>
        <w:tc>
          <w:tcPr>
            <w:tcW w:type="dxa" w:w="2376"/>
            <w:shd w:fill="050107"/>
          </w:tcPr>
          <w:p>
            <w:r>
              <w:rPr>
                <w:b/>
                <w:color w:val="C23A82"/>
                <w:sz w:val="17"/>
              </w:rPr>
              <w:t>Rate</w:t>
            </w:r>
          </w:p>
        </w:tc>
        <w:tc>
          <w:tcPr>
            <w:tcW w:type="dxa" w:w="2376"/>
            <w:shd w:fill="050107"/>
          </w:tcPr>
          <w:p>
            <w:r>
              <w:rPr>
                <w:b/>
                <w:color w:val="C23A82"/>
                <w:sz w:val="17"/>
              </w:rPr>
              <w:t>Positive</w:t>
            </w:r>
          </w:p>
        </w:tc>
        <w:tc>
          <w:tcPr>
            <w:tcW w:type="dxa" w:w="2376"/>
            <w:shd w:fill="050107"/>
          </w:tcPr>
          <w:p>
            <w:r>
              <w:rPr>
                <w:b/>
                <w:color w:val="C23A82"/>
                <w:sz w:val="17"/>
              </w:rPr>
              <w:t>Worst</w:t>
            </w:r>
          </w:p>
        </w:tc>
        <w:tc>
          <w:tcPr>
            <w:tcW w:type="dxa" w:w="2376"/>
            <w:shd w:fill="050107"/>
          </w:tcPr>
          <w:p>
            <w:r>
              <w:rPr>
                <w:b/>
                <w:color w:val="C23A82"/>
                <w:sz w:val="17"/>
              </w:rPr>
              <w:t>Interpretation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12H milestone</w:t>
            </w:r>
          </w:p>
        </w:tc>
        <w:tc>
          <w:tcPr>
            <w:tcW w:type="dxa" w:w="2304"/>
          </w:tcPr>
          <w:p>
            <w:r>
              <w:t>12.000 h / 72</w:t>
            </w:r>
          </w:p>
        </w:tc>
        <w:tc>
          <w:tcPr>
            <w:tcW w:type="dxa" w:w="1944"/>
          </w:tcPr>
          <w:p>
            <w:r>
              <w:t>$0.5099/min</w:t>
            </w:r>
          </w:p>
        </w:tc>
        <w:tc>
          <w:tcPr>
            <w:tcW w:type="dxa" w:w="2232"/>
          </w:tcPr>
          <w:p>
            <w:r>
              <w:t>71 / 72</w:t>
            </w:r>
          </w:p>
        </w:tc>
        <w:tc>
          <w:tcPr>
            <w:tcW w:type="dxa" w:w="2088"/>
          </w:tcPr>
          <w:p>
            <w:r>
              <w:t>-$0.0002/min</w:t>
            </w:r>
          </w:p>
        </w:tc>
        <w:tc>
          <w:tcPr>
            <w:tcW w:type="dxa" w:w="3456"/>
          </w:tcPr>
          <w:p>
            <w:r>
              <w:t>Ordinary-day minimum reached.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Final</w:t>
            </w:r>
          </w:p>
        </w:tc>
        <w:tc>
          <w:tcPr>
            <w:tcW w:type="dxa" w:w="2304"/>
          </w:tcPr>
          <w:p>
            <w:r>
              <w:t>154.596 h / 927</w:t>
            </w:r>
          </w:p>
        </w:tc>
        <w:tc>
          <w:tcPr>
            <w:tcW w:type="dxa" w:w="1944"/>
          </w:tcPr>
          <w:p>
            <w:r>
              <w:t>$0.4922/min</w:t>
            </w:r>
          </w:p>
        </w:tc>
        <w:tc>
          <w:tcPr>
            <w:tcW w:type="dxa" w:w="2232"/>
          </w:tcPr>
          <w:p>
            <w:r>
              <w:t>917 / 927</w:t>
            </w:r>
          </w:p>
        </w:tc>
        <w:tc>
          <w:tcPr>
            <w:tcW w:type="dxa" w:w="2088"/>
          </w:tcPr>
          <w:p>
            <w:r>
              <w:t>-$0.0003/min</w:t>
            </w:r>
          </w:p>
        </w:tc>
        <w:tc>
          <w:tcPr>
            <w:tcW w:type="dxa" w:w="3456"/>
          </w:tcPr>
          <w:p>
            <w:r>
              <w:t>Long-duration lower-bound evidence; cumulative $4,565.70.</w:t>
            </w:r>
          </w:p>
        </w:tc>
      </w:tr>
    </w:tbl>
    <w:p>
      <w:pPr>
        <w:pStyle w:val="ListBullet"/>
        <w:spacing w:after="40"/>
        <w:ind w:left="360"/>
      </w:pPr>
      <w:r>
        <w:rPr>
          <w:sz w:val="18"/>
        </w:rPr>
        <w:t>The final median was $0.3853/min and the tenth percentile was $0.0701/min.</w:t>
      </w:r>
    </w:p>
    <w:p>
      <w:pPr>
        <w:pStyle w:val="ListBullet"/>
        <w:spacing w:after="40"/>
        <w:ind w:left="360"/>
      </w:pPr>
      <w:r>
        <w:rPr>
          <w:sz w:val="18"/>
        </w:rPr>
        <w:t>The nearly zero negative worst round is preserved and should not be hidden.</w:t>
      </w:r>
    </w:p>
    <w:p>
      <w:pPr>
        <w:pStyle w:val="ListBullet"/>
        <w:spacing w:after="40"/>
        <w:ind w:left="360"/>
      </w:pPr>
      <w:r>
        <w:rPr>
          <w:sz w:val="18"/>
        </w:rPr>
        <w:t>The folder contains paired milestone and final HTML/JSON records plus a manifest.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2"/>
      </w:tblGrid>
      <w:tr>
        <w:trPr>
          <w:cantSplit/>
        </w:trPr>
        <w:tc>
          <w:tcPr>
            <w:tcW w:type="dxa" w:w="14256"/>
            <w:shd w:fill="F3F0F5"/>
            <w:tcBorders>
              <w:left w:val="single" w:sz="22" w:color="FFF200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b/>
                <w:color w:val="28232D"/>
                <w:sz w:val="18"/>
              </w:rPr>
              <w:t>Program 38 should be read as lower-bound endurance evidence, not as the highest-value lane.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 w:after="80"/>
      </w:pPr>
      <w:r>
        <w:t>6. Program 40 — Public Incident-Driven Medium Financial Run</w:t>
      </w:r>
    </w:p>
    <w:p>
      <w:r>
        <w:t>Program 40 uses a frozen snapshot of official public incident records to shape the severity schedule for a controlled medium-financial workload. The snapshot influences the run schedule; it does not reproduce provider-private traffic, losses, or recovery systems.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2376"/>
        <w:gridCol w:w="1944"/>
        <w:gridCol w:w="2088"/>
        <w:gridCol w:w="2016"/>
        <w:gridCol w:w="3600"/>
      </w:tblGrid>
      <w:tr>
        <w:trPr>
          <w:cantSplit/>
        </w:trPr>
        <w:tc>
          <w:tcPr>
            <w:tcW w:type="dxa" w:w="2376"/>
            <w:shd w:fill="050107"/>
          </w:tcPr>
          <w:p>
            <w:r>
              <w:rPr>
                <w:b/>
                <w:color w:val="FFF200"/>
                <w:sz w:val="17"/>
              </w:rPr>
              <w:t>Export</w:t>
            </w:r>
          </w:p>
        </w:tc>
        <w:tc>
          <w:tcPr>
            <w:tcW w:type="dxa" w:w="2376"/>
            <w:shd w:fill="050107"/>
          </w:tcPr>
          <w:p>
            <w:r>
              <w:rPr>
                <w:b/>
                <w:color w:val="FFF200"/>
                <w:sz w:val="17"/>
              </w:rPr>
              <w:t>Runtime</w:t>
            </w:r>
          </w:p>
        </w:tc>
        <w:tc>
          <w:tcPr>
            <w:tcW w:type="dxa" w:w="2376"/>
            <w:shd w:fill="050107"/>
          </w:tcPr>
          <w:p>
            <w:r>
              <w:rPr>
                <w:b/>
                <w:color w:val="FFF200"/>
                <w:sz w:val="17"/>
              </w:rPr>
              <w:t>Rate</w:t>
            </w:r>
          </w:p>
        </w:tc>
        <w:tc>
          <w:tcPr>
            <w:tcW w:type="dxa" w:w="2376"/>
            <w:shd w:fill="050107"/>
          </w:tcPr>
          <w:p>
            <w:r>
              <w:rPr>
                <w:b/>
                <w:color w:val="FFF200"/>
                <w:sz w:val="17"/>
              </w:rPr>
              <w:t>Positive</w:t>
            </w:r>
          </w:p>
        </w:tc>
        <w:tc>
          <w:tcPr>
            <w:tcW w:type="dxa" w:w="2376"/>
            <w:shd w:fill="050107"/>
          </w:tcPr>
          <w:p>
            <w:r>
              <w:rPr>
                <w:b/>
                <w:color w:val="FFF200"/>
                <w:sz w:val="17"/>
              </w:rPr>
              <w:t>Cumulative</w:t>
            </w:r>
          </w:p>
        </w:tc>
        <w:tc>
          <w:tcPr>
            <w:tcW w:type="dxa" w:w="2376"/>
            <w:shd w:fill="050107"/>
          </w:tcPr>
          <w:p>
            <w:r>
              <w:rPr>
                <w:b/>
                <w:color w:val="FFF200"/>
                <w:sz w:val="17"/>
              </w:rPr>
              <w:t>Interpretation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12H milestone</w:t>
            </w:r>
          </w:p>
        </w:tc>
        <w:tc>
          <w:tcPr>
            <w:tcW w:type="dxa" w:w="2376"/>
          </w:tcPr>
          <w:p>
            <w:r>
              <w:t>12.000 h / 72</w:t>
            </w:r>
          </w:p>
        </w:tc>
        <w:tc>
          <w:tcPr>
            <w:tcW w:type="dxa" w:w="1944"/>
          </w:tcPr>
          <w:p>
            <w:r>
              <w:t>$7.9580/min</w:t>
            </w:r>
          </w:p>
        </w:tc>
        <w:tc>
          <w:tcPr>
            <w:tcW w:type="dxa" w:w="2088"/>
          </w:tcPr>
          <w:p>
            <w:r>
              <w:t>71 / 72</w:t>
            </w:r>
          </w:p>
        </w:tc>
        <w:tc>
          <w:tcPr>
            <w:tcW w:type="dxa" w:w="2016"/>
          </w:tcPr>
          <w:p>
            <w:r>
              <w:t>$5,729.77</w:t>
            </w:r>
          </w:p>
        </w:tc>
        <w:tc>
          <w:tcPr>
            <w:tcW w:type="dxa" w:w="3600"/>
          </w:tcPr>
          <w:p>
            <w:r>
              <w:t>Minimum reached; public schedule frozen.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Final</w:t>
            </w:r>
          </w:p>
        </w:tc>
        <w:tc>
          <w:tcPr>
            <w:tcW w:type="dxa" w:w="2376"/>
          </w:tcPr>
          <w:p>
            <w:r>
              <w:t>150.762 h / 904</w:t>
            </w:r>
          </w:p>
        </w:tc>
        <w:tc>
          <w:tcPr>
            <w:tcW w:type="dxa" w:w="1944"/>
          </w:tcPr>
          <w:p>
            <w:r>
              <w:t>$7.6510/min</w:t>
            </w:r>
          </w:p>
        </w:tc>
        <w:tc>
          <w:tcPr>
            <w:tcW w:type="dxa" w:w="2088"/>
          </w:tcPr>
          <w:p>
            <w:r>
              <w:t>902 / 904</w:t>
            </w:r>
          </w:p>
        </w:tc>
        <w:tc>
          <w:tcPr>
            <w:tcW w:type="dxa" w:w="2016"/>
          </w:tcPr>
          <w:p>
            <w:r>
              <w:t>$69,208.45</w:t>
            </w:r>
          </w:p>
        </w:tc>
        <w:tc>
          <w:tcPr>
            <w:tcW w:type="dxa" w:w="3600"/>
          </w:tcPr>
          <w:p>
            <w:r>
              <w:t>Completed long-duration public-incident evidence.</w:t>
            </w:r>
          </w:p>
        </w:tc>
      </w:tr>
    </w:tbl>
    <w:p>
      <w:pPr>
        <w:pStyle w:val="ListBullet"/>
        <w:spacing w:after="40"/>
        <w:ind w:left="360"/>
      </w:pPr>
      <w:r>
        <w:rPr>
          <w:sz w:val="18"/>
        </w:rPr>
        <w:t>The final median was $1.9898/min and the worst round remained -$0.0442/min.</w:t>
      </w:r>
    </w:p>
    <w:p>
      <w:pPr>
        <w:pStyle w:val="ListBullet"/>
        <w:spacing w:after="40"/>
        <w:ind w:left="360"/>
      </w:pPr>
      <w:r>
        <w:rPr>
          <w:sz w:val="18"/>
        </w:rPr>
        <w:t>The PUBLIC_INCIDENT_SNAPSHOT JSON should be retained beside the report and logs.</w:t>
      </w:r>
    </w:p>
    <w:p>
      <w:pPr>
        <w:pStyle w:val="ListBullet"/>
        <w:spacing w:after="40"/>
        <w:ind w:left="360"/>
      </w:pPr>
      <w:r>
        <w:rPr>
          <w:sz w:val="18"/>
        </w:rPr>
        <w:t>The manifest hashes the milestone report, final report, both log files, and the public incident snapshot.</w:t>
      </w:r>
    </w:p>
    <w:p>
      <w:pPr>
        <w:pStyle w:val="ListBullet"/>
        <w:spacing w:after="40"/>
        <w:ind w:left="360"/>
      </w:pPr>
      <w:r>
        <w:rPr>
          <w:sz w:val="18"/>
        </w:rPr>
        <w:t>The historical report displays an illustrative 35% Glyph Systems cut. That display is preserved unchanged as part of the evidence history; current commercial terms are documented separately.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2"/>
      </w:tblGrid>
      <w:tr>
        <w:trPr>
          <w:cantSplit/>
        </w:trPr>
        <w:tc>
          <w:tcPr>
            <w:tcW w:type="dxa" w:w="14256"/>
            <w:shd w:fill="F3F0F5"/>
            <w:tcBorders>
              <w:left w:val="single" w:sz="22" w:color="FFF200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b/>
                <w:color w:val="28232D"/>
                <w:sz w:val="18"/>
              </w:rPr>
              <w:t>Program 40 is external-input-shaped controlled evidence. Public incidents provide a reproducible schedule, not customer production data.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 w:after="80"/>
      </w:pPr>
      <w:r>
        <w:t>7. Program 41 — High-Volume Payment Network Recovery Challenge</w:t>
      </w:r>
    </w:p>
    <w:p>
      <w:r>
        <w:t>Program 41 represents a compressed high-volume payment-network workload. The meaningful folder in this package is the twelve-hour milestone run. A second short run was operator-stopped after approximately 0.045 hours with zero completed rounds.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2448"/>
        <w:gridCol w:w="2088"/>
        <w:gridCol w:w="1800"/>
        <w:gridCol w:w="2160"/>
        <w:gridCol w:w="3240"/>
      </w:tblGrid>
      <w:tr>
        <w:trPr>
          <w:cantSplit/>
        </w:trPr>
        <w:tc>
          <w:tcPr>
            <w:tcW w:type="dxa" w:w="2376"/>
            <w:shd w:fill="050107"/>
          </w:tcPr>
          <w:p>
            <w:r>
              <w:rPr>
                <w:b/>
                <w:color w:val="00EAF2"/>
                <w:sz w:val="17"/>
              </w:rPr>
              <w:t>Record</w:t>
            </w:r>
          </w:p>
        </w:tc>
        <w:tc>
          <w:tcPr>
            <w:tcW w:type="dxa" w:w="2376"/>
            <w:shd w:fill="050107"/>
          </w:tcPr>
          <w:p>
            <w:r>
              <w:rPr>
                <w:b/>
                <w:color w:val="00EAF2"/>
                <w:sz w:val="17"/>
              </w:rPr>
              <w:t>Runtime</w:t>
            </w:r>
          </w:p>
        </w:tc>
        <w:tc>
          <w:tcPr>
            <w:tcW w:type="dxa" w:w="2376"/>
            <w:shd w:fill="050107"/>
          </w:tcPr>
          <w:p>
            <w:r>
              <w:rPr>
                <w:b/>
                <w:color w:val="00EAF2"/>
                <w:sz w:val="17"/>
              </w:rPr>
              <w:t>Rate</w:t>
            </w:r>
          </w:p>
        </w:tc>
        <w:tc>
          <w:tcPr>
            <w:tcW w:type="dxa" w:w="2376"/>
            <w:shd w:fill="050107"/>
          </w:tcPr>
          <w:p>
            <w:r>
              <w:rPr>
                <w:b/>
                <w:color w:val="00EAF2"/>
                <w:sz w:val="17"/>
              </w:rPr>
              <w:t>Positive</w:t>
            </w:r>
          </w:p>
        </w:tc>
        <w:tc>
          <w:tcPr>
            <w:tcW w:type="dxa" w:w="2376"/>
            <w:shd w:fill="050107"/>
          </w:tcPr>
          <w:p>
            <w:r>
              <w:rPr>
                <w:b/>
                <w:color w:val="00EAF2"/>
                <w:sz w:val="17"/>
              </w:rPr>
              <w:t>Cumulative</w:t>
            </w:r>
          </w:p>
        </w:tc>
        <w:tc>
          <w:tcPr>
            <w:tcW w:type="dxa" w:w="2376"/>
            <w:shd w:fill="050107"/>
          </w:tcPr>
          <w:p>
            <w:r>
              <w:rPr>
                <w:b/>
                <w:color w:val="00EAF2"/>
                <w:sz w:val="17"/>
              </w:rPr>
              <w:t>Correct classification</w:t>
            </w:r>
          </w:p>
        </w:tc>
      </w:tr>
      <w:tr>
        <w:trPr>
          <w:cantSplit/>
        </w:trPr>
        <w:tc>
          <w:tcPr>
            <w:tcW w:type="dxa" w:w="2088"/>
          </w:tcPr>
          <w:p>
            <w:r>
              <w:t>12H milestone</w:t>
            </w:r>
          </w:p>
        </w:tc>
        <w:tc>
          <w:tcPr>
            <w:tcW w:type="dxa" w:w="2448"/>
          </w:tcPr>
          <w:p>
            <w:r>
              <w:t>12.000 h / 72</w:t>
            </w:r>
          </w:p>
        </w:tc>
        <w:tc>
          <w:tcPr>
            <w:tcW w:type="dxa" w:w="2088"/>
          </w:tcPr>
          <w:p>
            <w:r>
              <w:t>$58.2843/min</w:t>
            </w:r>
          </w:p>
        </w:tc>
        <w:tc>
          <w:tcPr>
            <w:tcW w:type="dxa" w:w="1800"/>
          </w:tcPr>
          <w:p>
            <w:r>
              <w:t>72 / 72</w:t>
            </w:r>
          </w:p>
        </w:tc>
        <w:tc>
          <w:tcPr>
            <w:tcW w:type="dxa" w:w="2160"/>
          </w:tcPr>
          <w:p>
            <w:r>
              <w:t>$41,964.71</w:t>
            </w:r>
          </w:p>
        </w:tc>
        <w:tc>
          <w:tcPr>
            <w:tcW w:type="dxa" w:w="3240"/>
          </w:tcPr>
          <w:p>
            <w:r>
              <w:t>Valid milestone evidence; live run continued beyond this export.</w:t>
            </w:r>
          </w:p>
        </w:tc>
      </w:tr>
      <w:tr>
        <w:trPr>
          <w:cantSplit/>
        </w:trPr>
        <w:tc>
          <w:tcPr>
            <w:tcW w:type="dxa" w:w="2088"/>
          </w:tcPr>
          <w:p>
            <w:r>
              <w:t>Startup final</w:t>
            </w:r>
          </w:p>
        </w:tc>
        <w:tc>
          <w:tcPr>
            <w:tcW w:type="dxa" w:w="2448"/>
          </w:tcPr>
          <w:p>
            <w:r>
              <w:t>0.045 h / 0</w:t>
            </w:r>
          </w:p>
        </w:tc>
        <w:tc>
          <w:tcPr>
            <w:tcW w:type="dxa" w:w="2088"/>
          </w:tcPr>
          <w:p>
            <w:r>
              <w:t>$2.3154/min</w:t>
            </w:r>
          </w:p>
        </w:tc>
        <w:tc>
          <w:tcPr>
            <w:tcW w:type="dxa" w:w="1800"/>
          </w:tcPr>
          <w:p>
            <w:r>
              <w:t>0 / 0</w:t>
            </w:r>
          </w:p>
        </w:tc>
        <w:tc>
          <w:tcPr>
            <w:tcW w:type="dxa" w:w="2160"/>
          </w:tcPr>
          <w:p>
            <w:r>
              <w:t>$6.18</w:t>
            </w:r>
          </w:p>
        </w:tc>
        <w:tc>
          <w:tcPr>
            <w:tcW w:type="dxa" w:w="3240"/>
          </w:tcPr>
          <w:p>
            <w:r>
              <w:t>Preflight/startup record only; no completed-round outcome.</w:t>
            </w:r>
          </w:p>
        </w:tc>
      </w:tr>
    </w:tbl>
    <w:p>
      <w:pPr>
        <w:pStyle w:val="ListBullet"/>
        <w:spacing w:after="40"/>
        <w:ind w:left="360"/>
      </w:pPr>
      <w:r>
        <w:rPr>
          <w:sz w:val="18"/>
        </w:rPr>
        <w:t>The twelve-hour milestone median was $8.8897/min and the worst completed round was $1.3129/min.</w:t>
      </w:r>
    </w:p>
    <w:p>
      <w:pPr>
        <w:pStyle w:val="ListBullet"/>
        <w:spacing w:after="40"/>
        <w:ind w:left="360"/>
      </w:pPr>
      <w:r>
        <w:rPr>
          <w:sz w:val="18"/>
        </w:rPr>
        <w:t>The milestone report shows an illustrative 50% commercial split for planning only.</w:t>
      </w:r>
    </w:p>
    <w:p>
      <w:pPr>
        <w:pStyle w:val="ListBullet"/>
        <w:spacing w:after="40"/>
        <w:ind w:left="360"/>
      </w:pPr>
      <w:r>
        <w:rPr>
          <w:sz w:val="18"/>
        </w:rPr>
        <w:t>The startup folder is useful for provenance and troubleshooting history but should be labeled clearly in the browser.</w:t>
      </w:r>
    </w:p>
    <w:p>
      <w:pPr>
        <w:pStyle w:val="ListBullet"/>
        <w:spacing w:after="40"/>
        <w:ind w:left="360"/>
      </w:pPr>
      <w:r>
        <w:rPr>
          <w:sz w:val="18"/>
        </w:rPr>
        <w:t>The final witnessed closeout of the continuing live run will become a new export package later.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2"/>
      </w:tblGrid>
      <w:tr>
        <w:trPr>
          <w:cantSplit/>
        </w:trPr>
        <w:tc>
          <w:tcPr>
            <w:tcW w:type="dxa" w:w="14256"/>
            <w:shd w:fill="F3F0F5"/>
            <w:tcBorders>
              <w:left w:val="single" w:sz="22" w:color="FFF200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b/>
                <w:color w:val="28232D"/>
                <w:sz w:val="18"/>
              </w:rPr>
              <w:t>Do not combine the startup run and the twelve-hour run as though they share one continuous seed. They are separate executions with separate run IDs.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 w:after="80"/>
      </w:pPr>
      <w:r>
        <w:t>8. Program 42 — High-Value Treasury and Cross-Border Payout Recovery</w:t>
      </w:r>
    </w:p>
    <w:p>
      <w:r>
        <w:t>Program 42 models lower-count, higher-value treasury, settlement, payroll, remittance, marketplace payout, and cross-border recovery conditions. As with Program 41, the package contains a startup/preflight run and a separate twelve-hour milestone run.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2448"/>
        <w:gridCol w:w="2016"/>
        <w:gridCol w:w="1800"/>
        <w:gridCol w:w="2088"/>
        <w:gridCol w:w="3384"/>
      </w:tblGrid>
      <w:tr>
        <w:trPr>
          <w:cantSplit/>
        </w:trPr>
        <w:tc>
          <w:tcPr>
            <w:tcW w:type="dxa" w:w="2376"/>
            <w:shd w:fill="050107"/>
          </w:tcPr>
          <w:p>
            <w:r>
              <w:rPr>
                <w:b/>
                <w:color w:val="C23A82"/>
                <w:sz w:val="17"/>
              </w:rPr>
              <w:t>Record</w:t>
            </w:r>
          </w:p>
        </w:tc>
        <w:tc>
          <w:tcPr>
            <w:tcW w:type="dxa" w:w="2376"/>
            <w:shd w:fill="050107"/>
          </w:tcPr>
          <w:p>
            <w:r>
              <w:rPr>
                <w:b/>
                <w:color w:val="C23A82"/>
                <w:sz w:val="17"/>
              </w:rPr>
              <w:t>Runtime</w:t>
            </w:r>
          </w:p>
        </w:tc>
        <w:tc>
          <w:tcPr>
            <w:tcW w:type="dxa" w:w="2376"/>
            <w:shd w:fill="050107"/>
          </w:tcPr>
          <w:p>
            <w:r>
              <w:rPr>
                <w:b/>
                <w:color w:val="C23A82"/>
                <w:sz w:val="17"/>
              </w:rPr>
              <w:t>Rate</w:t>
            </w:r>
          </w:p>
        </w:tc>
        <w:tc>
          <w:tcPr>
            <w:tcW w:type="dxa" w:w="2376"/>
            <w:shd w:fill="050107"/>
          </w:tcPr>
          <w:p>
            <w:r>
              <w:rPr>
                <w:b/>
                <w:color w:val="C23A82"/>
                <w:sz w:val="17"/>
              </w:rPr>
              <w:t>Positive</w:t>
            </w:r>
          </w:p>
        </w:tc>
        <w:tc>
          <w:tcPr>
            <w:tcW w:type="dxa" w:w="2376"/>
            <w:shd w:fill="050107"/>
          </w:tcPr>
          <w:p>
            <w:r>
              <w:rPr>
                <w:b/>
                <w:color w:val="C23A82"/>
                <w:sz w:val="17"/>
              </w:rPr>
              <w:t>Cumulative</w:t>
            </w:r>
          </w:p>
        </w:tc>
        <w:tc>
          <w:tcPr>
            <w:tcW w:type="dxa" w:w="2376"/>
            <w:shd w:fill="050107"/>
          </w:tcPr>
          <w:p>
            <w:r>
              <w:rPr>
                <w:b/>
                <w:color w:val="C23A82"/>
                <w:sz w:val="17"/>
              </w:rPr>
              <w:t>Correct classification</w:t>
            </w:r>
          </w:p>
        </w:tc>
      </w:tr>
      <w:tr>
        <w:trPr>
          <w:cantSplit/>
        </w:trPr>
        <w:tc>
          <w:tcPr>
            <w:tcW w:type="dxa" w:w="2088"/>
          </w:tcPr>
          <w:p>
            <w:r>
              <w:t>Startup final</w:t>
            </w:r>
          </w:p>
        </w:tc>
        <w:tc>
          <w:tcPr>
            <w:tcW w:type="dxa" w:w="2448"/>
          </w:tcPr>
          <w:p>
            <w:r>
              <w:t>0.003 h / 0</w:t>
            </w:r>
          </w:p>
        </w:tc>
        <w:tc>
          <w:tcPr>
            <w:tcW w:type="dxa" w:w="2016"/>
          </w:tcPr>
          <w:p>
            <w:r>
              <w:t>$0.0000/min</w:t>
            </w:r>
          </w:p>
        </w:tc>
        <w:tc>
          <w:tcPr>
            <w:tcW w:type="dxa" w:w="1800"/>
          </w:tcPr>
          <w:p>
            <w:r>
              <w:t>0 / 0</w:t>
            </w:r>
          </w:p>
        </w:tc>
        <w:tc>
          <w:tcPr>
            <w:tcW w:type="dxa" w:w="2088"/>
          </w:tcPr>
          <w:p>
            <w:r>
              <w:t>$0.00</w:t>
            </w:r>
          </w:p>
        </w:tc>
        <w:tc>
          <w:tcPr>
            <w:tcW w:type="dxa" w:w="3384"/>
          </w:tcPr>
          <w:p>
            <w:r>
              <w:t>Preflight/startup record only; no completed-round outcome.</w:t>
            </w:r>
          </w:p>
        </w:tc>
      </w:tr>
      <w:tr>
        <w:trPr>
          <w:cantSplit/>
        </w:trPr>
        <w:tc>
          <w:tcPr>
            <w:tcW w:type="dxa" w:w="2088"/>
          </w:tcPr>
          <w:p>
            <w:r>
              <w:t>12H milestone</w:t>
            </w:r>
          </w:p>
        </w:tc>
        <w:tc>
          <w:tcPr>
            <w:tcW w:type="dxa" w:w="2448"/>
          </w:tcPr>
          <w:p>
            <w:r>
              <w:t>12.000 h / 72</w:t>
            </w:r>
          </w:p>
        </w:tc>
        <w:tc>
          <w:tcPr>
            <w:tcW w:type="dxa" w:w="2016"/>
          </w:tcPr>
          <w:p>
            <w:r>
              <w:t>$7.4753/min</w:t>
            </w:r>
          </w:p>
        </w:tc>
        <w:tc>
          <w:tcPr>
            <w:tcW w:type="dxa" w:w="1800"/>
          </w:tcPr>
          <w:p>
            <w:r>
              <w:t>45 / 72</w:t>
            </w:r>
          </w:p>
        </w:tc>
        <w:tc>
          <w:tcPr>
            <w:tcW w:type="dxa" w:w="2088"/>
          </w:tcPr>
          <w:p>
            <w:r>
              <w:t>$5,382.21</w:t>
            </w:r>
          </w:p>
        </w:tc>
        <w:tc>
          <w:tcPr>
            <w:tcW w:type="dxa" w:w="3384"/>
          </w:tcPr>
          <w:p>
            <w:r>
              <w:t>Valid milestone evidence; live run continued beyond this export.</w:t>
            </w:r>
          </w:p>
        </w:tc>
      </w:tr>
    </w:tbl>
    <w:p>
      <w:pPr>
        <w:pStyle w:val="ListBullet"/>
        <w:spacing w:after="40"/>
        <w:ind w:left="360"/>
      </w:pPr>
      <w:r>
        <w:rPr>
          <w:sz w:val="18"/>
        </w:rPr>
        <w:t>The milestone median was $1.6210/min, the tenth percentile was negative, and the worst round was -$3.3787/min.</w:t>
      </w:r>
    </w:p>
    <w:p>
      <w:pPr>
        <w:pStyle w:val="ListBullet"/>
        <w:spacing w:after="40"/>
        <w:ind w:left="360"/>
      </w:pPr>
      <w:r>
        <w:rPr>
          <w:sz w:val="18"/>
        </w:rPr>
        <w:t>The downside is important evidence: Program 42 was not positive in every round.</w:t>
      </w:r>
    </w:p>
    <w:p>
      <w:pPr>
        <w:pStyle w:val="ListBullet"/>
        <w:spacing w:after="40"/>
        <w:ind w:left="360"/>
      </w:pPr>
      <w:r>
        <w:rPr>
          <w:sz w:val="18"/>
        </w:rPr>
        <w:t>Both run folders contain a public incident snapshot because the schedule was frozen from external public records.</w:t>
      </w:r>
    </w:p>
    <w:p>
      <w:pPr>
        <w:pStyle w:val="ListBullet"/>
        <w:spacing w:after="40"/>
        <w:ind w:left="360"/>
      </w:pPr>
      <w:r>
        <w:rPr>
          <w:sz w:val="18"/>
        </w:rPr>
        <w:t>The startup manifest belongs only to the startup run. It is not a manifest for the later twelve-hour milestone run.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2"/>
      </w:tblGrid>
      <w:tr>
        <w:trPr>
          <w:cantSplit/>
        </w:trPr>
        <w:tc>
          <w:tcPr>
            <w:tcW w:type="dxa" w:w="14256"/>
            <w:shd w:fill="F3F0F5"/>
            <w:tcBorders>
              <w:left w:val="single" w:sz="22" w:color="FFF200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b/>
                <w:color w:val="28232D"/>
                <w:sz w:val="18"/>
              </w:rPr>
              <w:t>Program 42 demonstrates a positive aggregate milestone with material downside. It should be presented with the full distribution, not only the average.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 w:after="80"/>
      </w:pPr>
      <w:r>
        <w:t>9. Complete Folder Inventory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5688"/>
        <w:gridCol w:w="1296"/>
        <w:gridCol w:w="1368"/>
        <w:gridCol w:w="4320"/>
      </w:tblGrid>
      <w:tr>
        <w:trPr>
          <w:cantSplit/>
        </w:trPr>
        <w:tc>
          <w:tcPr>
            <w:tcW w:type="dxa" w:w="2851"/>
            <w:shd w:fill="050107"/>
          </w:tcPr>
          <w:p>
            <w:r>
              <w:rPr>
                <w:b/>
                <w:color w:val="FFF200"/>
                <w:sz w:val="17"/>
              </w:rPr>
              <w:t>Pgm</w:t>
            </w:r>
          </w:p>
        </w:tc>
        <w:tc>
          <w:tcPr>
            <w:tcW w:type="dxa" w:w="2851"/>
            <w:shd w:fill="050107"/>
          </w:tcPr>
          <w:p>
            <w:r>
              <w:rPr>
                <w:b/>
                <w:color w:val="FFF200"/>
                <w:sz w:val="17"/>
              </w:rPr>
              <w:t>Run folder</w:t>
            </w:r>
          </w:p>
        </w:tc>
        <w:tc>
          <w:tcPr>
            <w:tcW w:type="dxa" w:w="2851"/>
            <w:shd w:fill="050107"/>
          </w:tcPr>
          <w:p>
            <w:r>
              <w:rPr>
                <w:b/>
                <w:color w:val="FFF200"/>
                <w:sz w:val="17"/>
              </w:rPr>
              <w:t>Files</w:t>
            </w:r>
          </w:p>
        </w:tc>
        <w:tc>
          <w:tcPr>
            <w:tcW w:type="dxa" w:w="2851"/>
            <w:shd w:fill="050107"/>
          </w:tcPr>
          <w:p>
            <w:r>
              <w:rPr>
                <w:b/>
                <w:color w:val="FFF200"/>
                <w:sz w:val="17"/>
              </w:rPr>
              <w:t>Size</w:t>
            </w:r>
          </w:p>
        </w:tc>
        <w:tc>
          <w:tcPr>
            <w:tcW w:type="dxa" w:w="2851"/>
            <w:shd w:fill="050107"/>
          </w:tcPr>
          <w:p>
            <w:r>
              <w:rPr>
                <w:b/>
                <w:color w:val="FFF200"/>
                <w:sz w:val="17"/>
              </w:rPr>
              <w:t>Contained record</w:t>
            </w:r>
          </w:p>
        </w:tc>
      </w:tr>
      <w:tr>
        <w:trPr>
          <w:cantSplit/>
        </w:trPr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5688"/>
          </w:tcPr>
          <w:p>
            <w:r>
              <w:rPr>
                <w:rFonts w:ascii="Consolas" w:hAnsi="Consolas"/>
                <w:sz w:val="14"/>
              </w:rPr>
              <w:t>PROGRAM_36_RUN_20260714-163251-14b41334946e2bae</w:t>
            </w:r>
          </w:p>
        </w:tc>
        <w:tc>
          <w:tcPr>
            <w:tcW w:type="dxa" w:w="1296"/>
          </w:tcPr>
          <w:p>
            <w:r>
              <w:t>5</w:t>
            </w:r>
          </w:p>
        </w:tc>
        <w:tc>
          <w:tcPr>
            <w:tcW w:type="dxa" w:w="1368"/>
          </w:tcPr>
          <w:p>
            <w:r>
              <w:t>29.5 MB</w:t>
            </w:r>
          </w:p>
        </w:tc>
        <w:tc>
          <w:tcPr>
            <w:tcW w:type="dxa" w:w="4320"/>
          </w:tcPr>
          <w:p>
            <w:r>
              <w:t>12H + final HTML/JSON; manifest</w:t>
            </w:r>
          </w:p>
        </w:tc>
      </w:tr>
      <w:tr>
        <w:trPr>
          <w:cantSplit/>
        </w:trPr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5688"/>
          </w:tcPr>
          <w:p>
            <w:r>
              <w:rPr>
                <w:rFonts w:ascii="Consolas" w:hAnsi="Consolas"/>
                <w:sz w:val="14"/>
              </w:rPr>
              <w:t>PROGRAM_38_RUN_20260714-181842-858c414ad996d313</w:t>
            </w:r>
          </w:p>
        </w:tc>
        <w:tc>
          <w:tcPr>
            <w:tcW w:type="dxa" w:w="1296"/>
          </w:tcPr>
          <w:p>
            <w:r>
              <w:t>5</w:t>
            </w:r>
          </w:p>
        </w:tc>
        <w:tc>
          <w:tcPr>
            <w:tcW w:type="dxa" w:w="1368"/>
          </w:tcPr>
          <w:p>
            <w:r>
              <w:t>37.5 MB</w:t>
            </w:r>
          </w:p>
        </w:tc>
        <w:tc>
          <w:tcPr>
            <w:tcW w:type="dxa" w:w="4320"/>
          </w:tcPr>
          <w:p>
            <w:r>
              <w:t>12H + final HTML/JSON; manifest</w:t>
            </w:r>
          </w:p>
        </w:tc>
      </w:tr>
      <w:tr>
        <w:trPr>
          <w:cantSplit/>
        </w:trPr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5688"/>
          </w:tcPr>
          <w:p>
            <w:r>
              <w:rPr>
                <w:rFonts w:ascii="Consolas" w:hAnsi="Consolas"/>
                <w:sz w:val="14"/>
              </w:rPr>
              <w:t>PROGRAM_40_RUN_20260714-213950-8ab9a1aa8917edf4</w:t>
            </w:r>
          </w:p>
        </w:tc>
        <w:tc>
          <w:tcPr>
            <w:tcW w:type="dxa" w:w="1296"/>
          </w:tcPr>
          <w:p>
            <w:r>
              <w:t>6</w:t>
            </w:r>
          </w:p>
        </w:tc>
        <w:tc>
          <w:tcPr>
            <w:tcW w:type="dxa" w:w="1368"/>
          </w:tcPr>
          <w:p>
            <w:r>
              <w:t>64.4 MB</w:t>
            </w:r>
          </w:p>
        </w:tc>
        <w:tc>
          <w:tcPr>
            <w:tcW w:type="dxa" w:w="4320"/>
          </w:tcPr>
          <w:p>
            <w:r>
              <w:t>12H + final HTML/JSON; manifest; public snapshot</w:t>
            </w:r>
          </w:p>
        </w:tc>
      </w:tr>
      <w:tr>
        <w:trPr>
          <w:cantSplit/>
        </w:trPr>
        <w:tc>
          <w:tcPr>
            <w:tcW w:type="dxa" w:w="1080"/>
          </w:tcPr>
          <w:p>
            <w:r>
              <w:t>41</w:t>
            </w:r>
          </w:p>
        </w:tc>
        <w:tc>
          <w:tcPr>
            <w:tcW w:type="dxa" w:w="5688"/>
          </w:tcPr>
          <w:p>
            <w:r>
              <w:rPr>
                <w:rFonts w:ascii="Consolas" w:hAnsi="Consolas"/>
                <w:sz w:val="14"/>
              </w:rPr>
              <w:t>PROGRAM_41_RUN_20260717-131333-7230266afb3fee48</w:t>
            </w:r>
          </w:p>
        </w:tc>
        <w:tc>
          <w:tcPr>
            <w:tcW w:type="dxa" w:w="1296"/>
          </w:tcPr>
          <w:p>
            <w:r>
              <w:t>2</w:t>
            </w:r>
          </w:p>
        </w:tc>
        <w:tc>
          <w:tcPr>
            <w:tcW w:type="dxa" w:w="1368"/>
          </w:tcPr>
          <w:p>
            <w:r>
              <w:t>4.8 MB</w:t>
            </w:r>
          </w:p>
        </w:tc>
        <w:tc>
          <w:tcPr>
            <w:tcW w:type="dxa" w:w="4320"/>
          </w:tcPr>
          <w:p>
            <w:r>
              <w:t>12H milestone HTML/JSON</w:t>
            </w:r>
          </w:p>
        </w:tc>
      </w:tr>
      <w:tr>
        <w:trPr>
          <w:cantSplit/>
        </w:trPr>
        <w:tc>
          <w:tcPr>
            <w:tcW w:type="dxa" w:w="1080"/>
          </w:tcPr>
          <w:p>
            <w:r>
              <w:t>41</w:t>
            </w:r>
          </w:p>
        </w:tc>
        <w:tc>
          <w:tcPr>
            <w:tcW w:type="dxa" w:w="5688"/>
          </w:tcPr>
          <w:p>
            <w:r>
              <w:rPr>
                <w:rFonts w:ascii="Consolas" w:hAnsi="Consolas"/>
                <w:sz w:val="14"/>
              </w:rPr>
              <w:t>PROGRAM_41_RUN_20260717-131348-a94123fef946a2de</w:t>
            </w:r>
          </w:p>
        </w:tc>
        <w:tc>
          <w:tcPr>
            <w:tcW w:type="dxa" w:w="1296"/>
          </w:tcPr>
          <w:p>
            <w:r>
              <w:t>3</w:t>
            </w:r>
          </w:p>
        </w:tc>
        <w:tc>
          <w:tcPr>
            <w:tcW w:type="dxa" w:w="1368"/>
          </w:tcPr>
          <w:p>
            <w:r>
              <w:t>0.1 MB</w:t>
            </w:r>
          </w:p>
        </w:tc>
        <w:tc>
          <w:tcPr>
            <w:tcW w:type="dxa" w:w="4320"/>
          </w:tcPr>
          <w:p>
            <w:r>
              <w:t>startup final HTML/JSON; manifest</w:t>
            </w:r>
          </w:p>
        </w:tc>
      </w:tr>
      <w:tr>
        <w:trPr>
          <w:cantSplit/>
        </w:trPr>
        <w:tc>
          <w:tcPr>
            <w:tcW w:type="dxa" w:w="1080"/>
          </w:tcPr>
          <w:p>
            <w:r>
              <w:t>42</w:t>
            </w:r>
          </w:p>
        </w:tc>
        <w:tc>
          <w:tcPr>
            <w:tcW w:type="dxa" w:w="5688"/>
          </w:tcPr>
          <w:p>
            <w:r>
              <w:rPr>
                <w:rFonts w:ascii="Consolas" w:hAnsi="Consolas"/>
                <w:sz w:val="14"/>
              </w:rPr>
              <w:t>PROGRAM_42_RUN_20260717-131457-3156ee6e2e5c0e7f</w:t>
            </w:r>
          </w:p>
        </w:tc>
        <w:tc>
          <w:tcPr>
            <w:tcW w:type="dxa" w:w="1296"/>
          </w:tcPr>
          <w:p>
            <w:r>
              <w:t>4</w:t>
            </w:r>
          </w:p>
        </w:tc>
        <w:tc>
          <w:tcPr>
            <w:tcW w:type="dxa" w:w="1368"/>
          </w:tcPr>
          <w:p>
            <w:r>
              <w:t>0.3 MB</w:t>
            </w:r>
          </w:p>
        </w:tc>
        <w:tc>
          <w:tcPr>
            <w:tcW w:type="dxa" w:w="4320"/>
          </w:tcPr>
          <w:p>
            <w:r>
              <w:t>startup final HTML/JSON; manifest; public snapshot</w:t>
            </w:r>
          </w:p>
        </w:tc>
      </w:tr>
      <w:tr>
        <w:trPr>
          <w:cantSplit/>
        </w:trPr>
        <w:tc>
          <w:tcPr>
            <w:tcW w:type="dxa" w:w="1080"/>
          </w:tcPr>
          <w:p>
            <w:r>
              <w:t>42</w:t>
            </w:r>
          </w:p>
        </w:tc>
        <w:tc>
          <w:tcPr>
            <w:tcW w:type="dxa" w:w="5688"/>
          </w:tcPr>
          <w:p>
            <w:r>
              <w:rPr>
                <w:rFonts w:ascii="Consolas" w:hAnsi="Consolas"/>
                <w:sz w:val="14"/>
              </w:rPr>
              <w:t>PROGRAM_42_RUN_20260717-131602-2d54d7dcdee6e5ca</w:t>
            </w:r>
          </w:p>
        </w:tc>
        <w:tc>
          <w:tcPr>
            <w:tcW w:type="dxa" w:w="1296"/>
          </w:tcPr>
          <w:p>
            <w:r>
              <w:t>3</w:t>
            </w:r>
          </w:p>
        </w:tc>
        <w:tc>
          <w:tcPr>
            <w:tcW w:type="dxa" w:w="1368"/>
          </w:tcPr>
          <w:p>
            <w:r>
              <w:t>5.0 MB</w:t>
            </w:r>
          </w:p>
        </w:tc>
        <w:tc>
          <w:tcPr>
            <w:tcW w:type="dxa" w:w="4320"/>
          </w:tcPr>
          <w:p>
            <w:r>
              <w:t>12H milestone HTML/JSON; public snapshot</w:t>
            </w:r>
          </w:p>
        </w:tc>
      </w:tr>
    </w:tbl>
    <w:p/>
    <w:p>
      <w:pPr>
        <w:pStyle w:val="Heading2"/>
      </w:pPr>
      <w:r>
        <w:t>File count by type</w:t>
      </w:r>
    </w:p>
    <w:p>
      <w:pPr>
        <w:pStyle w:val="ListBullet"/>
        <w:spacing w:after="40"/>
        <w:ind w:left="360"/>
      </w:pPr>
      <w:r>
        <w:rPr>
          <w:sz w:val="18"/>
        </w:rPr>
        <w:t>Investor Evidence HTML: 10</w:t>
      </w:r>
    </w:p>
    <w:p>
      <w:pPr>
        <w:pStyle w:val="ListBullet"/>
        <w:spacing w:after="40"/>
        <w:ind w:left="360"/>
      </w:pPr>
      <w:r>
        <w:rPr>
          <w:sz w:val="18"/>
        </w:rPr>
        <w:t>Run Logs JSON: 10</w:t>
      </w:r>
    </w:p>
    <w:p>
      <w:pPr>
        <w:pStyle w:val="ListBullet"/>
        <w:spacing w:after="40"/>
        <w:ind w:left="360"/>
      </w:pPr>
      <w:r>
        <w:rPr>
          <w:sz w:val="18"/>
        </w:rPr>
        <w:t>Package Manifest JSON: 5</w:t>
      </w:r>
    </w:p>
    <w:p>
      <w:pPr>
        <w:pStyle w:val="ListBullet"/>
        <w:spacing w:after="40"/>
        <w:ind w:left="360"/>
      </w:pPr>
      <w:r>
        <w:rPr>
          <w:sz w:val="18"/>
        </w:rPr>
        <w:t>Public Incident Snapshot JSON: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2"/>
      </w:tblGrid>
      <w:tr>
        <w:trPr>
          <w:cantSplit/>
        </w:trPr>
        <w:tc>
          <w:tcPr>
            <w:tcW w:type="dxa" w:w="14256"/>
            <w:shd w:fill="F3F0F5"/>
            <w:tcBorders>
              <w:left w:val="single" w:sz="22" w:color="FFF200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b/>
                <w:color w:val="28232D"/>
                <w:sz w:val="18"/>
              </w:rPr>
              <w:t>Total contained evidence: 28 files across 7 run folders, approximately 141.7 MB.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 w:after="80"/>
      </w:pPr>
      <w:r>
        <w:t>10. Integrity, Hashes, and Chain of Custody</w:t>
      </w:r>
    </w:p>
    <w:p>
      <w:r>
        <w:t>The manifests preserve a cryptographic map of the evidence package. Each listed file is associated with a SHA-256 digest. A reviewer can recompute the digest and compare it with the manifest to check whether the file has changed.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9504"/>
      </w:tblGrid>
      <w:tr>
        <w:trPr>
          <w:cantSplit/>
        </w:trPr>
        <w:tc>
          <w:tcPr>
            <w:tcW w:type="dxa" w:w="7128"/>
            <w:shd w:fill="050107"/>
          </w:tcPr>
          <w:p>
            <w:r>
              <w:rPr>
                <w:b/>
                <w:color w:val="00EAF2"/>
                <w:sz w:val="17"/>
              </w:rPr>
              <w:t>Manifest field</w:t>
            </w:r>
          </w:p>
        </w:tc>
        <w:tc>
          <w:tcPr>
            <w:tcW w:type="dxa" w:w="7128"/>
            <w:shd w:fill="050107"/>
          </w:tcPr>
          <w:p>
            <w:r>
              <w:rPr>
                <w:b/>
                <w:color w:val="00EAF2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rPr>
                <w:rFonts w:ascii="Consolas" w:hAnsi="Consolas"/>
                <w:sz w:val="16"/>
              </w:rPr>
              <w:t>created_utc</w:t>
            </w:r>
          </w:p>
        </w:tc>
        <w:tc>
          <w:tcPr>
            <w:tcW w:type="dxa" w:w="9504"/>
          </w:tcPr>
          <w:p>
            <w:r>
              <w:t>When the package manifest was created.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rPr>
                <w:rFonts w:ascii="Consolas" w:hAnsi="Consolas"/>
                <w:sz w:val="16"/>
              </w:rPr>
              <w:t>included_files</w:t>
            </w:r>
          </w:p>
        </w:tc>
        <w:tc>
          <w:tcPr>
            <w:tcW w:type="dxa" w:w="9504"/>
          </w:tcPr>
          <w:p>
            <w:r>
              <w:t>Filename-to-SHA-256 map for the evidence files.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rPr>
                <w:rFonts w:ascii="Consolas" w:hAnsi="Consolas"/>
                <w:sz w:val="16"/>
              </w:rPr>
              <w:t>master_seed</w:t>
            </w:r>
          </w:p>
        </w:tc>
        <w:tc>
          <w:tcPr>
            <w:tcW w:type="dxa" w:w="9504"/>
          </w:tcPr>
          <w:p>
            <w:r>
              <w:t>Unique identifier tying the package to one execution.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rPr>
                <w:rFonts w:ascii="Consolas" w:hAnsi="Consolas"/>
                <w:sz w:val="16"/>
              </w:rPr>
              <w:t>program / version</w:t>
            </w:r>
          </w:p>
        </w:tc>
        <w:tc>
          <w:tcPr>
            <w:tcW w:type="dxa" w:w="9504"/>
          </w:tcPr>
          <w:p>
            <w:r>
              <w:t>Human-readable program identity and program version.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rPr>
                <w:rFonts w:ascii="Consolas" w:hAnsi="Consolas"/>
                <w:sz w:val="16"/>
              </w:rPr>
              <w:t>source_code_included: false</w:t>
            </w:r>
          </w:p>
        </w:tc>
        <w:tc>
          <w:tcPr>
            <w:tcW w:type="dxa" w:w="9504"/>
          </w:tcPr>
          <w:p>
            <w:r>
              <w:t>Confirms that the evidence package does not expose the proprietary source.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rPr>
                <w:rFonts w:ascii="Consolas" w:hAnsi="Consolas"/>
                <w:sz w:val="16"/>
              </w:rPr>
              <w:t>source_sha256</w:t>
            </w:r>
          </w:p>
        </w:tc>
        <w:tc>
          <w:tcPr>
            <w:tcW w:type="dxa" w:w="9504"/>
          </w:tcPr>
          <w:p>
            <w:r>
              <w:t>Hash of the program source used for the run, allowing controlled internal verification without publishing the source.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rPr>
                <w:rFonts w:ascii="Consolas" w:hAnsi="Consolas"/>
                <w:sz w:val="16"/>
              </w:rPr>
              <w:t>evidence_payload_sha256</w:t>
            </w:r>
          </w:p>
        </w:tc>
        <w:tc>
          <w:tcPr>
            <w:tcW w:type="dxa" w:w="9504"/>
          </w:tcPr>
          <w:p>
            <w:r>
              <w:t>Hash recorded in the run logs for the exported evidence payload.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sz w:val="18"/>
        </w:rPr>
        <w:t>Never edit an original HTML, JSON, snapshot, or manifest in place after export.</w:t>
      </w:r>
    </w:p>
    <w:p>
      <w:pPr>
        <w:pStyle w:val="ListBullet"/>
        <w:spacing w:after="40"/>
        <w:ind w:left="360"/>
      </w:pPr>
      <w:r>
        <w:rPr>
          <w:sz w:val="18"/>
        </w:rPr>
        <w:t>If an explanatory label is needed, add a separate README document rather than altering the evidence file.</w:t>
      </w:r>
    </w:p>
    <w:p>
      <w:pPr>
        <w:pStyle w:val="ListBullet"/>
        <w:spacing w:after="40"/>
        <w:ind w:left="360"/>
      </w:pPr>
      <w:r>
        <w:rPr>
          <w:sz w:val="18"/>
        </w:rPr>
        <w:t>Preserve startup, milestone, and final exports as separate historical records.</w:t>
      </w:r>
    </w:p>
    <w:p>
      <w:pPr>
        <w:pStyle w:val="ListBullet"/>
        <w:spacing w:after="40"/>
        <w:ind w:left="360"/>
      </w:pPr>
      <w:r>
        <w:rPr>
          <w:sz w:val="18"/>
        </w:rPr>
        <w:t>When a new final export is created for Programs 41 or 42, add the entire new package rather than overwriting the milestone folder.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2"/>
      </w:tblGrid>
      <w:tr>
        <w:trPr>
          <w:cantSplit/>
        </w:trPr>
        <w:tc>
          <w:tcPr>
            <w:tcW w:type="dxa" w:w="14256"/>
            <w:shd w:fill="F3F0F5"/>
            <w:tcBorders>
              <w:left w:val="single" w:sz="22" w:color="FFF200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b/>
                <w:color w:val="28232D"/>
                <w:sz w:val="18"/>
              </w:rPr>
              <w:t>The manifest protects file integrity; it does not independently validate the economic model or customer applicability. Those require technical review and authorized real-data testing.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 w:after="80"/>
      </w:pPr>
      <w:r>
        <w:t>11. Reviewer Paths — Two Minutes, Ten Minutes, or Technical Due Diligence</w:t>
      </w:r>
    </w:p>
    <w:p>
      <w:pPr>
        <w:pStyle w:val="Heading2"/>
      </w:pPr>
      <w:r>
        <w:t>Two-minute orientation</w:t>
      </w:r>
    </w:p>
    <w:p>
      <w:pPr>
        <w:pStyle w:val="ListBullet"/>
        <w:spacing w:after="40"/>
        <w:ind w:left="360"/>
      </w:pPr>
      <w:r>
        <w:rPr>
          <w:sz w:val="18"/>
        </w:rPr>
        <w:t>Read this document’s program status map.</w:t>
      </w:r>
    </w:p>
    <w:p>
      <w:pPr>
        <w:pStyle w:val="ListBullet"/>
        <w:spacing w:after="40"/>
        <w:ind w:left="360"/>
      </w:pPr>
      <w:r>
        <w:rPr>
          <w:sz w:val="18"/>
        </w:rPr>
        <w:t>Open the final HTML for Programs 36, 38, and 40.</w:t>
      </w:r>
    </w:p>
    <w:p>
      <w:pPr>
        <w:pStyle w:val="ListBullet"/>
        <w:spacing w:after="40"/>
        <w:ind w:left="360"/>
      </w:pPr>
      <w:r>
        <w:rPr>
          <w:sz w:val="18"/>
        </w:rPr>
        <w:t>Open the twelve-hour milestone HTML for Programs 41 and 42.</w:t>
      </w:r>
    </w:p>
    <w:p>
      <w:pPr>
        <w:pStyle w:val="ListBullet"/>
        <w:spacing w:after="40"/>
        <w:ind w:left="360"/>
      </w:pPr>
      <w:r>
        <w:rPr>
          <w:sz w:val="18"/>
        </w:rPr>
        <w:t>Do not treat the zero-round startup files as results.</w:t>
      </w:r>
    </w:p>
    <w:p>
      <w:pPr>
        <w:pStyle w:val="Heading2"/>
      </w:pPr>
      <w:r>
        <w:t>Ten-minute evidence review</w:t>
      </w:r>
    </w:p>
    <w:p>
      <w:pPr>
        <w:pStyle w:val="ListBullet"/>
        <w:spacing w:after="40"/>
        <w:ind w:left="360"/>
      </w:pPr>
      <w:r>
        <w:rPr>
          <w:sz w:val="18"/>
        </w:rPr>
        <w:t>Read the executive result and evidence boundary in each selected HTML.</w:t>
      </w:r>
    </w:p>
    <w:p>
      <w:pPr>
        <w:pStyle w:val="ListBullet"/>
        <w:spacing w:after="40"/>
        <w:ind w:left="360"/>
      </w:pPr>
      <w:r>
        <w:rPr>
          <w:sz w:val="18"/>
        </w:rPr>
        <w:t>Compare runtime, completed rounds, median, worst round, positive-round count, and cumulative modeled value.</w:t>
      </w:r>
    </w:p>
    <w:p>
      <w:pPr>
        <w:pStyle w:val="ListBullet"/>
        <w:spacing w:after="40"/>
        <w:ind w:left="360"/>
      </w:pPr>
      <w:r>
        <w:rPr>
          <w:sz w:val="18"/>
        </w:rPr>
        <w:t>Check the milestone-to-final continuity for Programs 36, 38, and 40.</w:t>
      </w:r>
    </w:p>
    <w:p>
      <w:pPr>
        <w:pStyle w:val="ListBullet"/>
        <w:spacing w:after="40"/>
        <w:ind w:left="360"/>
      </w:pPr>
      <w:r>
        <w:rPr>
          <w:sz w:val="18"/>
        </w:rPr>
        <w:t>Open the public incident snapshot for Program 40 and the valid Program 42 milestone.</w:t>
      </w:r>
    </w:p>
    <w:p>
      <w:pPr>
        <w:pStyle w:val="Heading2"/>
      </w:pPr>
      <w:r>
        <w:t>Technical due diligence</w:t>
      </w:r>
    </w:p>
    <w:p>
      <w:pPr>
        <w:pStyle w:val="ListBullet"/>
        <w:spacing w:after="40"/>
        <w:ind w:left="360"/>
      </w:pPr>
      <w:r>
        <w:rPr>
          <w:sz w:val="18"/>
        </w:rPr>
        <w:t>Inspect RUN_LOGS JSON for full round arrays, controller totals, event logs, profiles, configuration, and export metadata.</w:t>
      </w:r>
    </w:p>
    <w:p>
      <w:pPr>
        <w:pStyle w:val="ListBullet"/>
        <w:spacing w:after="40"/>
        <w:ind w:left="360"/>
      </w:pPr>
      <w:r>
        <w:rPr>
          <w:sz w:val="18"/>
        </w:rPr>
        <w:t>Recompute SHA-256 hashes and compare them with each package manifest.</w:t>
      </w:r>
    </w:p>
    <w:p>
      <w:pPr>
        <w:pStyle w:val="ListBullet"/>
        <w:spacing w:after="40"/>
        <w:ind w:left="360"/>
      </w:pPr>
      <w:r>
        <w:rPr>
          <w:sz w:val="18"/>
        </w:rPr>
        <w:t>Confirm master seed, source SHA-256, evidence payload SHA-256, started_utc, ended_utc, export_kind, and minimum_reached.</w:t>
      </w:r>
    </w:p>
    <w:p>
      <w:pPr>
        <w:pStyle w:val="ListBullet"/>
        <w:spacing w:after="40"/>
        <w:ind w:left="360"/>
      </w:pPr>
      <w:r>
        <w:rPr>
          <w:sz w:val="18"/>
        </w:rPr>
        <w:t>Review the preserved program source privately under the appropriate confidentiality and trade-secret controls.</w:t>
      </w:r>
    </w:p>
    <w:p>
      <w:pPr>
        <w:pStyle w:val="ListBullet"/>
        <w:spacing w:after="40"/>
        <w:ind w:left="360"/>
      </w:pPr>
      <w:r>
        <w:rPr>
          <w:sz w:val="18"/>
        </w:rPr>
        <w:t>Repeat the method in an authorized read-only customer shadow pilot using pre-agreed measurement rules.</w:t>
      </w:r>
    </w:p>
    <w:p>
      <w:r>
        <w:br w:type="page"/>
      </w:r>
    </w:p>
    <w:p>
      <w:pPr>
        <w:pStyle w:val="Heading1"/>
        <w:spacing w:before="0" w:after="80"/>
      </w:pPr>
      <w:r>
        <w:t>12. Correct Evidence Boundaries and Historical Display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032"/>
        <w:gridCol w:w="9792"/>
      </w:tblGrid>
      <w:tr>
        <w:trPr>
          <w:cantSplit/>
        </w:trPr>
        <w:tc>
          <w:tcPr>
            <w:tcW w:type="dxa" w:w="7128"/>
            <w:shd w:fill="050107"/>
          </w:tcPr>
          <w:p>
            <w:r>
              <w:rPr>
                <w:b/>
                <w:color w:val="C23A82"/>
                <w:sz w:val="17"/>
              </w:rPr>
              <w:t>Boundary</w:t>
            </w:r>
          </w:p>
        </w:tc>
        <w:tc>
          <w:tcPr>
            <w:tcW w:type="dxa" w:w="7128"/>
            <w:shd w:fill="050107"/>
          </w:tcPr>
          <w:p>
            <w:r>
              <w:rPr>
                <w:b/>
                <w:color w:val="C23A82"/>
                <w:sz w:val="17"/>
              </w:rPr>
              <w:t>Correct interpretation</w:t>
            </w:r>
          </w:p>
        </w:tc>
      </w:tr>
      <w:tr>
        <w:trPr>
          <w:cantSplit/>
        </w:trPr>
        <w:tc>
          <w:tcPr>
            <w:tcW w:type="dxa" w:w="4032"/>
          </w:tcPr>
          <w:p>
            <w:r>
              <w:t>Modeled values</w:t>
            </w:r>
          </w:p>
        </w:tc>
        <w:tc>
          <w:tcPr>
            <w:tcW w:type="dxa" w:w="9792"/>
          </w:tcPr>
          <w:p>
            <w:r>
              <w:t>Controlled estimates of avoided operational friction under the declared test rules; not realized cash or collected revenue.</w:t>
            </w:r>
          </w:p>
        </w:tc>
      </w:tr>
      <w:tr>
        <w:trPr>
          <w:cantSplit/>
        </w:trPr>
        <w:tc>
          <w:tcPr>
            <w:tcW w:type="dxa" w:w="4032"/>
          </w:tcPr>
          <w:p>
            <w:r>
              <w:t>Named companies</w:t>
            </w:r>
          </w:p>
        </w:tc>
        <w:tc>
          <w:tcPr>
            <w:tcW w:type="dxa" w:w="9792"/>
          </w:tcPr>
          <w:p>
            <w:r>
              <w:t>The runs do not claim access to named private payment, banking, treasury, or network systems.</w:t>
            </w:r>
          </w:p>
        </w:tc>
      </w:tr>
      <w:tr>
        <w:trPr>
          <w:cantSplit/>
        </w:trPr>
        <w:tc>
          <w:tcPr>
            <w:tcW w:type="dxa" w:w="4032"/>
          </w:tcPr>
          <w:p>
            <w:r>
              <w:t>Public incidents</w:t>
            </w:r>
          </w:p>
        </w:tc>
        <w:tc>
          <w:tcPr>
            <w:tcW w:type="dxa" w:w="9792"/>
          </w:tcPr>
          <w:p>
            <w:r>
              <w:t>External records shape a frozen schedule; they do not reproduce provider-private traffic or losses.</w:t>
            </w:r>
          </w:p>
        </w:tc>
      </w:tr>
      <w:tr>
        <w:trPr>
          <w:cantSplit/>
        </w:trPr>
        <w:tc>
          <w:tcPr>
            <w:tcW w:type="dxa" w:w="4032"/>
          </w:tcPr>
          <w:p>
            <w:r>
              <w:t>Commercial percentage</w:t>
            </w:r>
          </w:p>
        </w:tc>
        <w:tc>
          <w:tcPr>
            <w:tcW w:type="dxa" w:w="9792"/>
          </w:tcPr>
          <w:p>
            <w:r>
              <w:t>Program 40 preserves a historical illustrative 35% display. Programs 41 and 42 use an illustrative 50% display. Current terms are governed by separate commercial documents.</w:t>
            </w:r>
          </w:p>
        </w:tc>
      </w:tr>
      <w:tr>
        <w:trPr>
          <w:cantSplit/>
        </w:trPr>
        <w:tc>
          <w:tcPr>
            <w:tcW w:type="dxa" w:w="4032"/>
          </w:tcPr>
          <w:p>
            <w:r>
              <w:t>Final filename</w:t>
            </w:r>
          </w:p>
        </w:tc>
        <w:tc>
          <w:tcPr>
            <w:tcW w:type="dxa" w:w="9792"/>
          </w:tcPr>
          <w:p>
            <w:r>
              <w:t>Means operator-stopped export. Check minimum_reached and completed rounds before calling it final evidence.</w:t>
            </w:r>
          </w:p>
        </w:tc>
      </w:tr>
      <w:tr>
        <w:trPr>
          <w:cantSplit/>
        </w:trPr>
        <w:tc>
          <w:tcPr>
            <w:tcW w:type="dxa" w:w="4032"/>
          </w:tcPr>
          <w:p>
            <w:r>
              <w:t>Source code</w:t>
            </w:r>
          </w:p>
        </w:tc>
        <w:tc>
          <w:tcPr>
            <w:tcW w:type="dxa" w:w="9792"/>
          </w:tcPr>
          <w:p>
            <w:r>
              <w:t>Intentionally excluded from the public evidence package. Source hashes preserve a verification handle without exposing the protected core.</w:t>
            </w:r>
          </w:p>
        </w:tc>
      </w:tr>
      <w:tr>
        <w:trPr>
          <w:cantSplit/>
        </w:trPr>
        <w:tc>
          <w:tcPr>
            <w:tcW w:type="dxa" w:w="4032"/>
          </w:tcPr>
          <w:p>
            <w:r>
              <w:t>Customer claim</w:t>
            </w:r>
          </w:p>
        </w:tc>
        <w:tc>
          <w:tcPr>
            <w:tcW w:type="dxa" w:w="9792"/>
          </w:tcPr>
          <w:p>
            <w:r>
              <w:t>The next commercial gate is independent review and an authorized read-only customer shadow pilot.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2"/>
      </w:tblGrid>
      <w:tr>
        <w:trPr>
          <w:cantSplit/>
        </w:trPr>
        <w:tc>
          <w:tcPr>
            <w:tcW w:type="dxa" w:w="14256"/>
            <w:shd w:fill="F3F0F5"/>
            <w:tcBorders>
              <w:left w:val="single" w:sz="22" w:color="FFF200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b/>
                <w:color w:val="28232D"/>
                <w:sz w:val="18"/>
              </w:rPr>
              <w:t>Core conclusion: this folder preserves repeatable controlled signals, long-duration continuity, distributions that include downside, and traceable evidence packages. It does not claim guaranteed customer savings.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 w:after="80"/>
      </w:pPr>
      <w:r>
        <w:t>13. Final Reviewer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10944"/>
      </w:tblGrid>
      <w:tr>
        <w:trPr>
          <w:cantSplit/>
        </w:trPr>
        <w:tc>
          <w:tcPr>
            <w:tcW w:type="dxa" w:w="7128"/>
            <w:shd w:fill="050107"/>
          </w:tcPr>
          <w:p>
            <w:r>
              <w:rPr>
                <w:b/>
                <w:color w:val="FFF200"/>
                <w:sz w:val="17"/>
              </w:rPr>
              <w:t>Check</w:t>
            </w:r>
          </w:p>
        </w:tc>
        <w:tc>
          <w:tcPr>
            <w:tcW w:type="dxa" w:w="7128"/>
            <w:shd w:fill="050107"/>
          </w:tcPr>
          <w:p>
            <w:r>
              <w:rPr>
                <w:b/>
                <w:color w:val="FFF200"/>
                <w:sz w:val="17"/>
              </w:rPr>
              <w:t>Question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Run identity</w:t>
            </w:r>
          </w:p>
        </w:tc>
        <w:tc>
          <w:tcPr>
            <w:tcW w:type="dxa" w:w="10944"/>
          </w:tcPr>
          <w:p>
            <w:r>
              <w:t>Did I confirm program number, run folder, master seed, and timestamps?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Export type</w:t>
            </w:r>
          </w:p>
        </w:tc>
        <w:tc>
          <w:tcPr>
            <w:tcW w:type="dxa" w:w="10944"/>
          </w:tcPr>
          <w:p>
            <w:r>
              <w:t>Is this a twelve-hour milestone, a true long-duration final, or a zero-round startup/preflight export?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Minimum</w:t>
            </w:r>
          </w:p>
        </w:tc>
        <w:tc>
          <w:tcPr>
            <w:tcW w:type="dxa" w:w="10944"/>
          </w:tcPr>
          <w:p>
            <w:r>
              <w:t>Does minimum_reached equal true, and how many complete rounds exist?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Distribution</w:t>
            </w:r>
          </w:p>
        </w:tc>
        <w:tc>
          <w:tcPr>
            <w:tcW w:type="dxa" w:w="10944"/>
          </w:tcPr>
          <w:p>
            <w:r>
              <w:t>What do the median, lower tail, worst round, and positive-round count show?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Pairing</w:t>
            </w:r>
          </w:p>
        </w:tc>
        <w:tc>
          <w:tcPr>
            <w:tcW w:type="dxa" w:w="10944"/>
          </w:tcPr>
          <w:p>
            <w:r>
              <w:t>Am I reading the HTML and RUN_LOGS JSON from the same run and export moment?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Integrity</w:t>
            </w:r>
          </w:p>
        </w:tc>
        <w:tc>
          <w:tcPr>
            <w:tcW w:type="dxa" w:w="10944"/>
          </w:tcPr>
          <w:p>
            <w:r>
              <w:t>Does a manifest exist, and do the file hashes match?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Inputs</w:t>
            </w:r>
          </w:p>
        </w:tc>
        <w:tc>
          <w:tcPr>
            <w:tcW w:type="dxa" w:w="10944"/>
          </w:tcPr>
          <w:p>
            <w:r>
              <w:t>Is there a public incident snapshot or controlled schedule that must travel with the report?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Commercial display</w:t>
            </w:r>
          </w:p>
        </w:tc>
        <w:tc>
          <w:tcPr>
            <w:tcW w:type="dxa" w:w="10944"/>
          </w:tcPr>
          <w:p>
            <w:r>
              <w:t>Is the displayed percentage historical or illustrative rather than contractual?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Evidence boundary</w:t>
            </w:r>
          </w:p>
        </w:tc>
        <w:tc>
          <w:tcPr>
            <w:tcW w:type="dxa" w:w="10944"/>
          </w:tcPr>
          <w:p>
            <w:r>
              <w:t>Am I keeping the conclusion within controlled modeled testing?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Next gate</w:t>
            </w:r>
          </w:p>
        </w:tc>
        <w:tc>
          <w:tcPr>
            <w:tcW w:type="dxa" w:w="10944"/>
          </w:tcPr>
          <w:p>
            <w:r>
              <w:t>What requires independent review or authorized customer data?</w:t>
            </w:r>
          </w:p>
        </w:tc>
      </w:tr>
    </w:tbl>
    <w:p/>
    <w:p>
      <w:pPr>
        <w:pStyle w:val="Heading2"/>
      </w:pPr>
      <w:r>
        <w:t>Final interpretation</w:t>
      </w:r>
    </w:p>
    <w:p>
      <w:r>
        <w:t>PROGRAMS DOC INFO is the deeper technical evidence layer behind the interactive portfolio. It preserves the human-readable reports, machine-readable logs, integrity manifests, and frozen public-input records needed to move from a visual claim to a reviewable evidence chain.</w:t>
      </w:r>
    </w:p>
    <w:p>
      <w:r>
        <w:t>Programs 36, 38, and 40 are the completed long-duration packages in this folder. Programs 41 and 42 currently contribute valid twelve-hour milestones for continuing live runs. Their separate zero-round startup exports remain part of the historical record but are not outcome evidence.</w:t>
      </w:r>
    </w:p>
    <w:sectPr w:rsidR="00FC693F" w:rsidRPr="0006063C" w:rsidSect="00034616">
      <w:headerReference w:type="default" r:id="rId15"/>
      <w:footerReference w:type="default" r:id="rId16"/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786E7D"/>
        <w:sz w:val="15"/>
      </w:rPr>
      <w:t>Logic Engine by Glyph Systems  •  Controlled evidence package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00D2DC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00D2DC"/>
      </w:pBdr>
    </w:pPr>
    <w:r>
      <w:rPr>
        <w:rFonts w:ascii="Aptos Display" w:hAnsi="Aptos Display"/>
        <w:b/>
        <w:color w:val="00D2DC"/>
        <w:sz w:val="16"/>
      </w:rPr>
      <w:t>GLYPH SYSTEMS</w:t>
    </w:r>
    <w:r>
      <w:rPr>
        <w:rFonts w:ascii="Aptos" w:hAnsi="Aptos"/>
        <w:color w:val="6E6473"/>
        <w:sz w:val="16"/>
      </w:rPr>
      <w:t xml:space="preserve">   |   Program Evidence Folder Technical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1F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B9C1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C23A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87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eader" Target="header2.xml"/><Relationship Id="rId16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Glyph Systems Program Evidence Folder Technical Guide</dc:title>
  <dc:subject>Technical reading guide and file index for PROGRAMS DOC INFO</dc:subject>
  <dc:creator>Glyph Systems</dc:creator>
  <cp:keywords>Glyph Systems, Logic Engine, evidence folder, run logs, HTML reports, manifests, SHA-256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