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0"/>
          <w:footerReference w:type="default" r:id="rId11"/>
          <w:pgSz w:w="12240" w:h="15840"/>
          <w:pgMar w:top="0" w:right="0" w:bottom="0" w:left="0" w:header="0" w:footer="0" w:gutter="0"/>
          <w:cols w:space="720"/>
          <w:titlePg/>
          <w:docGrid w:linePitch="360"/>
        </w:sectPr>
      </w:pPr>
    </w:p>
    <w:p>
      <w:pPr>
        <w:pStyle w:val="Title"/>
      </w:pPr>
      <w:r>
        <w:t>Commercialization Funding Plan</w:t>
      </w:r>
    </w:p>
    <w:p>
      <w:pPr>
        <w:pStyle w:val="ExecutiveSummary"/>
      </w:pPr>
      <w:r>
        <w:t>Glyph Systems is seeking approximately $3.5 million in committed capital to move Logic Engine from controlled technical evidence into independent validation, secure customer pilots, and commercial operation.</w:t>
      </w:r>
    </w:p>
    <w:p>
      <w:pPr>
        <w:pStyle w:val="ExecutiveSummary"/>
      </w:pPr>
      <w:r>
        <w:t>The proposed funding provides an estimated 18-month commercialization runway. The company will use this period to protect the underlying intellectual property, harden the technical architecture, complete independent security and performance reviews, build a specialized operating team, and establish the first authorized customer deployments.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2"/>
      </w:tblGrid>
      <w:tr>
        <w:trPr>
          <w:cantSplit/>
          <w:tblHeader w:val="true"/>
        </w:trPr>
        <w:tc>
          <w:tcPr>
            <w:tcW w:type="dxa" w:w="10022"/>
            <w:shd w:fill="F4F3F8"/>
            <w:tcBorders>
              <w:top w:val="nil"/>
              <w:left w:val="single" w:sz="18" w:color="00EAF2"/>
              <w:bottom w:val="nil"/>
              <w:right w:val="nil"/>
            </w:tcBorders>
          </w:tcPr>
          <w:p>
            <w:pPr>
              <w:pStyle w:val="Callout"/>
            </w:pPr>
            <w:r>
              <w:t>Funding objective: build the people, validation, security, infrastructure, legal protection, and customer-pilot capability required to convert controlled evidence into independently verified commercial performance.</w:t>
            </w:r>
          </w:p>
        </w:tc>
      </w:tr>
    </w:tbl>
    <w:p>
      <w:pPr>
        <w:spacing w:after="0"/>
      </w:pPr>
    </w:p>
    <w:p>
      <w:pPr>
        <w:pStyle w:val="Heading1"/>
      </w:pPr>
      <w:r>
        <w:t>1. Funding Objective</w:t>
      </w:r>
    </w:p>
    <w:p>
      <w:r>
        <w:t>Logic Engine has already produced a substantial controlled evidence record across short calibration tests, multi-hour endurance runs, and multi-day operating demonstrations. Those results are modeled and controlled; they are not yet realized customer savings.</w:t>
      </w:r>
    </w:p>
    <w:p>
      <w:r>
        <w:t>The next proper gate is independent review followed by read-only customer shadow pilots under agreed measurement rules. The proposed raise is designed to finance that transition without forcing premature production deployment or weakening protection of the core architecture.</w:t>
      </w:r>
    </w:p>
    <w:p>
      <w:pPr>
        <w:pStyle w:val="ListBullet"/>
        <w:spacing w:after="60"/>
      </w:pPr>
      <w:r>
        <w:t>Proposed raise: approximately $3.5 million</w:t>
      </w:r>
    </w:p>
    <w:p>
      <w:pPr>
        <w:pStyle w:val="ListBullet"/>
        <w:spacing w:after="60"/>
      </w:pPr>
      <w:r>
        <w:t>Planned runway: approximately 18 months</w:t>
      </w:r>
    </w:p>
    <w:p>
      <w:pPr>
        <w:pStyle w:val="ListBullet"/>
        <w:spacing w:after="60"/>
      </w:pPr>
      <w:r>
        <w:t>Primary objective: independent proof, secure pilots, and commercial readiness</w:t>
      </w:r>
    </w:p>
    <w:p>
      <w:pPr>
        <w:pStyle w:val="ListBullet"/>
        <w:spacing w:after="60"/>
      </w:pPr>
      <w:r>
        <w:t>Commercial boundary: no performance payment without measured and verified savings</w:t>
      </w:r>
    </w:p>
    <w:p>
      <w:pPr>
        <w:pStyle w:val="Heading1"/>
      </w:pPr>
      <w:r>
        <w:t>2. Funding Assumptions</w:t>
      </w:r>
    </w:p>
    <w:p>
      <w:r>
        <w:t>The compensation figures in this plan are gross annual base salaries. They are not take-home amounts. Glyph Systems will separately budget for employer payroll obligations, benefits, insurance, recruiting, equipment, and related employment costs.</w:t>
      </w:r>
    </w:p>
    <w:p>
      <w:pPr>
        <w:pStyle w:val="ListBullet"/>
        <w:spacing w:after="60"/>
      </w:pPr>
      <w:r>
        <w:t>Role compensation is tied to defined, accountable operating responsibilities rather than personal distributions.</w:t>
      </w:r>
    </w:p>
    <w:p>
      <w:pPr>
        <w:pStyle w:val="ListBullet"/>
        <w:spacing w:after="60"/>
      </w:pPr>
      <w:r>
        <w:t>Final employer costs will depend on hiring location, employment structure, benefit design, insurance, and professional payroll advice.</w:t>
      </w:r>
    </w:p>
    <w:p>
      <w:pPr>
        <w:pStyle w:val="ListBullet"/>
        <w:spacing w:after="60"/>
      </w:pPr>
      <w:r>
        <w:t>The proposed category allocations are planning estimates and may move as independent reviewers, customers, and hiring requirements become clearer.</w:t>
      </w:r>
    </w:p>
    <w:p>
      <w:pPr>
        <w:pStyle w:val="ListBullet"/>
        <w:spacing w:after="60"/>
      </w:pPr>
      <w:r>
        <w:t>Personal living or relocation expenses are handled through agreed compensation; legitimate company infrastructure and operating expenses remain separate.</w:t>
      </w:r>
    </w:p>
    <w:p>
      <w:pPr>
        <w:pStyle w:val="Heading1"/>
      </w:pPr>
      <w:r>
        <w:t>3. Initial Leadership and Engineering Team</w:t>
      </w:r>
    </w:p>
    <w:p>
      <w:r>
        <w:t>Glyph Systems requires a focused initial team capable of moving a protected financial-recovery system from controlled evidence into professional validation, customer integration, and repeatable operation.</w:t>
      </w:r>
    </w:p>
    <w:p>
      <w:pPr>
        <w:pStyle w:val="Heading2"/>
      </w:pPr>
      <w:r>
        <w:t>Founder and Chief Architect</w:t>
      </w:r>
    </w:p>
    <w:p>
      <w:pPr>
        <w:spacing w:after="80"/>
      </w:pPr>
      <w:r>
        <w:rPr>
          <w:b/>
          <w:color w:val="FFF200"/>
        </w:rPr>
        <w:t>Planned gross annual base salary: $160,000</w:t>
      </w:r>
    </w:p>
    <w:p>
      <w:r>
        <w:t>The Founder and Chief Architect retains responsibility for the protected architecture, product direction, and final technical decisions.</w:t>
      </w:r>
    </w:p>
    <w:p>
      <w:pPr>
        <w:pStyle w:val="ListBullet"/>
        <w:spacing w:after="60"/>
      </w:pPr>
      <w:r>
        <w:t>Protected Logic Engine architecture and technical direction</w:t>
      </w:r>
    </w:p>
    <w:p>
      <w:pPr>
        <w:pStyle w:val="ListBullet"/>
        <w:spacing w:after="60"/>
      </w:pPr>
      <w:r>
        <w:t>Research, product decisions, and continued system development</w:t>
      </w:r>
    </w:p>
    <w:p>
      <w:pPr>
        <w:pStyle w:val="ListBullet"/>
        <w:spacing w:after="60"/>
      </w:pPr>
      <w:r>
        <w:t>Protection of the proprietary decision system</w:t>
      </w:r>
    </w:p>
    <w:p>
      <w:pPr>
        <w:pStyle w:val="ListBullet"/>
        <w:spacing w:after="60"/>
      </w:pPr>
      <w:r>
        <w:t>Coordination with the principal engineer and commercial leadership</w:t>
      </w:r>
    </w:p>
    <w:p>
      <w:pPr>
        <w:pStyle w:val="ListBullet"/>
        <w:spacing w:after="60"/>
      </w:pPr>
      <w:r>
        <w:t>Final approval of architecture-sensitive implementation decisions</w:t>
      </w:r>
    </w:p>
    <w:p>
      <w:pPr>
        <w:pStyle w:val="Heading2"/>
      </w:pPr>
      <w:r>
        <w:t>Chief Business Officer and Strategic Partnerships</w:t>
      </w:r>
    </w:p>
    <w:p>
      <w:pPr>
        <w:spacing w:after="80"/>
      </w:pPr>
      <w:r>
        <w:rPr>
          <w:b/>
          <w:color w:val="FFF200"/>
        </w:rPr>
        <w:t>Planned gross annual base salary: $160,000</w:t>
      </w:r>
    </w:p>
    <w:p>
      <w:r>
        <w:t>This role leads major business communication and financial-sector relationship development, assuming a defined, full-time, and accountable operating role.</w:t>
      </w:r>
    </w:p>
    <w:p>
      <w:pPr>
        <w:pStyle w:val="ListBullet"/>
        <w:spacing w:after="60"/>
      </w:pPr>
      <w:r>
        <w:t>Investor communication and strategic presentations</w:t>
      </w:r>
    </w:p>
    <w:p>
      <w:pPr>
        <w:pStyle w:val="ListBullet"/>
        <w:spacing w:after="60"/>
      </w:pPr>
      <w:r>
        <w:t>Financial-sector relationships and qualified introductions</w:t>
      </w:r>
    </w:p>
    <w:p>
      <w:pPr>
        <w:pStyle w:val="ListBullet"/>
        <w:spacing w:after="60"/>
      </w:pPr>
      <w:r>
        <w:t>Commercial partnerships and major proposals</w:t>
      </w:r>
    </w:p>
    <w:p>
      <w:pPr>
        <w:pStyle w:val="ListBullet"/>
        <w:spacing w:after="60"/>
      </w:pPr>
      <w:r>
        <w:t>Business-development strategy</w:t>
      </w:r>
    </w:p>
    <w:p>
      <w:pPr>
        <w:pStyle w:val="ListBullet"/>
        <w:spacing w:after="60"/>
      </w:pPr>
      <w:r>
        <w:t>Translation of technical evidence into clear commercial language</w:t>
      </w:r>
    </w:p>
    <w:p>
      <w:pPr>
        <w:pStyle w:val="Heading2"/>
      </w:pPr>
      <w:r>
        <w:t>Head of Commercial Operations</w:t>
      </w:r>
    </w:p>
    <w:p>
      <w:pPr>
        <w:spacing w:after="80"/>
      </w:pPr>
      <w:r>
        <w:rPr>
          <w:b/>
          <w:color w:val="FFF200"/>
        </w:rPr>
        <w:t>Planned gross annual base salary: $200,000</w:t>
      </w:r>
    </w:p>
    <w:p>
      <w:r>
        <w:t>This position is broader than a traditional manager. It coordinates the day-to-day commercial execution needed to turn qualified relationships into active pilots and contracts.</w:t>
      </w:r>
    </w:p>
    <w:p>
      <w:pPr>
        <w:pStyle w:val="ListBullet"/>
        <w:spacing w:after="60"/>
      </w:pPr>
      <w:r>
        <w:t>Customer outreach, sales operations, and relationship management</w:t>
      </w:r>
    </w:p>
    <w:p>
      <w:pPr>
        <w:pStyle w:val="ListBullet"/>
        <w:spacing w:after="60"/>
      </w:pPr>
      <w:r>
        <w:t>Proposal development and customer follow-up</w:t>
      </w:r>
    </w:p>
    <w:p>
      <w:pPr>
        <w:pStyle w:val="ListBullet"/>
        <w:spacing w:after="60"/>
      </w:pPr>
      <w:r>
        <w:t>Pilot coordination and execution oversight</w:t>
      </w:r>
    </w:p>
    <w:p>
      <w:pPr>
        <w:pStyle w:val="ListBullet"/>
        <w:spacing w:after="60"/>
      </w:pPr>
      <w:r>
        <w:t>Internal operating systems, scheduling, and hiring support</w:t>
      </w:r>
    </w:p>
    <w:p>
      <w:pPr>
        <w:pStyle w:val="ListBullet"/>
        <w:spacing w:after="60"/>
      </w:pPr>
      <w:r>
        <w:t>Movement of qualified prospects toward active commercial opportunities</w:t>
      </w:r>
    </w:p>
    <w:p>
      <w:pPr>
        <w:pStyle w:val="Heading2"/>
      </w:pPr>
      <w:r>
        <w:t>Principal Logic Engine Engineer</w:t>
      </w:r>
    </w:p>
    <w:p>
      <w:pPr>
        <w:spacing w:after="80"/>
      </w:pPr>
      <w:r>
        <w:rPr>
          <w:b/>
          <w:color w:val="FFF200"/>
        </w:rPr>
        <w:t>Planned gross annual base salary: $250,000</w:t>
      </w:r>
    </w:p>
    <w:p>
      <w:r>
        <w:t>This is a specialized deep-technology role rather than a conventional software-development position.</w:t>
      </w:r>
    </w:p>
    <w:p>
      <w:pPr>
        <w:pStyle w:val="ListBullet"/>
        <w:spacing w:after="60"/>
      </w:pPr>
      <w:r>
        <w:t>Protected-core implementation and reliability engineering</w:t>
      </w:r>
    </w:p>
    <w:p>
      <w:pPr>
        <w:pStyle w:val="ListBullet"/>
        <w:spacing w:after="60"/>
      </w:pPr>
      <w:r>
        <w:t>Customer integration and secure interface development</w:t>
      </w:r>
    </w:p>
    <w:p>
      <w:pPr>
        <w:pStyle w:val="ListBullet"/>
        <w:spacing w:after="60"/>
      </w:pPr>
      <w:r>
        <w:t>Test automation, documentation, and code maintenance</w:t>
      </w:r>
    </w:p>
    <w:p>
      <w:pPr>
        <w:pStyle w:val="ListBullet"/>
        <w:spacing w:after="60"/>
      </w:pPr>
      <w:r>
        <w:t>Deployment architecture and technical quality control</w:t>
      </w:r>
    </w:p>
    <w:p>
      <w:pPr>
        <w:pStyle w:val="ListBullet"/>
        <w:spacing w:after="60"/>
      </w:pPr>
      <w:r>
        <w:t>Translation of the founder's architecture into a professionally operated commercial system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2"/>
      </w:tblGrid>
      <w:tr>
        <w:trPr>
          <w:cantSplit/>
          <w:tblHeader w:val="true"/>
        </w:trPr>
        <w:tc>
          <w:tcPr>
            <w:tcW w:type="dxa" w:w="10022"/>
            <w:shd w:fill="F4F3F8"/>
            <w:tcBorders>
              <w:top w:val="nil"/>
              <w:left w:val="single" w:sz="18" w:color="FFF200"/>
              <w:bottom w:val="nil"/>
              <w:right w:val="nil"/>
            </w:tcBorders>
          </w:tcPr>
          <w:p>
            <w:pPr>
              <w:pStyle w:val="Callout"/>
            </w:pPr>
            <w:r>
              <w:t>Combined annual gross base salary: approximately $770,000. Total annual employer-cost planning range: approximately $950,000 to $1 million, depending on employment structure and benefits.</w:t>
            </w:r>
          </w:p>
        </w:tc>
      </w:tr>
    </w:tbl>
    <w:p>
      <w:pPr>
        <w:spacing w:after="0"/>
      </w:pPr>
    </w:p>
    <w:p>
      <w:pPr>
        <w:pStyle w:val="Heading1"/>
      </w:pPr>
      <w:r>
        <w:t>4. Proposed Use of Funds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3217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ding_allocation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217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1"/>
        <w:gridCol w:w="3341"/>
        <w:gridCol w:w="3341"/>
      </w:tblGrid>
      <w:tr>
        <w:trPr>
          <w:cantSplit/>
          <w:tblHeader w:val="true"/>
        </w:trPr>
        <w:tc>
          <w:tcPr>
            <w:tcW w:type="dxa" w:w="3341"/>
            <w:shd w:fill="030006"/>
            <w:vAlign w:val="center"/>
          </w:tcPr>
          <w:p>
            <w:r>
              <w:rPr>
                <w:b/>
                <w:color w:val="FFFFFF"/>
                <w:sz w:val="19"/>
              </w:rPr>
              <w:t>Funding category</w:t>
            </w:r>
          </w:p>
        </w:tc>
        <w:tc>
          <w:tcPr>
            <w:tcW w:type="dxa" w:w="3341"/>
            <w:shd w:fill="030006"/>
            <w:vAlign w:val="center"/>
          </w:tcPr>
          <w:p>
            <w:r>
              <w:rPr>
                <w:b/>
                <w:color w:val="FFFFFF"/>
                <w:sz w:val="19"/>
              </w:rPr>
              <w:t>Allocation</w:t>
            </w:r>
          </w:p>
        </w:tc>
        <w:tc>
          <w:tcPr>
            <w:tcW w:type="dxa" w:w="3341"/>
            <w:shd w:fill="030006"/>
            <w:vAlign w:val="center"/>
          </w:tcPr>
          <w:p>
            <w:r>
              <w:rPr>
                <w:b/>
                <w:color w:val="FFFFFF"/>
                <w:sz w:val="19"/>
              </w:rPr>
              <w:t>Share</w:t>
            </w:r>
          </w:p>
        </w:tc>
      </w:tr>
      <w:tr>
        <w:trPr>
          <w:cantSplit/>
        </w:trPr>
        <w:tc>
          <w:tcPr>
            <w:tcW w:type="dxa" w:w="3341"/>
            <w:shd w:fill="F5F4F8"/>
            <w:vAlign w:val="center"/>
          </w:tcPr>
          <w:p>
            <w:r>
              <w:rPr>
                <w:color w:val="20202A"/>
                <w:sz w:val="18"/>
              </w:rPr>
              <w:t>Core team, leadership &amp; employer costs</w:t>
            </w:r>
          </w:p>
        </w:tc>
        <w:tc>
          <w:tcPr>
            <w:tcW w:type="dxa" w:w="3341"/>
            <w:shd w:fill="F5F4F8"/>
            <w:vAlign w:val="center"/>
          </w:tcPr>
          <w:p>
            <w:pPr>
              <w:jc w:val="right"/>
            </w:pPr>
            <w:r>
              <w:rPr>
                <w:color w:val="20202A"/>
                <w:sz w:val="18"/>
              </w:rPr>
              <w:t>$1,500,000</w:t>
            </w:r>
          </w:p>
        </w:tc>
        <w:tc>
          <w:tcPr>
            <w:tcW w:type="dxa" w:w="3341"/>
            <w:shd w:fill="F5F4F8"/>
            <w:vAlign w:val="center"/>
          </w:tcPr>
          <w:p>
            <w:pPr>
              <w:jc w:val="right"/>
            </w:pPr>
            <w:r>
              <w:rPr>
                <w:color w:val="20202A"/>
                <w:sz w:val="18"/>
              </w:rPr>
              <w:t>42.9%</w:t>
            </w:r>
          </w:p>
        </w:tc>
      </w:tr>
      <w:tr>
        <w:trPr>
          <w:cantSplit/>
        </w:trPr>
        <w:tc>
          <w:tcPr>
            <w:tcW w:type="dxa" w:w="3341"/>
            <w:vAlign w:val="center"/>
          </w:tcPr>
          <w:p>
            <w:r>
              <w:rPr>
                <w:color w:val="20202A"/>
                <w:sz w:val="18"/>
              </w:rPr>
              <w:t>Independent validation &amp; security</w:t>
            </w:r>
          </w:p>
        </w:tc>
        <w:tc>
          <w:tcPr>
            <w:tcW w:type="dxa" w:w="3341"/>
            <w:vAlign w:val="center"/>
          </w:tcPr>
          <w:p>
            <w:pPr>
              <w:jc w:val="right"/>
            </w:pPr>
            <w:r>
              <w:rPr>
                <w:color w:val="20202A"/>
                <w:sz w:val="18"/>
              </w:rPr>
              <w:t>$550,000</w:t>
            </w:r>
          </w:p>
        </w:tc>
        <w:tc>
          <w:tcPr>
            <w:tcW w:type="dxa" w:w="3341"/>
            <w:vAlign w:val="center"/>
          </w:tcPr>
          <w:p>
            <w:pPr>
              <w:jc w:val="right"/>
            </w:pPr>
            <w:r>
              <w:rPr>
                <w:color w:val="20202A"/>
                <w:sz w:val="18"/>
              </w:rPr>
              <w:t>15.7%</w:t>
            </w:r>
          </w:p>
        </w:tc>
      </w:tr>
      <w:tr>
        <w:trPr>
          <w:cantSplit/>
        </w:trPr>
        <w:tc>
          <w:tcPr>
            <w:tcW w:type="dxa" w:w="3341"/>
            <w:shd w:fill="F5F4F8"/>
            <w:vAlign w:val="center"/>
          </w:tcPr>
          <w:p>
            <w:r>
              <w:rPr>
                <w:color w:val="20202A"/>
                <w:sz w:val="18"/>
              </w:rPr>
              <w:t>Legal, trade-secret, compliance &amp; insurance</w:t>
            </w:r>
          </w:p>
        </w:tc>
        <w:tc>
          <w:tcPr>
            <w:tcW w:type="dxa" w:w="3341"/>
            <w:shd w:fill="F5F4F8"/>
            <w:vAlign w:val="center"/>
          </w:tcPr>
          <w:p>
            <w:pPr>
              <w:jc w:val="right"/>
            </w:pPr>
            <w:r>
              <w:rPr>
                <w:color w:val="20202A"/>
                <w:sz w:val="18"/>
              </w:rPr>
              <w:t>$350,000</w:t>
            </w:r>
          </w:p>
        </w:tc>
        <w:tc>
          <w:tcPr>
            <w:tcW w:type="dxa" w:w="3341"/>
            <w:shd w:fill="F5F4F8"/>
            <w:vAlign w:val="center"/>
          </w:tcPr>
          <w:p>
            <w:pPr>
              <w:jc w:val="right"/>
            </w:pPr>
            <w:r>
              <w:rPr>
                <w:color w:val="20202A"/>
                <w:sz w:val="18"/>
              </w:rPr>
              <w:t>10.0%</w:t>
            </w:r>
          </w:p>
        </w:tc>
      </w:tr>
      <w:tr>
        <w:trPr>
          <w:cantSplit/>
        </w:trPr>
        <w:tc>
          <w:tcPr>
            <w:tcW w:type="dxa" w:w="3341"/>
            <w:vAlign w:val="center"/>
          </w:tcPr>
          <w:p>
            <w:r>
              <w:rPr>
                <w:color w:val="20202A"/>
                <w:sz w:val="18"/>
              </w:rPr>
              <w:t>Protected infrastructure &amp; productization</w:t>
            </w:r>
          </w:p>
        </w:tc>
        <w:tc>
          <w:tcPr>
            <w:tcW w:type="dxa" w:w="3341"/>
            <w:vAlign w:val="center"/>
          </w:tcPr>
          <w:p>
            <w:pPr>
              <w:jc w:val="right"/>
            </w:pPr>
            <w:r>
              <w:rPr>
                <w:color w:val="20202A"/>
                <w:sz w:val="18"/>
              </w:rPr>
              <w:t>$300,000</w:t>
            </w:r>
          </w:p>
        </w:tc>
        <w:tc>
          <w:tcPr>
            <w:tcW w:type="dxa" w:w="3341"/>
            <w:vAlign w:val="center"/>
          </w:tcPr>
          <w:p>
            <w:pPr>
              <w:jc w:val="right"/>
            </w:pPr>
            <w:r>
              <w:rPr>
                <w:color w:val="20202A"/>
                <w:sz w:val="18"/>
              </w:rPr>
              <w:t>8.6%</w:t>
            </w:r>
          </w:p>
        </w:tc>
      </w:tr>
      <w:tr>
        <w:trPr>
          <w:cantSplit/>
        </w:trPr>
        <w:tc>
          <w:tcPr>
            <w:tcW w:type="dxa" w:w="3341"/>
            <w:shd w:fill="F5F4F8"/>
            <w:vAlign w:val="center"/>
          </w:tcPr>
          <w:p>
            <w:r>
              <w:rPr>
                <w:color w:val="20202A"/>
                <w:sz w:val="18"/>
              </w:rPr>
              <w:t>Customer pilots &amp; integration</w:t>
            </w:r>
          </w:p>
        </w:tc>
        <w:tc>
          <w:tcPr>
            <w:tcW w:type="dxa" w:w="3341"/>
            <w:shd w:fill="F5F4F8"/>
            <w:vAlign w:val="center"/>
          </w:tcPr>
          <w:p>
            <w:pPr>
              <w:jc w:val="right"/>
            </w:pPr>
            <w:r>
              <w:rPr>
                <w:color w:val="20202A"/>
                <w:sz w:val="18"/>
              </w:rPr>
              <w:t>$250,000</w:t>
            </w:r>
          </w:p>
        </w:tc>
        <w:tc>
          <w:tcPr>
            <w:tcW w:type="dxa" w:w="3341"/>
            <w:shd w:fill="F5F4F8"/>
            <w:vAlign w:val="center"/>
          </w:tcPr>
          <w:p>
            <w:pPr>
              <w:jc w:val="right"/>
            </w:pPr>
            <w:r>
              <w:rPr>
                <w:color w:val="20202A"/>
                <w:sz w:val="18"/>
              </w:rPr>
              <w:t>7.1%</w:t>
            </w:r>
          </w:p>
        </w:tc>
      </w:tr>
      <w:tr>
        <w:trPr>
          <w:cantSplit/>
        </w:trPr>
        <w:tc>
          <w:tcPr>
            <w:tcW w:type="dxa" w:w="3341"/>
            <w:vAlign w:val="center"/>
          </w:tcPr>
          <w:p>
            <w:r>
              <w:rPr>
                <w:color w:val="20202A"/>
                <w:sz w:val="18"/>
              </w:rPr>
              <w:t>Specialist contractors, QA &amp; research</w:t>
            </w:r>
          </w:p>
        </w:tc>
        <w:tc>
          <w:tcPr>
            <w:tcW w:type="dxa" w:w="3341"/>
            <w:vAlign w:val="center"/>
          </w:tcPr>
          <w:p>
            <w:pPr>
              <w:jc w:val="right"/>
            </w:pPr>
            <w:r>
              <w:rPr>
                <w:color w:val="20202A"/>
                <w:sz w:val="18"/>
              </w:rPr>
              <w:t>$250,000</w:t>
            </w:r>
          </w:p>
        </w:tc>
        <w:tc>
          <w:tcPr>
            <w:tcW w:type="dxa" w:w="3341"/>
            <w:vAlign w:val="center"/>
          </w:tcPr>
          <w:p>
            <w:pPr>
              <w:jc w:val="right"/>
            </w:pPr>
            <w:r>
              <w:rPr>
                <w:color w:val="20202A"/>
                <w:sz w:val="18"/>
              </w:rPr>
              <w:t>7.1%</w:t>
            </w:r>
          </w:p>
        </w:tc>
      </w:tr>
      <w:tr>
        <w:trPr>
          <w:cantSplit/>
        </w:trPr>
        <w:tc>
          <w:tcPr>
            <w:tcW w:type="dxa" w:w="3341"/>
            <w:shd w:fill="F5F4F8"/>
            <w:vAlign w:val="center"/>
          </w:tcPr>
          <w:p>
            <w:r>
              <w:rPr>
                <w:color w:val="20202A"/>
                <w:sz w:val="18"/>
              </w:rPr>
              <w:t>Contingency &amp; operating reserve</w:t>
            </w:r>
          </w:p>
        </w:tc>
        <w:tc>
          <w:tcPr>
            <w:tcW w:type="dxa" w:w="3341"/>
            <w:shd w:fill="F5F4F8"/>
            <w:vAlign w:val="center"/>
          </w:tcPr>
          <w:p>
            <w:pPr>
              <w:jc w:val="right"/>
            </w:pPr>
            <w:r>
              <w:rPr>
                <w:color w:val="20202A"/>
                <w:sz w:val="18"/>
              </w:rPr>
              <w:t>$200,000</w:t>
            </w:r>
          </w:p>
        </w:tc>
        <w:tc>
          <w:tcPr>
            <w:tcW w:type="dxa" w:w="3341"/>
            <w:shd w:fill="F5F4F8"/>
            <w:vAlign w:val="center"/>
          </w:tcPr>
          <w:p>
            <w:pPr>
              <w:jc w:val="right"/>
            </w:pPr>
            <w:r>
              <w:rPr>
                <w:color w:val="20202A"/>
                <w:sz w:val="18"/>
              </w:rPr>
              <w:t>5.7%</w:t>
            </w:r>
          </w:p>
        </w:tc>
      </w:tr>
      <w:tr>
        <w:trPr>
          <w:cantSplit/>
        </w:trPr>
        <w:tc>
          <w:tcPr>
            <w:tcW w:type="dxa" w:w="3341"/>
            <w:vAlign w:val="center"/>
          </w:tcPr>
          <w:p>
            <w:r>
              <w:rPr>
                <w:color w:val="20202A"/>
                <w:sz w:val="18"/>
              </w:rPr>
              <w:t>Business development &amp; market entry</w:t>
            </w:r>
          </w:p>
        </w:tc>
        <w:tc>
          <w:tcPr>
            <w:tcW w:type="dxa" w:w="3341"/>
            <w:vAlign w:val="center"/>
          </w:tcPr>
          <w:p>
            <w:pPr>
              <w:jc w:val="right"/>
            </w:pPr>
            <w:r>
              <w:rPr>
                <w:color w:val="20202A"/>
                <w:sz w:val="18"/>
              </w:rPr>
              <w:t>$100,000</w:t>
            </w:r>
          </w:p>
        </w:tc>
        <w:tc>
          <w:tcPr>
            <w:tcW w:type="dxa" w:w="3341"/>
            <w:vAlign w:val="center"/>
          </w:tcPr>
          <w:p>
            <w:pPr>
              <w:jc w:val="right"/>
            </w:pPr>
            <w:r>
              <w:rPr>
                <w:color w:val="20202A"/>
                <w:sz w:val="18"/>
              </w:rPr>
              <w:t>2.9%</w:t>
            </w:r>
          </w:p>
        </w:tc>
      </w:tr>
      <w:tr>
        <w:trPr>
          <w:cantSplit/>
        </w:trPr>
        <w:tc>
          <w:tcPr>
            <w:tcW w:type="dxa" w:w="3341"/>
            <w:shd w:fill="00EAF2"/>
          </w:tcPr>
          <w:p>
            <w:r>
              <w:rPr>
                <w:b/>
                <w:color w:val="030006"/>
                <w:sz w:val="19"/>
              </w:rPr>
              <w:t>Total proposed raise</w:t>
            </w:r>
          </w:p>
        </w:tc>
        <w:tc>
          <w:tcPr>
            <w:tcW w:type="dxa" w:w="3341"/>
            <w:shd w:fill="00EAF2"/>
          </w:tcPr>
          <w:p>
            <w:pPr>
              <w:jc w:val="right"/>
            </w:pPr>
            <w:r>
              <w:rPr>
                <w:b/>
                <w:color w:val="030006"/>
                <w:sz w:val="19"/>
              </w:rPr>
              <w:t>$3,500,000</w:t>
            </w:r>
          </w:p>
        </w:tc>
        <w:tc>
          <w:tcPr>
            <w:tcW w:type="dxa" w:w="3341"/>
            <w:shd w:fill="00EAF2"/>
          </w:tcPr>
          <w:p>
            <w:pPr>
              <w:jc w:val="right"/>
            </w:pPr>
            <w:r>
              <w:rPr>
                <w:b/>
                <w:color w:val="030006"/>
                <w:sz w:val="19"/>
              </w:rPr>
              <w:t>100.0%</w:t>
            </w:r>
          </w:p>
        </w:tc>
      </w:tr>
    </w:tbl>
    <w:p>
      <w:pPr>
        <w:pStyle w:val="SmallNote"/>
      </w:pPr>
      <w:r>
        <w:t>The largest allocation supports the specialized initial team and associated employer costs. The remainder funds the assurance, legal, infrastructure, customer-integration, and operating work required before a financial customer should rely on the system.</w:t>
      </w:r>
    </w:p>
    <w:p>
      <w:pPr>
        <w:pStyle w:val="Heading1"/>
      </w:pPr>
      <w:r>
        <w:t>5. Detailed Allocation</w:t>
      </w:r>
    </w:p>
    <w:p>
      <w:pPr>
        <w:pStyle w:val="Heading2"/>
      </w:pPr>
      <w:r>
        <w:t>Core Team, Leadership, and Employer Costs — $1,500,000</w:t>
      </w:r>
    </w:p>
    <w:p>
      <w:r>
        <w:t>This category supports approximately 18 months of compensation and employer-related costs for the initial leadership, commercial, operational, and engineering functions.</w:t>
      </w:r>
    </w:p>
    <w:p>
      <w:pPr>
        <w:pStyle w:val="ListBullet"/>
        <w:spacing w:after="60"/>
      </w:pPr>
      <w:r>
        <w:t>Gross base salaries</w:t>
      </w:r>
    </w:p>
    <w:p>
      <w:pPr>
        <w:pStyle w:val="ListBullet"/>
        <w:spacing w:after="60"/>
      </w:pPr>
      <w:r>
        <w:t>Employer payroll costs and benefit allowances</w:t>
      </w:r>
    </w:p>
    <w:p>
      <w:pPr>
        <w:pStyle w:val="ListBullet"/>
        <w:spacing w:after="60"/>
      </w:pPr>
      <w:r>
        <w:t>Recruitment, onboarding, and employment administration</w:t>
      </w:r>
    </w:p>
    <w:p>
      <w:pPr>
        <w:pStyle w:val="ListBullet"/>
        <w:spacing w:after="60"/>
      </w:pPr>
      <w:r>
        <w:t>Basic employee equipment and operating needs</w:t>
      </w:r>
    </w:p>
    <w:p>
      <w:pPr>
        <w:pStyle w:val="Heading2"/>
      </w:pPr>
      <w:r>
        <w:t>Independent Validation and Security — $550,000</w:t>
      </w:r>
    </w:p>
    <w:p>
      <w:r>
        <w:t>A financial system cannot rely solely on internal testing. Glyph Systems will establish a layered independent-assurance program.</w:t>
      </w:r>
    </w:p>
    <w:p>
      <w:pPr>
        <w:pStyle w:val="ListBullet"/>
        <w:spacing w:after="60"/>
      </w:pPr>
      <w:r>
        <w:t>Independent technical architecture review</w:t>
      </w:r>
    </w:p>
    <w:p>
      <w:pPr>
        <w:pStyle w:val="ListBullet"/>
        <w:spacing w:after="60"/>
      </w:pPr>
      <w:r>
        <w:t>Review of measurement rules and modeled-savings calculations</w:t>
      </w:r>
    </w:p>
    <w:p>
      <w:pPr>
        <w:pStyle w:val="ListBullet"/>
        <w:spacing w:after="60"/>
      </w:pPr>
      <w:r>
        <w:t>Secure-development and code review</w:t>
      </w:r>
    </w:p>
    <w:p>
      <w:pPr>
        <w:pStyle w:val="ListBullet"/>
        <w:spacing w:after="60"/>
      </w:pPr>
      <w:r>
        <w:t>Penetration testing and professional red-team engagements</w:t>
      </w:r>
    </w:p>
    <w:p>
      <w:pPr>
        <w:pStyle w:val="ListBullet"/>
        <w:spacing w:after="60"/>
      </w:pPr>
      <w:r>
        <w:t>Customer-gateway, tenant-isolation, encryption, and key-management testing</w:t>
      </w:r>
    </w:p>
    <w:p>
      <w:pPr>
        <w:pStyle w:val="ListBullet"/>
        <w:spacing w:after="60"/>
      </w:pPr>
      <w:r>
        <w:t>Restart, backup, recovery, and incident-response exercises</w:t>
      </w:r>
    </w:p>
    <w:p>
      <w:pPr>
        <w:pStyle w:val="ListBullet"/>
        <w:spacing w:after="60"/>
      </w:pPr>
      <w:r>
        <w:t>Security and assurance readiness work</w:t>
      </w:r>
    </w:p>
    <w:p>
      <w:pPr>
        <w:pStyle w:val="Heading2"/>
      </w:pPr>
      <w:r>
        <w:t>Legal, Trade-Secret Protection, Compliance, Accounting, and Insurance — $350,000</w:t>
      </w:r>
    </w:p>
    <w:p>
      <w:pPr>
        <w:pStyle w:val="ListBullet"/>
        <w:spacing w:after="60"/>
      </w:pPr>
      <w:r>
        <w:t>Corporate legal counsel and company governance</w:t>
      </w:r>
    </w:p>
    <w:p>
      <w:pPr>
        <w:pStyle w:val="ListBullet"/>
        <w:spacing w:after="60"/>
      </w:pPr>
      <w:r>
        <w:t>Trade-secret policies, access controls, and intellectual-property strategy</w:t>
      </w:r>
    </w:p>
    <w:p>
      <w:pPr>
        <w:pStyle w:val="ListBullet"/>
        <w:spacing w:after="60"/>
      </w:pPr>
      <w:r>
        <w:t>Employment, contractor, customer-pilot, and commercial agreements</w:t>
      </w:r>
    </w:p>
    <w:p>
      <w:pPr>
        <w:pStyle w:val="ListBullet"/>
        <w:spacing w:after="60"/>
      </w:pPr>
      <w:r>
        <w:t>Confidentiality, privacy, and data-handling review</w:t>
      </w:r>
    </w:p>
    <w:p>
      <w:pPr>
        <w:pStyle w:val="ListBullet"/>
        <w:spacing w:after="60"/>
      </w:pPr>
      <w:r>
        <w:t>Accounting, tax support, insurance, and financial controls</w:t>
      </w:r>
    </w:p>
    <w:p>
      <w:pPr>
        <w:pStyle w:val="Heading2"/>
      </w:pPr>
      <w:r>
        <w:t>Protected Infrastructure and Productization — $300,000</w:t>
      </w:r>
    </w:p>
    <w:p>
      <w:pPr>
        <w:pStyle w:val="ListBullet"/>
        <w:spacing w:after="60"/>
      </w:pPr>
      <w:r>
        <w:t>Protected private Logic Engine infrastructure</w:t>
      </w:r>
    </w:p>
    <w:p>
      <w:pPr>
        <w:pStyle w:val="ListBullet"/>
        <w:spacing w:after="60"/>
      </w:pPr>
      <w:r>
        <w:t>Customer-facing gateway development</w:t>
      </w:r>
    </w:p>
    <w:p>
      <w:pPr>
        <w:pStyle w:val="ListBullet"/>
        <w:spacing w:after="60"/>
      </w:pPr>
      <w:r>
        <w:t>Secure regional deployment capability</w:t>
      </w:r>
    </w:p>
    <w:p>
      <w:pPr>
        <w:pStyle w:val="ListBullet"/>
        <w:spacing w:after="60"/>
      </w:pPr>
      <w:r>
        <w:t>Authentication, access controls, logging, and monitoring</w:t>
      </w:r>
    </w:p>
    <w:p>
      <w:pPr>
        <w:pStyle w:val="ListBullet"/>
        <w:spacing w:after="60"/>
      </w:pPr>
      <w:r>
        <w:t>Backups, recovery systems, data storage, and secure development environments</w:t>
      </w:r>
    </w:p>
    <w:p>
      <w:pPr>
        <w:pStyle w:val="ListBullet"/>
        <w:spacing w:after="60"/>
      </w:pPr>
      <w:r>
        <w:t>Hardware, networking equipment, software licenses, and operational setup</w:t>
      </w:r>
    </w:p>
    <w:p>
      <w:pPr>
        <w:pStyle w:val="Heading2"/>
      </w:pPr>
      <w:r>
        <w:t>Customer Pilots and Integration — $250,000</w:t>
      </w:r>
    </w:p>
    <w:p>
      <w:r>
        <w:t>The first commercial deployments will begin as controlled, read-only shadow pilots.</w:t>
      </w:r>
    </w:p>
    <w:p>
      <w:pPr>
        <w:pStyle w:val="ListBullet"/>
        <w:spacing w:after="60"/>
      </w:pPr>
      <w:r>
        <w:t>Customer-specific connectors and technical onboarding</w:t>
      </w:r>
    </w:p>
    <w:p>
      <w:pPr>
        <w:pStyle w:val="ListBullet"/>
        <w:spacing w:after="60"/>
      </w:pPr>
      <w:r>
        <w:t>Historical and live read-only data integration</w:t>
      </w:r>
    </w:p>
    <w:p>
      <w:pPr>
        <w:pStyle w:val="ListBullet"/>
        <w:spacing w:after="60"/>
      </w:pPr>
      <w:r>
        <w:t>Baseline measurement and pilot configuration</w:t>
      </w:r>
    </w:p>
    <w:p>
      <w:pPr>
        <w:pStyle w:val="ListBullet"/>
        <w:spacing w:after="60"/>
      </w:pPr>
      <w:r>
        <w:t>Customer-specific testing, monitoring, and reporting</w:t>
      </w:r>
    </w:p>
    <w:p>
      <w:pPr>
        <w:pStyle w:val="ListBullet"/>
        <w:spacing w:after="60"/>
      </w:pPr>
      <w:r>
        <w:t>Travel and meetings tied to qualified pilot opportunities</w:t>
      </w:r>
    </w:p>
    <w:p>
      <w:pPr>
        <w:pStyle w:val="ListBullet"/>
        <w:spacing w:after="60"/>
      </w:pPr>
      <w:r>
        <w:t>Independent verification of measured savings</w:t>
      </w:r>
    </w:p>
    <w:p>
      <w:pPr>
        <w:pStyle w:val="Heading2"/>
      </w:pPr>
      <w:r>
        <w:t>Specialist Contractors, Quality Assurance, and Research — $250,000</w:t>
      </w:r>
    </w:p>
    <w:p>
      <w:pPr>
        <w:pStyle w:val="ListBullet"/>
        <w:spacing w:after="60"/>
      </w:pPr>
      <w:r>
        <w:t>Security and DevOps specialists</w:t>
      </w:r>
    </w:p>
    <w:p>
      <w:pPr>
        <w:pStyle w:val="ListBullet"/>
        <w:spacing w:after="60"/>
      </w:pPr>
      <w:r>
        <w:t>Quality assurance and test engineering</w:t>
      </w:r>
    </w:p>
    <w:p>
      <w:pPr>
        <w:pStyle w:val="ListBullet"/>
        <w:spacing w:after="60"/>
      </w:pPr>
      <w:r>
        <w:t>Data engineering and interface development</w:t>
      </w:r>
    </w:p>
    <w:p>
      <w:pPr>
        <w:pStyle w:val="ListBullet"/>
        <w:spacing w:after="60"/>
      </w:pPr>
      <w:r>
        <w:t>Technical writing and measurement support</w:t>
      </w:r>
    </w:p>
    <w:p>
      <w:pPr>
        <w:pStyle w:val="ListBullet"/>
        <w:spacing w:after="60"/>
      </w:pPr>
      <w:r>
        <w:t>Project-based implementation assistance before permanent roles are justified</w:t>
      </w:r>
    </w:p>
    <w:p>
      <w:pPr>
        <w:pStyle w:val="Heading2"/>
      </w:pPr>
      <w:r>
        <w:t>Business Development and Market Entry — $100,000</w:t>
      </w:r>
    </w:p>
    <w:p>
      <w:pPr>
        <w:pStyle w:val="ListBullet"/>
        <w:spacing w:after="60"/>
      </w:pPr>
      <w:r>
        <w:t>Investor and customer materials</w:t>
      </w:r>
    </w:p>
    <w:p>
      <w:pPr>
        <w:pStyle w:val="ListBullet"/>
        <w:spacing w:after="60"/>
      </w:pPr>
      <w:r>
        <w:t>Professional proposals and demonstrations</w:t>
      </w:r>
    </w:p>
    <w:p>
      <w:pPr>
        <w:pStyle w:val="ListBullet"/>
        <w:spacing w:after="60"/>
      </w:pPr>
      <w:r>
        <w:t>Industry meetings, conferences, and targeted outreach</w:t>
      </w:r>
    </w:p>
    <w:p>
      <w:pPr>
        <w:pStyle w:val="ListBullet"/>
        <w:spacing w:after="60"/>
      </w:pPr>
      <w:r>
        <w:t>Customer education, communications, and sales-support tools</w:t>
      </w:r>
    </w:p>
    <w:p>
      <w:pPr>
        <w:pStyle w:val="ListBullet"/>
        <w:spacing w:after="60"/>
      </w:pPr>
      <w:r>
        <w:t>Travel for qualified commercial opportunities</w:t>
      </w:r>
    </w:p>
    <w:p>
      <w:pPr>
        <w:pStyle w:val="Heading2"/>
      </w:pPr>
      <w:r>
        <w:t>Contingency and Operating Reserve — $200,000</w:t>
      </w:r>
    </w:p>
    <w:p>
      <w:r>
        <w:t>A protected reserve reduces the risk that unexpected security, legal, infrastructure, pilot, hiring, or validation costs force premature deployment or unfavorable financing.</w:t>
      </w:r>
    </w:p>
    <w:p>
      <w:pPr>
        <w:pStyle w:val="Heading1"/>
        <w:pageBreakBefore/>
      </w:pPr>
      <w:r>
        <w:t>6. Commercialization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1"/>
        <w:gridCol w:w="3341"/>
        <w:gridCol w:w="3341"/>
      </w:tblGrid>
      <w:tr>
        <w:trPr>
          <w:cantSplit/>
          <w:tblHeader w:val="true"/>
        </w:trPr>
        <w:tc>
          <w:tcPr>
            <w:tcW w:type="dxa" w:w="3341"/>
            <w:shd w:fill="030006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341"/>
            <w:shd w:fill="030006"/>
          </w:tcPr>
          <w:p>
            <w:r>
              <w:rPr>
                <w:b/>
                <w:color w:val="FFFFFF"/>
              </w:rPr>
              <w:t>Timing</w:t>
            </w:r>
          </w:p>
        </w:tc>
        <w:tc>
          <w:tcPr>
            <w:tcW w:type="dxa" w:w="3341"/>
            <w:shd w:fill="030006"/>
          </w:tcPr>
          <w:p>
            <w:r>
              <w:rPr>
                <w:b/>
                <w:color w:val="FFFFFF"/>
              </w:rPr>
              <w:t>Primary outputs</w:t>
            </w:r>
          </w:p>
        </w:tc>
      </w:tr>
      <w:tr>
        <w:trPr>
          <w:cantSplit/>
        </w:trPr>
        <w:tc>
          <w:tcPr>
            <w:tcW w:type="dxa" w:w="3341"/>
            <w:vAlign w:val="top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3341"/>
            <w:vAlign w:val="top"/>
          </w:tcPr>
          <w:p>
            <w:r>
              <w:rPr>
                <w:sz w:val="18"/>
              </w:rPr>
              <w:t>Months 0-3</w:t>
            </w:r>
          </w:p>
        </w:tc>
        <w:tc>
          <w:tcPr>
            <w:tcW w:type="dxa" w:w="3341"/>
            <w:vAlign w:val="top"/>
          </w:tcPr>
          <w:p>
            <w:r>
              <w:rPr>
                <w:sz w:val="18"/>
              </w:rPr>
              <w:t>Company formation, employment structure, trade-secret controls, frozen validation plan, protected development environment.</w:t>
            </w:r>
          </w:p>
        </w:tc>
      </w:tr>
      <w:tr>
        <w:trPr>
          <w:cantSplit/>
        </w:trPr>
        <w:tc>
          <w:tcPr>
            <w:tcW w:type="dxa" w:w="3341"/>
            <w:vAlign w:val="top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3341"/>
            <w:vAlign w:val="top"/>
          </w:tcPr>
          <w:p>
            <w:r>
              <w:rPr>
                <w:sz w:val="18"/>
              </w:rPr>
              <w:t>Months 3-6</w:t>
            </w:r>
          </w:p>
        </w:tc>
        <w:tc>
          <w:tcPr>
            <w:tcW w:type="dxa" w:w="3341"/>
            <w:vAlign w:val="top"/>
          </w:tcPr>
          <w:p>
            <w:r>
              <w:rPr>
                <w:sz w:val="18"/>
              </w:rPr>
              <w:t>Core team onboarding, independent architecture review, measurement review, gateway and protected-core hardening.</w:t>
            </w:r>
          </w:p>
        </w:tc>
      </w:tr>
      <w:tr>
        <w:trPr>
          <w:cantSplit/>
        </w:trPr>
        <w:tc>
          <w:tcPr>
            <w:tcW w:type="dxa" w:w="3341"/>
            <w:vAlign w:val="top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3341"/>
            <w:vAlign w:val="top"/>
          </w:tcPr>
          <w:p>
            <w:r>
              <w:rPr>
                <w:sz w:val="18"/>
              </w:rPr>
              <w:t>Months 6-9</w:t>
            </w:r>
          </w:p>
        </w:tc>
        <w:tc>
          <w:tcPr>
            <w:tcW w:type="dxa" w:w="3341"/>
            <w:vAlign w:val="top"/>
          </w:tcPr>
          <w:p>
            <w:r>
              <w:rPr>
                <w:sz w:val="18"/>
              </w:rPr>
              <w:t>Security testing, red-team work, pilot connectors, repeatable deployment and evidence procedures.</w:t>
            </w:r>
          </w:p>
        </w:tc>
      </w:tr>
      <w:tr>
        <w:trPr>
          <w:cantSplit/>
        </w:trPr>
        <w:tc>
          <w:tcPr>
            <w:tcW w:type="dxa" w:w="3341"/>
            <w:vAlign w:val="top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3341"/>
            <w:vAlign w:val="top"/>
          </w:tcPr>
          <w:p>
            <w:r>
              <w:rPr>
                <w:sz w:val="18"/>
              </w:rPr>
              <w:t>Months 9-12</w:t>
            </w:r>
          </w:p>
        </w:tc>
        <w:tc>
          <w:tcPr>
            <w:tcW w:type="dxa" w:w="3341"/>
            <w:vAlign w:val="top"/>
          </w:tcPr>
          <w:p>
            <w:r>
              <w:rPr>
                <w:sz w:val="18"/>
              </w:rPr>
              <w:t>First authorized read-only shadow pilots, agreed baselines, customer-specific reporting, remediation of findings.</w:t>
            </w:r>
          </w:p>
        </w:tc>
      </w:tr>
      <w:tr>
        <w:trPr>
          <w:cantSplit/>
        </w:trPr>
        <w:tc>
          <w:tcPr>
            <w:tcW w:type="dxa" w:w="3341"/>
            <w:vAlign w:val="top"/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3341"/>
            <w:vAlign w:val="top"/>
          </w:tcPr>
          <w:p>
            <w:r>
              <w:rPr>
                <w:sz w:val="18"/>
              </w:rPr>
              <w:t>Months 12-18</w:t>
            </w:r>
          </w:p>
        </w:tc>
        <w:tc>
          <w:tcPr>
            <w:tcW w:type="dxa" w:w="3341"/>
            <w:vAlign w:val="top"/>
          </w:tcPr>
          <w:p>
            <w:r>
              <w:rPr>
                <w:sz w:val="18"/>
              </w:rPr>
              <w:t>Independent measurement of commercial results, repeatable onboarding, documented operations, and performance-revenue conversion.</w:t>
            </w:r>
          </w:p>
        </w:tc>
      </w:tr>
    </w:tbl>
    <w:p/>
    <w:p>
      <w:pPr>
        <w:pStyle w:val="Heading2"/>
      </w:pPr>
      <w:r>
        <w:t>By the end of the planned runway, Glyph Systems intends to have:</w:t>
      </w:r>
    </w:p>
    <w:p>
      <w:pPr>
        <w:pStyle w:val="ListBullet"/>
        <w:spacing w:after="60"/>
      </w:pPr>
      <w:r>
        <w:t>A formally established and professionally operated company</w:t>
      </w:r>
    </w:p>
    <w:p>
      <w:pPr>
        <w:pStyle w:val="ListBullet"/>
        <w:spacing w:after="60"/>
      </w:pPr>
      <w:r>
        <w:t>A documented trade-secret and intellectual-property protection program</w:t>
      </w:r>
    </w:p>
    <w:p>
      <w:pPr>
        <w:pStyle w:val="ListBullet"/>
        <w:spacing w:after="60"/>
      </w:pPr>
      <w:r>
        <w:t>A hardened protected-core and customer-gateway architecture</w:t>
      </w:r>
    </w:p>
    <w:p>
      <w:pPr>
        <w:pStyle w:val="ListBullet"/>
        <w:spacing w:after="60"/>
      </w:pPr>
      <w:r>
        <w:t>Independent technical and security findings</w:t>
      </w:r>
    </w:p>
    <w:p>
      <w:pPr>
        <w:pStyle w:val="ListBullet"/>
        <w:spacing w:after="60"/>
      </w:pPr>
      <w:r>
        <w:t>A repeatable read-only customer pilot process</w:t>
      </w:r>
    </w:p>
    <w:p>
      <w:pPr>
        <w:pStyle w:val="ListBullet"/>
        <w:spacing w:after="60"/>
      </w:pPr>
      <w:r>
        <w:t>Customer-specific connectors and integration procedures</w:t>
      </w:r>
    </w:p>
    <w:p>
      <w:pPr>
        <w:pStyle w:val="ListBullet"/>
        <w:spacing w:after="60"/>
      </w:pPr>
      <w:r>
        <w:t>One to three serious authorized shadow pilots</w:t>
      </w:r>
    </w:p>
    <w:p>
      <w:pPr>
        <w:pStyle w:val="ListBullet"/>
        <w:spacing w:after="60"/>
      </w:pPr>
      <w:r>
        <w:t>At least one independently measured commercial result</w:t>
      </w:r>
    </w:p>
    <w:p>
      <w:pPr>
        <w:pStyle w:val="ListBullet"/>
        <w:spacing w:after="60"/>
      </w:pPr>
      <w:r>
        <w:t>Documented deployment, monitoring, backup, and incident-response procedures</w:t>
      </w:r>
    </w:p>
    <w:p>
      <w:pPr>
        <w:pStyle w:val="ListBullet"/>
        <w:spacing w:after="60"/>
      </w:pPr>
      <w:r>
        <w:t>A credible path toward recurring performance-based revenue</w:t>
      </w:r>
    </w:p>
    <w:p>
      <w:pPr>
        <w:pStyle w:val="Heading1"/>
      </w:pPr>
      <w:r>
        <w:t>7. Revenue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2"/>
      </w:tblGrid>
      <w:tr>
        <w:trPr>
          <w:cantSplit/>
          <w:tblHeader w:val="true"/>
        </w:trPr>
        <w:tc>
          <w:tcPr>
            <w:tcW w:type="dxa" w:w="10022"/>
            <w:shd w:fill="F4F3F8"/>
            <w:tcBorders>
              <w:top w:val="nil"/>
              <w:left w:val="single" w:sz="18" w:color="B73578"/>
              <w:bottom w:val="nil"/>
              <w:right w:val="nil"/>
            </w:tcBorders>
          </w:tcPr>
          <w:p>
            <w:pPr>
              <w:pStyle w:val="Callout"/>
            </w:pPr>
            <w:r>
              <w:t>Controlled evidence → independent review → read-only shadow pilot → agreed baseline comparison → independently verified savings → performance-based revenue.</w:t>
            </w:r>
          </w:p>
        </w:tc>
      </w:tr>
    </w:tbl>
    <w:p>
      <w:pPr>
        <w:spacing w:after="0"/>
      </w:pPr>
    </w:p>
    <w:p>
      <w:r>
        <w:t>The intended commercial model is based on measurable customer value rather than a fixed claim that the system will always produce the same result.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cantSplit/>
          <w:tblHeader w:val="true"/>
        </w:trPr>
        <w:tc>
          <w:tcPr>
            <w:tcW w:type="dxa" w:w="5011"/>
            <w:shd w:fill="030006"/>
          </w:tcPr>
          <w:p>
            <w:r>
              <w:rPr>
                <w:b/>
                <w:color w:val="FFFFFF"/>
              </w:rPr>
              <w:t>Customer retained portion</w:t>
            </w:r>
          </w:p>
        </w:tc>
        <w:tc>
          <w:tcPr>
            <w:tcW w:type="dxa" w:w="5011"/>
            <w:shd w:fill="F4F3F8"/>
          </w:tcPr>
          <w:p>
            <w:r>
              <w:rPr>
                <w:b/>
                <w:color w:val="20202A"/>
              </w:rPr>
              <w:t>50% of independently verified savings</w:t>
            </w:r>
          </w:p>
        </w:tc>
      </w:tr>
      <w:tr>
        <w:trPr>
          <w:cantSplit/>
        </w:trPr>
        <w:tc>
          <w:tcPr>
            <w:tcW w:type="dxa" w:w="5011"/>
            <w:shd w:fill="030006"/>
          </w:tcPr>
          <w:p>
            <w:r>
              <w:rPr>
                <w:b/>
                <w:color w:val="FFFFFF"/>
              </w:rPr>
              <w:t>Glyph Systems portion</w:t>
            </w:r>
          </w:p>
        </w:tc>
        <w:tc>
          <w:tcPr>
            <w:tcW w:type="dxa" w:w="5011"/>
            <w:shd w:fill="F4F3F8"/>
          </w:tcPr>
          <w:p>
            <w:r>
              <w:rPr>
                <w:b/>
                <w:color w:val="20202A"/>
              </w:rPr>
              <w:t>50% of independently verified savings</w:t>
            </w:r>
          </w:p>
        </w:tc>
      </w:tr>
    </w:tbl>
    <w:p>
      <w:r>
        <w:t>No performance payment is earned unless measurable savings are produced under the agreed verification rules. The protected Logic Engine core remains under Glyph Systems ownership and control.</w:t>
      </w:r>
    </w:p>
    <w:p>
      <w:pPr>
        <w:pStyle w:val="Heading1"/>
      </w:pPr>
      <w:r>
        <w:t>8. Investment Outcome</w:t>
      </w:r>
    </w:p>
    <w:p>
      <w:r>
        <w:t>Glyph Systems is not seeking capital merely to continue experimentation. The proposed commercialization round is intended to produce a protected, independently reviewed, securely deployable company with a credible path to verified customer value.</w:t>
      </w:r>
    </w:p>
    <w:p>
      <w:pPr>
        <w:spacing w:after="100"/>
      </w:pPr>
      <w:r>
        <w:rPr>
          <w:b/>
          <w:color w:val="00EAF2"/>
        </w:rPr>
        <w:t xml:space="preserve">Protection: </w:t>
      </w:r>
      <w:r>
        <w:t>Formal trade-secret controls, contractual boundaries, and protected-core architecture.</w:t>
      </w:r>
    </w:p>
    <w:p>
      <w:pPr>
        <w:spacing w:after="100"/>
      </w:pPr>
      <w:r>
        <w:rPr>
          <w:b/>
          <w:color w:val="00EAF2"/>
        </w:rPr>
        <w:t xml:space="preserve">Independent proof: </w:t>
      </w:r>
      <w:r>
        <w:t>External review of architecture, measurement rules, security, and recovery behavior.</w:t>
      </w:r>
    </w:p>
    <w:p>
      <w:pPr>
        <w:spacing w:after="100"/>
      </w:pPr>
      <w:r>
        <w:rPr>
          <w:b/>
          <w:color w:val="00EAF2"/>
        </w:rPr>
        <w:t xml:space="preserve">Secure deployment: </w:t>
      </w:r>
      <w:r>
        <w:t>A controlled customer-facing gateway separated from the protected Logic Engine core.</w:t>
      </w:r>
    </w:p>
    <w:p>
      <w:pPr>
        <w:spacing w:after="100"/>
      </w:pPr>
      <w:r>
        <w:rPr>
          <w:b/>
          <w:color w:val="00EAF2"/>
        </w:rPr>
        <w:t xml:space="preserve">Customer validation: </w:t>
      </w:r>
      <w:r>
        <w:t>Read-only shadow pilots measured against agreed customer baselines.</w:t>
      </w:r>
    </w:p>
    <w:p>
      <w:pPr>
        <w:spacing w:after="100"/>
      </w:pPr>
      <w:r>
        <w:rPr>
          <w:b/>
          <w:color w:val="00EAF2"/>
        </w:rPr>
        <w:t xml:space="preserve">Commercial conversion: </w:t>
      </w:r>
      <w:r>
        <w:t>Performance revenue only after independently verified savings.</w:t>
      </w:r>
    </w:p>
    <w:p>
      <w:pPr>
        <w:pStyle w:val="Heading1"/>
      </w:pPr>
      <w:r>
        <w:t>Conclusion</w:t>
      </w:r>
    </w:p>
    <w:p>
      <w:r>
        <w:t>The proposed $3.5 million commercialization round is designed to build the people, security, infrastructure, legal protection, customer integrations, and independent evidence required to turn Logic Engine into a professionally operated financial-recovery company.</w:t>
      </w:r>
    </w:p>
    <w:p>
      <w:r>
        <w:t>The existing controlled evidence establishes a reason to continue. The funding plan establishes a disciplined path toward independent proof, secure customer operation, and verified commercial revenue.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2"/>
      </w:tblGrid>
      <w:tr>
        <w:trPr>
          <w:cantSplit/>
          <w:tblHeader w:val="true"/>
        </w:trPr>
        <w:tc>
          <w:tcPr>
            <w:tcW w:type="dxa" w:w="10022"/>
            <w:shd w:fill="F4F3F8"/>
            <w:tcBorders>
              <w:top w:val="nil"/>
              <w:left w:val="single" w:sz="18" w:color="FFF200"/>
              <w:bottom w:val="nil"/>
              <w:right w:val="nil"/>
            </w:tcBorders>
          </w:tcPr>
          <w:p>
            <w:pPr>
              <w:pStyle w:val="Callout"/>
            </w:pPr>
            <w:r>
              <w:t>The central investment proposition is straightforward: protect the architecture, prove the claims independently, test through authorized customer pilots, and earn revenue only when verified value is produced.</w:t>
            </w:r>
          </w:p>
        </w:tc>
      </w:tr>
    </w:tbl>
    <w:p>
      <w:pPr>
        <w:spacing w:after="0"/>
      </w:pPr>
    </w:p>
    <w:p>
      <w:pPr>
        <w:pStyle w:val="SmallNote"/>
      </w:pPr>
      <w:r>
        <w:t>All figures in this document are planning estimates and should be finalized with qualified legal, accounting, payroll, security, and insurance professionals before investment documents or employment agreements are executed.</w:t>
      </w:r>
    </w:p>
    <w:sectPr w:rsidR="00FC693F" w:rsidRPr="0006063C" w:rsidSect="00034616">
      <w:pgSz w:w="12240" w:h="15840"/>
      <w:pgMar w:top="979" w:right="1109" w:bottom="936" w:left="1109" w:header="403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75"/>
        <w:sz w:val="16"/>
      </w:rPr>
      <w:t>Investor discussion draft  •  July 22, 2026</w:t>
    </w:r>
    <w:r>
      <w:tab/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00EAF2"/>
        <w:sz w:val="19"/>
      </w:rPr>
      <w:t>GLYPH SYSTEMS</w:t>
    </w:r>
    <w:r>
      <w:rPr>
        <w:color w:val="666675"/>
        <w:sz w:val="18"/>
      </w:rPr>
      <w:t xml:space="preserve">   |   Commercialization Funding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020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EAF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735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020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00EAF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Summary">
    <w:name w:val="Executive Summary"/>
    <w:pPr>
      <w:spacing w:after="180" w:line="274" w:lineRule="auto"/>
    </w:pPr>
    <w:rPr>
      <w:rFonts w:ascii="Aptos" w:hAnsi="Aptos"/>
      <w:color w:val="20202A"/>
      <w:sz w:val="24"/>
    </w:rPr>
  </w:style>
  <w:style w:type="paragraph" w:customStyle="1" w:styleId="Callout">
    <w:name w:val="Callout"/>
    <w:pPr>
      <w:spacing w:before="140" w:after="140"/>
    </w:pPr>
    <w:rPr>
      <w:rFonts w:ascii="Aptos" w:hAnsi="Aptos"/>
      <w:b/>
      <w:color w:val="20202A"/>
      <w:sz w:val="23"/>
    </w:rPr>
  </w:style>
  <w:style w:type="paragraph" w:customStyle="1" w:styleId="SmallNote">
    <w:name w:val="Small Note"/>
    <w:pPr>
      <w:spacing w:after="80"/>
    </w:pPr>
    <w:rPr>
      <w:rFonts w:ascii="Aptos" w:hAnsi="Aptos"/>
      <w:color w:val="66667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Glyph Systems Commercialization Funding Plan</dc:title>
  <dc:subject>$3.5 Million Proposed Raise and 18-Month Commercialization Runway</dc:subject>
  <dc:creator>Glyph Systems</dc:creator>
  <cp:keywords>Glyph Systems, Logic Engine, commercialization, funding plan, investor</cp:keywords>
  <dc:description>Investor discussion draft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