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drawing>
          <wp:inline xmlns:a="http://schemas.openxmlformats.org/drawingml/2006/main" xmlns:pic="http://schemas.openxmlformats.org/drawingml/2006/picture">
            <wp:extent cx="7772400" cy="10058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2240" w:h="15840"/>
          <w:pgMar w:top="0" w:right="0" w:bottom="0" w:left="0" w:header="720" w:footer="720" w:gutter="0"/>
          <w:cols w:space="720"/>
          <w:docGrid w:linePitch="360"/>
        </w:sectPr>
      </w:pPr>
    </w:p>
    <w:p>
      <w:pPr>
        <w:pStyle w:val="Heading1"/>
        <w:spacing w:before="0" w:after="80"/>
      </w:pPr>
      <w:r>
        <w:t>HTML Evidence Folder — Technical Overview</w:t>
      </w:r>
    </w:p>
    <w:p>
      <w:pPr>
        <w:spacing w:after="160"/>
      </w:pPr>
      <w:r>
        <w:rPr>
          <w:color w:val="504655"/>
          <w:sz w:val="20"/>
        </w:rPr>
        <w:t>What the nine browser reports contain, how to read them, and how to distinguish primary evidence from milestone, historical, and startup-only records.</w:t>
      </w:r>
    </w:p>
    <w:p>
      <w:r>
        <w:rPr>
          <w:b/>
        </w:rPr>
        <w:t xml:space="preserve">Purpose. </w:t>
      </w:r>
      <w:r>
        <w:t>This document is the standalone guide for the HTML Files folder. It is intended for a reviewer who wants to understand the reports without using the interactive portfolio.</w:t>
      </w:r>
    </w:p>
    <w:p>
      <w:r>
        <w:rPr>
          <w:b/>
        </w:rPr>
        <w:t xml:space="preserve">Folder summary. </w:t>
      </w:r>
      <w:r>
        <w:t>The folder contains 9 self-contained HTML reports totaling approximately 16.8 MB. The files cover Programs 34, 35, 36, 38, 40, 41, and 42. They include one historical seven-hour continuity report, five meaningful twelve-hour milestone or endurance reports, and two zero-round startup/preflight exports.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55279" cy="437540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tus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375403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The HTML folder is the human-readable presentation layer. It does not contain the complete raw-data, manifest, hash, or source-code record.</w:t>
            </w:r>
          </w:p>
        </w:tc>
      </w:tr>
    </w:tbl>
    <w:p>
      <w:pPr>
        <w:spacing w:after="0"/>
      </w:pPr>
    </w:p>
    <w:p>
      <w:pPr>
        <w:pStyle w:val="Heading1"/>
        <w:spacing w:before="0" w:after="80"/>
      </w:pPr>
      <w:r>
        <w:t>1. How to Read Every HTML Report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7955279" cy="426692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tml_anatom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955279" cy="42669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  <w:spacing w:after="40"/>
        <w:ind w:left="360"/>
      </w:pPr>
      <w:r>
        <w:rPr>
          <w:sz w:val="18"/>
        </w:rPr>
        <w:t>Confirm the export state first: milestone, endurance, or operator-stopped startup.</w:t>
      </w:r>
    </w:p>
    <w:p>
      <w:pPr>
        <w:pStyle w:val="ListBullet"/>
        <w:spacing w:after="40"/>
        <w:ind w:left="360"/>
      </w:pPr>
      <w:r>
        <w:rPr>
          <w:sz w:val="18"/>
        </w:rPr>
        <w:t>Read runtime and complete-round count before interpreting any dollar-per-minute card.</w:t>
      </w:r>
    </w:p>
    <w:p>
      <w:pPr>
        <w:pStyle w:val="ListBullet"/>
        <w:spacing w:after="40"/>
        <w:ind w:left="360"/>
      </w:pPr>
      <w:r>
        <w:rPr>
          <w:sz w:val="18"/>
        </w:rPr>
        <w:t>Use the median, lower tail, worst round, and positive-round count—not only the average.</w:t>
      </w:r>
    </w:p>
    <w:p>
      <w:pPr>
        <w:pStyle w:val="ListBullet"/>
        <w:spacing w:after="40"/>
        <w:ind w:left="360"/>
      </w:pPr>
      <w:r>
        <w:rPr>
          <w:sz w:val="18"/>
        </w:rPr>
        <w:t>Read the evidence boundary before treating any modeled value as commercial performance.</w:t>
      </w:r>
    </w:p>
    <w:p>
      <w:pPr>
        <w:pStyle w:val="ListBullet"/>
        <w:spacing w:after="40"/>
        <w:ind w:left="360"/>
      </w:pPr>
      <w:r>
        <w:rPr>
          <w:sz w:val="18"/>
        </w:rPr>
        <w:t>Use the controller comparison to understand the operational source of the modeled difference.</w:t>
      </w:r>
    </w:p>
    <w:p>
      <w:pPr>
        <w:pStyle w:val="ListBullet"/>
        <w:spacing w:after="40"/>
        <w:ind w:left="360"/>
      </w:pPr>
      <w:r>
        <w:rPr>
          <w:sz w:val="18"/>
        </w:rPr>
        <w:t>Open the deeper PROGRAMS DOC INFO folder for JSON logs, manifests, hashes, frozen public inputs, and chain-of-custody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A browser report makes the evidence understandable. It does not by itself establish realized customer savings, collected revenue, independent validation, or production deployment.</w:t>
            </w:r>
          </w:p>
        </w:tc>
      </w:tr>
    </w:tbl>
    <w:p>
      <w:pPr>
        <w:spacing w:after="0"/>
      </w:pPr>
    </w:p>
    <w:p>
      <w:pPr>
        <w:pStyle w:val="Heading1"/>
        <w:spacing w:before="0" w:after="80"/>
      </w:pPr>
      <w:r>
        <w:t>2. Recommended Manual Reading Order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8869680" cy="322533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ding_ord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69680" cy="32253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This sequence begins with the clearest completed endurance record, then moves through increasingly specialized lanes. Program 34 is useful historical context but uses earlier naming and commercial-display conventions.</w:t>
      </w:r>
    </w:p>
    <w:p>
      <w:r>
        <w:br w:type="page"/>
      </w:r>
    </w:p>
    <w:p>
      <w:pPr>
        <w:pStyle w:val="Heading1"/>
        <w:spacing w:before="0" w:after="80"/>
      </w:pPr>
      <w:r>
        <w:t>3. Complete HTML Report Index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"/>
        <w:gridCol w:w="3672"/>
        <w:gridCol w:w="1584"/>
        <w:gridCol w:w="1944"/>
        <w:gridCol w:w="1800"/>
        <w:gridCol w:w="4320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Pgm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File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Displayed 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Classification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FFF200"/>
                <w:sz w:val="17"/>
              </w:rPr>
              <w:t>Technical use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34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PROGRAM_34_INVESTOR_EVIDENCE.html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7.020 hours / 42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$20.0645 / min</w:t>
            </w:r>
          </w:p>
        </w:tc>
        <w:tc>
          <w:tcPr>
            <w:tcW w:type="dxa" w:w="1800"/>
            <w:shd w:fill="F4E9F1"/>
          </w:tcPr>
          <w:p>
            <w:r>
              <w:rPr>
                <w:sz w:val="16"/>
              </w:rPr>
              <w:t>Historical continuity evidence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Seven-hour continuous run with 42 complete rounds. Preserves earlier Logic Engine + Fibrologic naming and a 50% modeled share presentation.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35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PROGRAM_35_INVESTOR_EVIDENCE.html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$19.9229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endurance evidence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Completed twelve-hour endurance run with 72 complete rounds and a preserved controlled-evidence boundary.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36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PROGRAM_36_12H_MILESTONE_INVESTOR_EVIDENCE.html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$4.0382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milestone evidence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Twelve-hour small-payment-processor milestone using full modeled savings before commercial allocation.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38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PROGRAM_38_12H_MILESTONE_INVESTOR_EVIDENCE.html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$0.5099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lower-bound milestone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Ordinary-day floor run with no burst-saturation rounds, designed to test the signal under mostly normal operating conditions.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40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PROGRAM_40_12H_MILESTONE_INVESTOR_EVIDENCE.html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$7.9580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external-input milestone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Public-incident-driven medium-financial run using a frozen incident schedule. Includes a historical illustrative 35% Glyph Systems cut.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PROGRAM_41_12H_MILESTONE_INVESTOR_EVIDENCE.html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$58.2843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live-run milestone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Twelve-hour high-volume payment-network milestone. The longer Program 41 run continued after this export.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41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PROGRAM_41_FINAL_INVESTOR_EVIDENCE.html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0.045 hours / 0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$2.3154 / min</w:t>
            </w:r>
          </w:p>
        </w:tc>
        <w:tc>
          <w:tcPr>
            <w:tcW w:type="dxa" w:w="1800"/>
            <w:shd w:fill="FFE6EB"/>
          </w:tcPr>
          <w:p>
            <w:r>
              <w:rPr>
                <w:sz w:val="16"/>
              </w:rPr>
              <w:t>Startup / preflight record only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Operator-stopped after approximately 0.045 hours with zero complete rounds. Retain for history, but do not present as final long-horizon evidence.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PROGRAM_42_12H_MILESTONE_INVESTOR_EVIDENCE.html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12.000 hours / 72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$7.4753 / min</w:t>
            </w:r>
          </w:p>
        </w:tc>
        <w:tc>
          <w:tcPr>
            <w:tcW w:type="dxa" w:w="1800"/>
            <w:shd w:fill="E7F8F6"/>
          </w:tcPr>
          <w:p>
            <w:r>
              <w:rPr>
                <w:sz w:val="16"/>
              </w:rPr>
              <w:t>Primary live-run milestone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Twelve-hour treasury and cross-border payout milestone. Preserves both positive aggregate results and meaningful negative-round downside.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rPr>
                <w:sz w:val="16"/>
              </w:rPr>
              <w:t>42</w:t>
            </w:r>
          </w:p>
        </w:tc>
        <w:tc>
          <w:tcPr>
            <w:tcW w:type="dxa" w:w="3672"/>
          </w:tcPr>
          <w:p>
            <w:r>
              <w:rPr>
                <w:rFonts w:ascii="Consolas" w:hAnsi="Consolas"/>
                <w:sz w:val="15"/>
              </w:rPr>
              <w:t>PROGRAM_42_FINAL_INVESTOR_EVIDENCE.html</w:t>
            </w:r>
          </w:p>
        </w:tc>
        <w:tc>
          <w:tcPr>
            <w:tcW w:type="dxa" w:w="1584"/>
          </w:tcPr>
          <w:p>
            <w:r>
              <w:rPr>
                <w:sz w:val="16"/>
              </w:rPr>
              <w:t>0.003 hours / 0 complete rounds</w:t>
            </w:r>
          </w:p>
        </w:tc>
        <w:tc>
          <w:tcPr>
            <w:tcW w:type="dxa" w:w="1944"/>
          </w:tcPr>
          <w:p>
            <w:r>
              <w:rPr>
                <w:sz w:val="16"/>
              </w:rPr>
              <w:t>$0.0000 / min</w:t>
            </w:r>
          </w:p>
        </w:tc>
        <w:tc>
          <w:tcPr>
            <w:tcW w:type="dxa" w:w="1800"/>
            <w:shd w:fill="FFE6EB"/>
          </w:tcPr>
          <w:p>
            <w:r>
              <w:rPr>
                <w:sz w:val="16"/>
              </w:rPr>
              <w:t>Startup / preflight record only</w:t>
            </w:r>
          </w:p>
        </w:tc>
        <w:tc>
          <w:tcPr>
            <w:tcW w:type="dxa" w:w="4320"/>
          </w:tcPr>
          <w:p>
            <w:r>
              <w:rPr>
                <w:sz w:val="15"/>
              </w:rPr>
              <w:t>Operator-stopped after approximately 0.003 hours with zero complete rounds. Retain for history, but do not present as final long-horizon evidence.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PROGRAM_41_FINAL_INVESTOR_EVIDENCE.html and PROGRAM_42_FINAL_INVESTOR_EVIDENCE.html are zero-round startup records. Their filenames must not be used to imply completed final evidence.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4. Programs 34 and 35 — Historical Continuity and Endurance Foundation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2232"/>
        <w:gridCol w:w="2232"/>
        <w:gridCol w:w="1944"/>
        <w:gridCol w:w="1800"/>
        <w:gridCol w:w="4320"/>
      </w:tblGrid>
      <w:tr>
        <w:trPr>
          <w:cantSplit/>
        </w:trPr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Program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Runtime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Displayed rate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Median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Worst</w:t>
            </w:r>
          </w:p>
        </w:tc>
        <w:tc>
          <w:tcPr>
            <w:tcW w:type="dxa" w:w="2376"/>
            <w:shd w:fill="050107"/>
          </w:tcPr>
          <w:p>
            <w:r>
              <w:rPr>
                <w:b/>
                <w:color w:val="00EAF2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512"/>
          </w:tcPr>
          <w:p>
            <w:r>
              <w:t>34</w:t>
            </w:r>
          </w:p>
        </w:tc>
        <w:tc>
          <w:tcPr>
            <w:tcW w:type="dxa" w:w="2232"/>
          </w:tcPr>
          <w:p>
            <w:r>
              <w:t>7.020 h / 42 rounds</w:t>
            </w:r>
          </w:p>
        </w:tc>
        <w:tc>
          <w:tcPr>
            <w:tcW w:type="dxa" w:w="2232"/>
          </w:tcPr>
          <w:p>
            <w:r>
              <w:t>$20.0645/min aggregate Glyph share</w:t>
            </w:r>
          </w:p>
        </w:tc>
        <w:tc>
          <w:tcPr>
            <w:tcW w:type="dxa" w:w="1944"/>
          </w:tcPr>
          <w:p>
            <w:r>
              <w:t>$4.8222/min</w:t>
            </w:r>
          </w:p>
        </w:tc>
        <w:tc>
          <w:tcPr>
            <w:tcW w:type="dxa" w:w="1800"/>
          </w:tcPr>
          <w:p>
            <w:r>
              <w:t>$0.5340/min</w:t>
            </w:r>
          </w:p>
        </w:tc>
        <w:tc>
          <w:tcPr>
            <w:tcW w:type="dxa" w:w="4320"/>
          </w:tcPr>
          <w:p>
            <w:r>
              <w:t>Historical seven-hour continuity evidence. Preserves earlier Logic Engine + Fibrologic wording and a 50% modeled-share presentation.</w:t>
            </w:r>
          </w:p>
        </w:tc>
      </w:tr>
      <w:tr>
        <w:trPr>
          <w:cantSplit/>
        </w:trPr>
        <w:tc>
          <w:tcPr>
            <w:tcW w:type="dxa" w:w="1512"/>
          </w:tcPr>
          <w:p>
            <w:r>
              <w:t>35</w:t>
            </w:r>
          </w:p>
        </w:tc>
        <w:tc>
          <w:tcPr>
            <w:tcW w:type="dxa" w:w="2232"/>
          </w:tcPr>
          <w:p>
            <w:r>
              <w:t>12.000 h / 72 rounds</w:t>
            </w:r>
          </w:p>
        </w:tc>
        <w:tc>
          <w:tcPr>
            <w:tcW w:type="dxa" w:w="2232"/>
          </w:tcPr>
          <w:p>
            <w:r>
              <w:t>$19.9229/min aggregate Glyph share</w:t>
            </w:r>
          </w:p>
        </w:tc>
        <w:tc>
          <w:tcPr>
            <w:tcW w:type="dxa" w:w="1944"/>
          </w:tcPr>
          <w:p>
            <w:r>
              <w:t>$4.8835/min</w:t>
            </w:r>
          </w:p>
        </w:tc>
        <w:tc>
          <w:tcPr>
            <w:tcW w:type="dxa" w:w="1800"/>
          </w:tcPr>
          <w:p>
            <w:r>
              <w:t>$0.2084/min</w:t>
            </w:r>
          </w:p>
        </w:tc>
        <w:tc>
          <w:tcPr>
            <w:tcW w:type="dxa" w:w="4320"/>
          </w:tcPr>
          <w:p>
            <w:r>
              <w:t>Primary twelve-hour endurance foundation. Shows 57 of 72 rounds at or above $1/min and cumulative modeled advantage of $28,688.95.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18"/>
        </w:rPr>
        <w:t>Program 34 is valuable as development history and continuity evidence, but its public naming is older than the current Glyph Systems portfolio language.</w:t>
      </w:r>
    </w:p>
    <w:p>
      <w:pPr>
        <w:pStyle w:val="ListBullet"/>
        <w:spacing w:after="40"/>
        <w:ind w:left="360"/>
      </w:pPr>
      <w:r>
        <w:rPr>
          <w:sz w:val="18"/>
        </w:rPr>
        <w:t>Program 35 is the clearest complete twelve-hour endurance report in the folder.</w:t>
      </w:r>
    </w:p>
    <w:p>
      <w:pPr>
        <w:pStyle w:val="ListBullet"/>
        <w:spacing w:after="40"/>
        <w:ind w:left="360"/>
      </w:pPr>
      <w:r>
        <w:rPr>
          <w:sz w:val="18"/>
        </w:rPr>
        <w:t>Both reports use aggregate Glyph-share displays rather than the later full-modeled-savings-first convention.</w:t>
      </w:r>
    </w:p>
    <w:p>
      <w:pPr>
        <w:pStyle w:val="ListBullet"/>
        <w:spacing w:after="40"/>
        <w:ind w:left="360"/>
      </w:pPr>
      <w:r>
        <w:rPr>
          <w:sz w:val="18"/>
        </w:rPr>
        <w:t>Neither report represents realized customer revenue.</w:t>
      </w:r>
    </w:p>
    <w:p>
      <w:r>
        <w:br w:type="page"/>
      </w:r>
    </w:p>
    <w:p>
      <w:pPr>
        <w:pStyle w:val="Heading1"/>
        <w:spacing w:before="0" w:after="80"/>
      </w:pPr>
      <w:r>
        <w:t>5. Programs 36 and 38 — Small Processor and Ordinary-Day Floor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08"/>
        <w:gridCol w:w="1944"/>
        <w:gridCol w:w="2088"/>
        <w:gridCol w:w="1728"/>
        <w:gridCol w:w="1656"/>
        <w:gridCol w:w="1800"/>
        <w:gridCol w:w="4176"/>
      </w:tblGrid>
      <w:tr>
        <w:trPr>
          <w:cantSplit/>
        </w:trPr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Pgm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Runtime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Rate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Median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Worst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Positive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C23A82"/>
                <w:sz w:val="17"/>
              </w:rPr>
              <w:t>Interpretation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t>36</w:t>
            </w:r>
          </w:p>
        </w:tc>
        <w:tc>
          <w:tcPr>
            <w:tcW w:type="dxa" w:w="1944"/>
          </w:tcPr>
          <w:p>
            <w:r>
              <w:t>12.000 h / 72</w:t>
            </w:r>
          </w:p>
        </w:tc>
        <w:tc>
          <w:tcPr>
            <w:tcW w:type="dxa" w:w="2088"/>
          </w:tcPr>
          <w:p>
            <w:r>
              <w:t>$4.0382/min</w:t>
            </w:r>
          </w:p>
        </w:tc>
        <w:tc>
          <w:tcPr>
            <w:tcW w:type="dxa" w:w="1728"/>
          </w:tcPr>
          <w:p>
            <w:r>
              <w:t>$1.0593/min</w:t>
            </w:r>
          </w:p>
        </w:tc>
        <w:tc>
          <w:tcPr>
            <w:tcW w:type="dxa" w:w="1656"/>
          </w:tcPr>
          <w:p>
            <w:r>
              <w:t>$0.0641/min</w:t>
            </w:r>
          </w:p>
        </w:tc>
        <w:tc>
          <w:tcPr>
            <w:tcW w:type="dxa" w:w="1800"/>
          </w:tcPr>
          <w:p>
            <w:r>
              <w:t>19/72 &gt;= $2/min</w:t>
            </w:r>
          </w:p>
        </w:tc>
        <w:tc>
          <w:tcPr>
            <w:tcW w:type="dxa" w:w="4176"/>
          </w:tcPr>
          <w:p>
            <w:r>
              <w:t>Conservative small-payment-processor milestone. Displays full modeled savings before allocation.</w:t>
            </w:r>
          </w:p>
        </w:tc>
      </w:tr>
      <w:tr>
        <w:trPr>
          <w:cantSplit/>
        </w:trPr>
        <w:tc>
          <w:tcPr>
            <w:tcW w:type="dxa" w:w="1008"/>
          </w:tcPr>
          <w:p>
            <w:r>
              <w:t>38</w:t>
            </w:r>
          </w:p>
        </w:tc>
        <w:tc>
          <w:tcPr>
            <w:tcW w:type="dxa" w:w="1944"/>
          </w:tcPr>
          <w:p>
            <w:r>
              <w:t>12.000 h / 72</w:t>
            </w:r>
          </w:p>
        </w:tc>
        <w:tc>
          <w:tcPr>
            <w:tcW w:type="dxa" w:w="2088"/>
          </w:tcPr>
          <w:p>
            <w:r>
              <w:t>$0.5099/min</w:t>
            </w:r>
          </w:p>
        </w:tc>
        <w:tc>
          <w:tcPr>
            <w:tcW w:type="dxa" w:w="1728"/>
          </w:tcPr>
          <w:p>
            <w:r>
              <w:t>$0.3464/min</w:t>
            </w:r>
          </w:p>
        </w:tc>
        <w:tc>
          <w:tcPr>
            <w:tcW w:type="dxa" w:w="1656"/>
          </w:tcPr>
          <w:p>
            <w:r>
              <w:t>-$0.0002/min</w:t>
            </w:r>
          </w:p>
        </w:tc>
        <w:tc>
          <w:tcPr>
            <w:tcW w:type="dxa" w:w="1800"/>
          </w:tcPr>
          <w:p>
            <w:r>
              <w:t>71/72 positive</w:t>
            </w:r>
          </w:p>
        </w:tc>
        <w:tc>
          <w:tcPr>
            <w:tcW w:type="dxa" w:w="4176"/>
          </w:tcPr>
          <w:p>
            <w:r>
              <w:t>Ordinary-day lower-bound milestone with burst-saturation excluded by design.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18"/>
        </w:rPr>
        <w:t>Program 36 asks whether a positive signal remains in a smaller processor profile.</w:t>
      </w:r>
    </w:p>
    <w:p>
      <w:pPr>
        <w:pStyle w:val="ListBullet"/>
        <w:spacing w:after="40"/>
        <w:ind w:left="360"/>
      </w:pPr>
      <w:r>
        <w:rPr>
          <w:sz w:val="18"/>
        </w:rPr>
        <w:t>Program 38 asks whether the signal survives ordinary operating conditions rather than depending on severe events.</w:t>
      </w:r>
    </w:p>
    <w:p>
      <w:pPr>
        <w:pStyle w:val="ListBullet"/>
        <w:spacing w:after="40"/>
        <w:ind w:left="360"/>
      </w:pPr>
      <w:r>
        <w:rPr>
          <w:sz w:val="18"/>
        </w:rPr>
        <w:t>The nearly zero negative worst round in Program 38 should remain visible because it shows downside was preserved.</w:t>
      </w:r>
    </w:p>
    <w:p>
      <w:r>
        <w:br w:type="page"/>
      </w:r>
    </w:p>
    <w:p>
      <w:pPr>
        <w:pStyle w:val="Heading1"/>
        <w:spacing w:before="0" w:after="80"/>
      </w:pPr>
      <w:r>
        <w:t>6. Program 40 — Public Incident-Driven Medium Financial Milestone</w:t>
      </w:r>
    </w:p>
    <w:p>
      <w:r>
        <w:t>Program 40 is the first report in this folder whose severity schedule is shaped by a frozen snapshot of official public incident records. The report remains a controlled matched benchmark; the public records do not reproduce private provider traffic, losses, or recovery systems.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9504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Field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Report value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Runtime</w:t>
            </w:r>
          </w:p>
        </w:tc>
        <w:tc>
          <w:tcPr>
            <w:tcW w:type="dxa" w:w="9504"/>
          </w:tcPr>
          <w:p>
            <w:r>
              <w:t>12.000 hours / 72 complete rounds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Total modeled savings</w:t>
            </w:r>
          </w:p>
        </w:tc>
        <w:tc>
          <w:tcPr>
            <w:tcW w:type="dxa" w:w="9504"/>
          </w:tcPr>
          <w:p>
            <w:r>
              <w:t>$7.9580 per minute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Median / worst</w:t>
            </w:r>
          </w:p>
        </w:tc>
        <w:tc>
          <w:tcPr>
            <w:tcW w:type="dxa" w:w="9504"/>
          </w:tcPr>
          <w:p>
            <w:r>
              <w:t>$3.1991 per minute / -$0.0442 per minute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Positive rounds</w:t>
            </w:r>
          </w:p>
        </w:tc>
        <w:tc>
          <w:tcPr>
            <w:tcW w:type="dxa" w:w="9504"/>
          </w:tcPr>
          <w:p>
            <w:r>
              <w:t>71 of 72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Cumulative modeled savings</w:t>
            </w:r>
          </w:p>
        </w:tc>
        <w:tc>
          <w:tcPr>
            <w:tcW w:type="dxa" w:w="9504"/>
          </w:tcPr>
          <w:p>
            <w:r>
              <w:t>$5,729.77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Commercial display</w:t>
            </w:r>
          </w:p>
        </w:tc>
        <w:tc>
          <w:tcPr>
            <w:tcW w:type="dxa" w:w="9504"/>
          </w:tcPr>
          <w:p>
            <w:r>
              <w:t>Historical illustrative 35% Glyph Systems cut; not contractual</w:t>
            </w:r>
          </w:p>
        </w:tc>
      </w:tr>
      <w:tr>
        <w:trPr>
          <w:cantSplit/>
        </w:trPr>
        <w:tc>
          <w:tcPr>
            <w:tcW w:type="dxa" w:w="4320"/>
          </w:tcPr>
          <w:p>
            <w:r>
              <w:t>Correct use</w:t>
            </w:r>
          </w:p>
        </w:tc>
        <w:tc>
          <w:tcPr>
            <w:tcW w:type="dxa" w:w="9504"/>
          </w:tcPr>
          <w:p>
            <w:r>
              <w:t>External-input-shaped milestone evidence with a preserved evidence boundary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The current commercial model is documented separately. Preserve the historical 35% display as evidence history, but do not treat it as the current standing split.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7. Programs 41 and 42 — Live-Run Milestones and Startup Records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"/>
        <w:gridCol w:w="2088"/>
        <w:gridCol w:w="1728"/>
        <w:gridCol w:w="1728"/>
        <w:gridCol w:w="1728"/>
        <w:gridCol w:w="1944"/>
        <w:gridCol w:w="3816"/>
      </w:tblGrid>
      <w:tr>
        <w:trPr>
          <w:cantSplit/>
        </w:trPr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Pgm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Record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Runtime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Rate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Median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Worst / positive</w:t>
            </w:r>
          </w:p>
        </w:tc>
        <w:tc>
          <w:tcPr>
            <w:tcW w:type="dxa" w:w="2037"/>
            <w:shd w:fill="050107"/>
          </w:tcPr>
          <w:p>
            <w:r>
              <w:rPr>
                <w:b/>
                <w:color w:val="00EAF2"/>
                <w:sz w:val="17"/>
              </w:rPr>
              <w:t>Correct classification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41</w:t>
            </w:r>
          </w:p>
        </w:tc>
        <w:tc>
          <w:tcPr>
            <w:tcW w:type="dxa" w:w="2088"/>
          </w:tcPr>
          <w:p>
            <w:r>
              <w:t>12H milestone</w:t>
            </w:r>
          </w:p>
        </w:tc>
        <w:tc>
          <w:tcPr>
            <w:tcW w:type="dxa" w:w="1728"/>
          </w:tcPr>
          <w:p>
            <w:r>
              <w:t>12.000 h / 72</w:t>
            </w:r>
          </w:p>
        </w:tc>
        <w:tc>
          <w:tcPr>
            <w:tcW w:type="dxa" w:w="1728"/>
          </w:tcPr>
          <w:p>
            <w:r>
              <w:t>$58.2843/min</w:t>
            </w:r>
          </w:p>
        </w:tc>
        <w:tc>
          <w:tcPr>
            <w:tcW w:type="dxa" w:w="1728"/>
          </w:tcPr>
          <w:p>
            <w:r>
              <w:t>$8.8897/min</w:t>
            </w:r>
          </w:p>
        </w:tc>
        <w:tc>
          <w:tcPr>
            <w:tcW w:type="dxa" w:w="1944"/>
          </w:tcPr>
          <w:p>
            <w:r>
              <w:t>$1.3129 / 72 of 72</w:t>
            </w:r>
          </w:p>
        </w:tc>
        <w:tc>
          <w:tcPr>
            <w:tcW w:type="dxa" w:w="3816"/>
          </w:tcPr>
          <w:p>
            <w:r>
              <w:t>Valid contained milestone; the longer run continued after export.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41</w:t>
            </w:r>
          </w:p>
        </w:tc>
        <w:tc>
          <w:tcPr>
            <w:tcW w:type="dxa" w:w="2088"/>
          </w:tcPr>
          <w:p>
            <w:r>
              <w:t>“Final” startup</w:t>
            </w:r>
          </w:p>
        </w:tc>
        <w:tc>
          <w:tcPr>
            <w:tcW w:type="dxa" w:w="1728"/>
          </w:tcPr>
          <w:p>
            <w:r>
              <w:t>0.045 h / 0</w:t>
            </w:r>
          </w:p>
        </w:tc>
        <w:tc>
          <w:tcPr>
            <w:tcW w:type="dxa" w:w="1728"/>
          </w:tcPr>
          <w:p>
            <w:r>
              <w:t>$2.3154/min</w:t>
            </w:r>
          </w:p>
        </w:tc>
        <w:tc>
          <w:tcPr>
            <w:tcW w:type="dxa" w:w="1728"/>
          </w:tcPr>
          <w:p>
            <w:r>
              <w:t>$0.0000/min</w:t>
            </w:r>
          </w:p>
        </w:tc>
        <w:tc>
          <w:tcPr>
            <w:tcW w:type="dxa" w:w="1944"/>
          </w:tcPr>
          <w:p>
            <w:r>
              <w:t>0 / 0</w:t>
            </w:r>
          </w:p>
        </w:tc>
        <w:tc>
          <w:tcPr>
            <w:tcW w:type="dxa" w:w="3816"/>
          </w:tcPr>
          <w:p>
            <w:r>
              <w:t>Startup/preflight only; partial live card, no completed-round outcome.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42</w:t>
            </w:r>
          </w:p>
        </w:tc>
        <w:tc>
          <w:tcPr>
            <w:tcW w:type="dxa" w:w="2088"/>
          </w:tcPr>
          <w:p>
            <w:r>
              <w:t>12H milestone</w:t>
            </w:r>
          </w:p>
        </w:tc>
        <w:tc>
          <w:tcPr>
            <w:tcW w:type="dxa" w:w="1728"/>
          </w:tcPr>
          <w:p>
            <w:r>
              <w:t>12.000 h / 72</w:t>
            </w:r>
          </w:p>
        </w:tc>
        <w:tc>
          <w:tcPr>
            <w:tcW w:type="dxa" w:w="1728"/>
          </w:tcPr>
          <w:p>
            <w:r>
              <w:t>$7.4753/min</w:t>
            </w:r>
          </w:p>
        </w:tc>
        <w:tc>
          <w:tcPr>
            <w:tcW w:type="dxa" w:w="1728"/>
          </w:tcPr>
          <w:p>
            <w:r>
              <w:t>$1.6210/min</w:t>
            </w:r>
          </w:p>
        </w:tc>
        <w:tc>
          <w:tcPr>
            <w:tcW w:type="dxa" w:w="1944"/>
          </w:tcPr>
          <w:p>
            <w:r>
              <w:t>-$3.3787 / 45 of 72</w:t>
            </w:r>
          </w:p>
        </w:tc>
        <w:tc>
          <w:tcPr>
            <w:tcW w:type="dxa" w:w="3816"/>
          </w:tcPr>
          <w:p>
            <w:r>
              <w:t>Valid contained milestone with significant preserved downside.</w:t>
            </w:r>
          </w:p>
        </w:tc>
      </w:tr>
      <w:tr>
        <w:trPr>
          <w:cantSplit/>
        </w:trPr>
        <w:tc>
          <w:tcPr>
            <w:tcW w:type="dxa" w:w="936"/>
          </w:tcPr>
          <w:p>
            <w:r>
              <w:t>42</w:t>
            </w:r>
          </w:p>
        </w:tc>
        <w:tc>
          <w:tcPr>
            <w:tcW w:type="dxa" w:w="2088"/>
          </w:tcPr>
          <w:p>
            <w:r>
              <w:t>“Final” startup</w:t>
            </w:r>
          </w:p>
        </w:tc>
        <w:tc>
          <w:tcPr>
            <w:tcW w:type="dxa" w:w="1728"/>
          </w:tcPr>
          <w:p>
            <w:r>
              <w:t>0.003 h / 0</w:t>
            </w:r>
          </w:p>
        </w:tc>
        <w:tc>
          <w:tcPr>
            <w:tcW w:type="dxa" w:w="1728"/>
          </w:tcPr>
          <w:p>
            <w:r>
              <w:t>$0.0000/min</w:t>
            </w:r>
          </w:p>
        </w:tc>
        <w:tc>
          <w:tcPr>
            <w:tcW w:type="dxa" w:w="1728"/>
          </w:tcPr>
          <w:p>
            <w:r>
              <w:t>$0.0000/min</w:t>
            </w:r>
          </w:p>
        </w:tc>
        <w:tc>
          <w:tcPr>
            <w:tcW w:type="dxa" w:w="1944"/>
          </w:tcPr>
          <w:p>
            <w:r>
              <w:t>0 / 0</w:t>
            </w:r>
          </w:p>
        </w:tc>
        <w:tc>
          <w:tcPr>
            <w:tcW w:type="dxa" w:w="3816"/>
          </w:tcPr>
          <w:p>
            <w:r>
              <w:t>Startup/preflight only; no completed-round outcome.</w:t>
            </w:r>
          </w:p>
        </w:tc>
      </w:tr>
    </w:tbl>
    <w:p/>
    <w:p>
      <w:pPr>
        <w:pStyle w:val="ListBullet"/>
        <w:spacing w:after="40"/>
        <w:ind w:left="360"/>
      </w:pPr>
      <w:r>
        <w:rPr>
          <w:sz w:val="18"/>
        </w:rPr>
        <w:t>The milestone and startup files are separate executions, not one continuous seed.</w:t>
      </w:r>
    </w:p>
    <w:p>
      <w:pPr>
        <w:pStyle w:val="ListBullet"/>
        <w:spacing w:after="40"/>
        <w:ind w:left="360"/>
      </w:pPr>
      <w:r>
        <w:rPr>
          <w:sz w:val="18"/>
        </w:rPr>
        <w:t>The Program 41 milestone is positive in all 72 completed rounds.</w:t>
      </w:r>
    </w:p>
    <w:p>
      <w:pPr>
        <w:pStyle w:val="ListBullet"/>
        <w:spacing w:after="40"/>
        <w:ind w:left="360"/>
      </w:pPr>
      <w:r>
        <w:rPr>
          <w:sz w:val="18"/>
        </w:rPr>
        <w:t>The Program 42 milestone is positive in aggregate but has a negative lower tail and only 45 positive rounds out of 72.</w:t>
      </w:r>
    </w:p>
    <w:p>
      <w:pPr>
        <w:pStyle w:val="ListBullet"/>
        <w:spacing w:after="40"/>
        <w:ind w:left="360"/>
      </w:pPr>
      <w:r>
        <w:rPr>
          <w:sz w:val="18"/>
        </w:rPr>
        <w:t>When Programs 41 and 42 are stopped on camera, their new final exports should be added as new files rather than overwriting these milestones.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The startup files are still useful for provenance and troubleshooting history. Their correct label is STARTUP / PREFLIGHT RECORD, not FINAL LONG-HORIZON RESULT.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8. What the HTML Folder Does—and Does Not—Contain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624"/>
        <w:gridCol w:w="7200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C23A82"/>
                <w:sz w:val="17"/>
              </w:rPr>
              <w:t>Contained in this folder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C23A82"/>
                <w:sz w:val="17"/>
              </w:rPr>
              <w:t>Located elsewhere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Self-contained browser reports</w:t>
            </w:r>
          </w:p>
        </w:tc>
        <w:tc>
          <w:tcPr>
            <w:tcW w:type="dxa" w:w="7200"/>
          </w:tcPr>
          <w:p>
            <w:r>
              <w:t>Full RUN_LOGS JSON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Executive summaries and evidence boundaries</w:t>
            </w:r>
          </w:p>
        </w:tc>
        <w:tc>
          <w:tcPr>
            <w:tcW w:type="dxa" w:w="7200"/>
          </w:tcPr>
          <w:p>
            <w:r>
              <w:t>Package manifests and SHA-256 file maps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Metric cards and distribution charts</w:t>
            </w:r>
          </w:p>
        </w:tc>
        <w:tc>
          <w:tcPr>
            <w:tcW w:type="dxa" w:w="7200"/>
          </w:tcPr>
          <w:p>
            <w:r>
              <w:t>Frozen public incident snapshots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Controller comparisons</w:t>
            </w:r>
          </w:p>
        </w:tc>
        <w:tc>
          <w:tcPr>
            <w:tcW w:type="dxa" w:w="7200"/>
          </w:tcPr>
          <w:p>
            <w:r>
              <w:t>Program source and private source verification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Method descriptions</w:t>
            </w:r>
          </w:p>
        </w:tc>
        <w:tc>
          <w:tcPr>
            <w:tcW w:type="dxa" w:w="7200"/>
          </w:tcPr>
          <w:p>
            <w:r>
              <w:t>Screenshots and video evidence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Embedded run logs or selected event summaries</w:t>
            </w:r>
          </w:p>
        </w:tc>
        <w:tc>
          <w:tcPr>
            <w:tcW w:type="dxa" w:w="7200"/>
          </w:tcPr>
          <w:p>
            <w:r>
              <w:t>Interactive browser navigation program</w:t>
            </w:r>
          </w:p>
        </w:tc>
      </w:tr>
      <w:tr>
        <w:trPr>
          <w:cantSplit/>
        </w:trPr>
        <w:tc>
          <w:tcPr>
            <w:tcW w:type="dxa" w:w="6624"/>
          </w:tcPr>
          <w:p>
            <w:r>
              <w:t>Historical commercial-display language</w:t>
            </w:r>
          </w:p>
        </w:tc>
        <w:tc>
          <w:tcPr>
            <w:tcW w:type="dxa" w:w="7200"/>
          </w:tcPr>
          <w:p>
            <w:r>
              <w:t>Independent customer-pilot validation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This folder is designed for quick human review. The PROGRAMS DOC INFO folder is the deeper technical evidence layer.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9. Correct Evidence Boundaries and Non-Claims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032"/>
        <w:gridCol w:w="9792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Boundary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FFF200"/>
                <w:sz w:val="17"/>
              </w:rPr>
              <w:t>Correct interpretation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Modeled values</w:t>
            </w:r>
          </w:p>
        </w:tc>
        <w:tc>
          <w:tcPr>
            <w:tcW w:type="dxa" w:w="9792"/>
          </w:tcPr>
          <w:p>
            <w:r>
              <w:t>Controlled estimates under the report’s declared harness and cost model; not guaranteed liquid cash.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Customer revenue</w:t>
            </w:r>
          </w:p>
        </w:tc>
        <w:tc>
          <w:tcPr>
            <w:tcW w:type="dxa" w:w="9792"/>
          </w:tcPr>
          <w:p>
            <w:r>
              <w:t>No HTML in this folder proves invoiced, collected, or independently verified customer revenue.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Named systems</w:t>
            </w:r>
          </w:p>
        </w:tc>
        <w:tc>
          <w:tcPr>
            <w:tcW w:type="dxa" w:w="9792"/>
          </w:tcPr>
          <w:p>
            <w:r>
              <w:t>The reports do not claim access to named banks, payment networks, treasury platforms, or private production systems.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Public incidents</w:t>
            </w:r>
          </w:p>
        </w:tc>
        <w:tc>
          <w:tcPr>
            <w:tcW w:type="dxa" w:w="9792"/>
          </w:tcPr>
          <w:p>
            <w:r>
              <w:t>They shape a frozen reproducible schedule where used; they do not reproduce provider-private operations.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Commercial split</w:t>
            </w:r>
          </w:p>
        </w:tc>
        <w:tc>
          <w:tcPr>
            <w:tcW w:type="dxa" w:w="9792"/>
          </w:tcPr>
          <w:p>
            <w:r>
              <w:t>Displayed percentages are illustrative or historical planning values unless governed by a separate written agreement.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Negative rounds</w:t>
            </w:r>
          </w:p>
        </w:tc>
        <w:tc>
          <w:tcPr>
            <w:tcW w:type="dxa" w:w="9792"/>
          </w:tcPr>
          <w:p>
            <w:r>
              <w:t>Negative and near-zero rounds are evidence and should remain visible.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Security / compliance</w:t>
            </w:r>
          </w:p>
        </w:tc>
        <w:tc>
          <w:tcPr>
            <w:tcW w:type="dxa" w:w="9792"/>
          </w:tcPr>
          <w:p>
            <w:r>
              <w:t>The reports do not by themselves establish production security, regulatory compliance, or audit certification.</w:t>
            </w:r>
          </w:p>
        </w:tc>
      </w:tr>
      <w:tr>
        <w:trPr>
          <w:cantSplit/>
        </w:trPr>
        <w:tc>
          <w:tcPr>
            <w:tcW w:type="dxa" w:w="4032"/>
          </w:tcPr>
          <w:p>
            <w:r>
              <w:t>Next gate</w:t>
            </w:r>
          </w:p>
        </w:tc>
        <w:tc>
          <w:tcPr>
            <w:tcW w:type="dxa" w:w="9792"/>
          </w:tcPr>
          <w:p>
            <w:r>
              <w:t>Independent technical review and an authorized read-only customer shadow pilot using pre-agreed measurement rules.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12"/>
      </w:tblGrid>
      <w:tr>
        <w:trPr>
          <w:cantSplit/>
        </w:trPr>
        <w:tc>
          <w:tcPr>
            <w:tcW w:type="dxa" w:w="14256"/>
            <w:shd w:fill="F3F0F5"/>
            <w:tcBorders>
              <w:left w:val="single" w:sz="22" w:color="FFF200"/>
              <w:top w:val="nil"/>
              <w:right w:val="nil"/>
              <w:bottom w:val="nil"/>
            </w:tcBorders>
          </w:tcPr>
          <w:p>
            <w:pPr>
              <w:spacing w:after="0"/>
            </w:pPr>
            <w:r>
              <w:rPr>
                <w:b/>
                <w:color w:val="28232D"/>
                <w:sz w:val="18"/>
              </w:rPr>
              <w:t>Core claim: the HTML folder presents repeated controlled signals and milestone evidence in a form that a nontechnical reviewer can understand.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 w:after="80"/>
      </w:pPr>
      <w:r>
        <w:t>10. Reviewer Checklist and Final Interpretation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68"/>
        <w:gridCol w:w="10656"/>
      </w:tblGrid>
      <w:tr>
        <w:trPr>
          <w:cantSplit/>
        </w:trPr>
        <w:tc>
          <w:tcPr>
            <w:tcW w:type="dxa" w:w="7128"/>
            <w:shd w:fill="050107"/>
          </w:tcPr>
          <w:p>
            <w:r>
              <w:rPr>
                <w:b/>
                <w:color w:val="00EAF2"/>
                <w:sz w:val="17"/>
              </w:rPr>
              <w:t>Check</w:t>
            </w:r>
          </w:p>
        </w:tc>
        <w:tc>
          <w:tcPr>
            <w:tcW w:type="dxa" w:w="7128"/>
            <w:shd w:fill="050107"/>
          </w:tcPr>
          <w:p>
            <w:r>
              <w:rPr>
                <w:b/>
                <w:color w:val="00EAF2"/>
                <w:sz w:val="17"/>
              </w:rPr>
              <w:t>Question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File identity</w:t>
            </w:r>
          </w:p>
        </w:tc>
        <w:tc>
          <w:tcPr>
            <w:tcW w:type="dxa" w:w="10656"/>
          </w:tcPr>
          <w:p>
            <w:r>
              <w:t>Did I open the intended program and export state?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Runtime</w:t>
            </w:r>
          </w:p>
        </w:tc>
        <w:tc>
          <w:tcPr>
            <w:tcW w:type="dxa" w:w="10656"/>
          </w:tcPr>
          <w:p>
            <w:r>
              <w:t>How long did the run operate, and how many complete rounds exist?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Distribution</w:t>
            </w:r>
          </w:p>
        </w:tc>
        <w:tc>
          <w:tcPr>
            <w:tcW w:type="dxa" w:w="10656"/>
          </w:tcPr>
          <w:p>
            <w:r>
              <w:t>What do the median, lower tail, worst round, and positive count show?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Evidence boundary</w:t>
            </w:r>
          </w:p>
        </w:tc>
        <w:tc>
          <w:tcPr>
            <w:tcW w:type="dxa" w:w="10656"/>
          </w:tcPr>
          <w:p>
            <w:r>
              <w:t>What does the report explicitly exclude?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Commercial display</w:t>
            </w:r>
          </w:p>
        </w:tc>
        <w:tc>
          <w:tcPr>
            <w:tcW w:type="dxa" w:w="10656"/>
          </w:tcPr>
          <w:p>
            <w:r>
              <w:t>Is the percentage current, historical, or merely illustrative?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Input source</w:t>
            </w:r>
          </w:p>
        </w:tc>
        <w:tc>
          <w:tcPr>
            <w:tcW w:type="dxa" w:w="10656"/>
          </w:tcPr>
          <w:p>
            <w:r>
              <w:t>Was the schedule controlled, ordinary-day, or shaped by frozen public incidents?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Deeper evidence</w:t>
            </w:r>
          </w:p>
        </w:tc>
        <w:tc>
          <w:tcPr>
            <w:tcW w:type="dxa" w:w="10656"/>
          </w:tcPr>
          <w:p>
            <w:r>
              <w:t>Do I need the matching JSON logs, manifest, snapshot, screenshot, or video?</w:t>
            </w:r>
          </w:p>
        </w:tc>
      </w:tr>
      <w:tr>
        <w:trPr>
          <w:cantSplit/>
        </w:trPr>
        <w:tc>
          <w:tcPr>
            <w:tcW w:type="dxa" w:w="3168"/>
          </w:tcPr>
          <w:p>
            <w:r>
              <w:t>Classification</w:t>
            </w:r>
          </w:p>
        </w:tc>
        <w:tc>
          <w:tcPr>
            <w:tcW w:type="dxa" w:w="10656"/>
          </w:tcPr>
          <w:p>
            <w:r>
              <w:t>Is this primary evidence, historical continuity, milestone evidence, or startup/preflight history?</w:t>
            </w:r>
          </w:p>
        </w:tc>
      </w:tr>
    </w:tbl>
    <w:p/>
    <w:p>
      <w:pPr>
        <w:pStyle w:val="Heading2"/>
      </w:pPr>
      <w:r>
        <w:t>Final interpretation</w:t>
      </w:r>
    </w:p>
    <w:p>
      <w:r>
        <w:t>The HTML Files folder is the manual reading layer of the Logic Engine evidence portfolio. It lets investors, business reviewers, and technical evaluators open each report directly in a browser without the interactive program.</w:t>
      </w:r>
    </w:p>
    <w:p>
      <w:r>
        <w:t>The strongest current manual sequence is Program 35, Program 36, Program 38, Program 40, Program 41 twelve-hour milestone, and Program 42 twelve-hour milestone. Program 34 adds historical continuity. The two zero-round “FINAL” files remain startup records and must be labeled accordingly.</w:t>
      </w:r>
    </w:p>
    <w:sectPr w:rsidR="00FC693F" w:rsidRPr="0006063C" w:rsidSect="00034616">
      <w:headerReference w:type="default" r:id="rId10"/>
      <w:footerReference w:type="default" r:id="rId11"/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00D2DC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31F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B9C1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C23A8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879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Glyph Systems HTML Evidence Folder Technical Guide</dc:title>
  <dc:subject>Technical reading guide and report index for the HTML Files folder</dc:subject>
  <dc:creator>Glyph Systems</dc:creator>
  <cp:keywords>Glyph Systems, Logic Engine, HTML evidence, investor reports, controlled testing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