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9A2F" w14:textId="77777777" w:rsidR="0065708E" w:rsidRDefault="00B65209">
      <w:pPr>
        <w:pStyle w:val="Title"/>
      </w:pPr>
      <w:r>
        <w:rPr>
          <w:rFonts w:hint="eastAsia"/>
        </w:rPr>
        <w:t>Deep-</w:t>
      </w:r>
      <w:r>
        <w:t xml:space="preserve">Learning </w:t>
      </w:r>
      <w:r>
        <w:rPr>
          <w:rFonts w:hint="eastAsia"/>
        </w:rPr>
        <w:t>Radiomics</w:t>
      </w:r>
      <w:r>
        <w:t xml:space="preserve"> 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Checklist</w:t>
      </w:r>
      <w:r>
        <w:t xml:space="preserve"> (DLRRC)</w:t>
      </w:r>
    </w:p>
    <w:tbl>
      <w:tblPr>
        <w:tblStyle w:val="IESSRThree-LineTable"/>
        <w:tblW w:w="5000" w:type="pct"/>
        <w:tblLook w:val="04A0" w:firstRow="1" w:lastRow="0" w:firstColumn="1" w:lastColumn="0" w:noHBand="0" w:noVBand="1"/>
      </w:tblPr>
      <w:tblGrid>
        <w:gridCol w:w="558"/>
        <w:gridCol w:w="7748"/>
      </w:tblGrid>
      <w:tr w:rsidR="0065708E" w14:paraId="7DD79A32" w14:textId="77777777" w:rsidTr="0065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15"/>
          <w:tblHeader/>
        </w:trPr>
        <w:tc>
          <w:tcPr>
            <w:tcW w:w="336" w:type="pct"/>
            <w:tcBorders>
              <w:top w:val="single" w:sz="12" w:space="0" w:color="auto"/>
            </w:tcBorders>
            <w:noWrap/>
            <w:vAlign w:val="center"/>
          </w:tcPr>
          <w:p w14:paraId="7DD79A30" w14:textId="77777777" w:rsidR="0065708E" w:rsidRDefault="00B65209">
            <w:pPr>
              <w:rPr>
                <w:rFonts w:eastAsia="仿宋"/>
                <w:b w:val="0"/>
              </w:rPr>
            </w:pPr>
            <w:r>
              <w:rPr>
                <w:rFonts w:eastAsia="仿宋"/>
              </w:rPr>
              <w:t>N</w:t>
            </w:r>
            <w:r>
              <w:rPr>
                <w:rFonts w:eastAsia="仿宋" w:hint="eastAsia"/>
              </w:rPr>
              <w:t>o</w:t>
            </w:r>
            <w:r>
              <w:rPr>
                <w:rFonts w:eastAsia="仿宋"/>
              </w:rPr>
              <w:t>.</w:t>
            </w:r>
          </w:p>
        </w:tc>
        <w:tc>
          <w:tcPr>
            <w:tcW w:w="4664" w:type="pct"/>
            <w:tcBorders>
              <w:top w:val="single" w:sz="12" w:space="0" w:color="auto"/>
            </w:tcBorders>
            <w:vAlign w:val="center"/>
          </w:tcPr>
          <w:p w14:paraId="7DD79A31" w14:textId="77777777" w:rsidR="0065708E" w:rsidRDefault="00B65209">
            <w:pPr>
              <w:rPr>
                <w:rFonts w:eastAsia="仿宋"/>
                <w:b w:val="0"/>
              </w:rPr>
            </w:pPr>
            <w:r>
              <w:rPr>
                <w:rFonts w:eastAsia="仿宋"/>
              </w:rPr>
              <w:t>Item with Answers &amp; Scores</w:t>
            </w:r>
          </w:p>
        </w:tc>
      </w:tr>
      <w:tr w:rsidR="0065708E" w14:paraId="7DD79A34" w14:textId="77777777" w:rsidTr="0065708E">
        <w:trPr>
          <w:cantSplit/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33" w14:textId="77777777" w:rsidR="0065708E" w:rsidRDefault="00B65209">
            <w:pPr>
              <w:keepNext/>
              <w:jc w:val="both"/>
              <w:rPr>
                <w:rFonts w:eastAsia="仿宋"/>
                <w:b/>
                <w:bCs/>
              </w:rPr>
            </w:pPr>
            <w:r>
              <w:rPr>
                <w:rFonts w:eastAsia="仿宋"/>
                <w:b/>
                <w:bCs/>
              </w:rPr>
              <w:t>Part I: Basic information and Data Acquisition (10 points)</w:t>
            </w:r>
          </w:p>
        </w:tc>
      </w:tr>
      <w:tr w:rsidR="0065708E" w14:paraId="7DD79A38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3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  <w:tc>
          <w:tcPr>
            <w:tcW w:w="4664" w:type="pct"/>
          </w:tcPr>
          <w:p w14:paraId="7DD79A36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Labels are meaningful and biological discrepancy, mentioning potential topological differences existing.</w:t>
            </w:r>
          </w:p>
          <w:p w14:paraId="7DD79A37" w14:textId="77777777" w:rsidR="0065708E" w:rsidRDefault="00B65209">
            <w:pPr>
              <w:jc w:val="both"/>
              <w:rPr>
                <w:rFonts w:eastAsia="仿宋"/>
                <w:i/>
                <w:iCs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3C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3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3A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 xml:space="preserve">Filtration of radiological data </w:t>
            </w:r>
            <w:proofErr w:type="gramStart"/>
            <w:r>
              <w:rPr>
                <w:rFonts w:eastAsia="仿宋"/>
              </w:rPr>
              <w:t>are</w:t>
            </w:r>
            <w:proofErr w:type="gramEnd"/>
            <w:r>
              <w:rPr>
                <w:rFonts w:eastAsia="仿宋"/>
              </w:rPr>
              <w:t xml:space="preserve"> applied and described.</w:t>
            </w:r>
          </w:p>
          <w:p w14:paraId="7DD79A3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42" w14:textId="77777777" w:rsidTr="0065708E">
        <w:trPr>
          <w:cantSplit/>
          <w:trHeight w:val="1260"/>
        </w:trPr>
        <w:tc>
          <w:tcPr>
            <w:tcW w:w="336" w:type="pct"/>
            <w:noWrap/>
          </w:tcPr>
          <w:p w14:paraId="7DD79A3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  <w:tc>
          <w:tcPr>
            <w:tcW w:w="4664" w:type="pct"/>
          </w:tcPr>
          <w:p w14:paraId="7DD79A3E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Radiological data types:</w:t>
            </w:r>
          </w:p>
          <w:p w14:paraId="7DD79A3F" w14:textId="77777777" w:rsidR="0065708E" w:rsidRDefault="00B6520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If several modalities are involved, each type of modality should have an acceptable ratio with detailed descriptions.</w:t>
            </w:r>
          </w:p>
          <w:p w14:paraId="7DD79A40" w14:textId="77777777" w:rsidR="0065708E" w:rsidRDefault="00B6520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If only one modality is involved, declaration is required.</w:t>
            </w:r>
          </w:p>
          <w:p w14:paraId="7DD79A4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48" w14:textId="77777777" w:rsidTr="0065708E">
        <w:trPr>
          <w:cantSplit/>
          <w:trHeight w:val="126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4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44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For data sources:</w:t>
            </w:r>
          </w:p>
          <w:p w14:paraId="7DD79A45" w14:textId="77777777" w:rsidR="0065708E" w:rsidRDefault="00B6520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 xml:space="preserve">If </w:t>
            </w:r>
            <w:proofErr w:type="gramStart"/>
            <w:r>
              <w:rPr>
                <w:rFonts w:eastAsia="仿宋"/>
              </w:rPr>
              <w:t>it is</w:t>
            </w:r>
            <w:proofErr w:type="gramEnd"/>
            <w:r>
              <w:rPr>
                <w:rFonts w:eastAsia="仿宋"/>
              </w:rPr>
              <w:t xml:space="preserve"> all originated from open sources, situation of application and filters should be declared.</w:t>
            </w:r>
          </w:p>
          <w:p w14:paraId="7DD79A46" w14:textId="77777777" w:rsidR="0065708E" w:rsidRDefault="00B6520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If it involves closed-source data, institutional ethical reviewing approvement and serial numbers are required.</w:t>
            </w:r>
          </w:p>
          <w:p w14:paraId="7DD79A4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4A" w14:textId="77777777" w:rsidTr="0065708E">
        <w:trPr>
          <w:cantSplit/>
          <w:trHeight w:val="315"/>
        </w:trPr>
        <w:tc>
          <w:tcPr>
            <w:tcW w:w="5000" w:type="pct"/>
            <w:gridSpan w:val="2"/>
            <w:noWrap/>
          </w:tcPr>
          <w:p w14:paraId="7DD79A49" w14:textId="77777777" w:rsidR="0065708E" w:rsidRDefault="00B65209">
            <w:pPr>
              <w:keepNext/>
              <w:jc w:val="both"/>
              <w:rPr>
                <w:rFonts w:eastAsia="仿宋"/>
                <w:b/>
                <w:bCs/>
              </w:rPr>
            </w:pPr>
            <w:r>
              <w:rPr>
                <w:rFonts w:eastAsia="仿宋"/>
                <w:b/>
                <w:bCs/>
              </w:rPr>
              <w:t>Part II: Pre-processing (27.5 points)</w:t>
            </w:r>
          </w:p>
        </w:tc>
      </w:tr>
      <w:tr w:rsidR="0065708E" w14:paraId="7DD79A4E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4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4C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The ratio of each label should be unextreme and acceptable.</w:t>
            </w:r>
          </w:p>
          <w:p w14:paraId="7DD79A4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52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4F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6</w:t>
            </w:r>
          </w:p>
        </w:tc>
        <w:tc>
          <w:tcPr>
            <w:tcW w:w="4664" w:type="pct"/>
          </w:tcPr>
          <w:p w14:paraId="7DD79A50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T</w:t>
            </w:r>
            <w:r>
              <w:rPr>
                <w:rFonts w:eastAsia="仿宋"/>
              </w:rPr>
              <w:t>he ratio of generated images should be closed, otherwise reasonable explanation is required.</w:t>
            </w:r>
          </w:p>
          <w:p w14:paraId="7DD79A5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56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5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7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54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 xml:space="preserve">Processing </w:t>
            </w:r>
            <w:proofErr w:type="gramStart"/>
            <w:r>
              <w:rPr>
                <w:rFonts w:eastAsia="仿宋"/>
              </w:rPr>
              <w:t>staffs</w:t>
            </w:r>
            <w:proofErr w:type="gramEnd"/>
            <w:r>
              <w:rPr>
                <w:rFonts w:eastAsia="仿宋"/>
              </w:rPr>
              <w:t xml:space="preserve"> are radiological professionals.</w:t>
            </w:r>
          </w:p>
          <w:p w14:paraId="7DD79A5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5A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5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8</w:t>
            </w:r>
          </w:p>
        </w:tc>
        <w:tc>
          <w:tcPr>
            <w:tcW w:w="4664" w:type="pct"/>
          </w:tcPr>
          <w:p w14:paraId="7DD79A58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Pre-processing is processed by the gold standard guidance.</w:t>
            </w:r>
          </w:p>
          <w:p w14:paraId="7DD79A5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5E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5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9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5C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Effective methods exist to promise accuracy of pre-processing.</w:t>
            </w:r>
          </w:p>
          <w:p w14:paraId="7DD79A5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62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5F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1</w:t>
            </w:r>
            <w:r>
              <w:rPr>
                <w:rFonts w:eastAsia="仿宋"/>
              </w:rPr>
              <w:t>0</w:t>
            </w:r>
          </w:p>
        </w:tc>
        <w:tc>
          <w:tcPr>
            <w:tcW w:w="4664" w:type="pct"/>
          </w:tcPr>
          <w:p w14:paraId="7DD79A60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The ratio of each dataset is reasonable.</w:t>
            </w:r>
          </w:p>
          <w:p w14:paraId="7DD79A6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66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6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11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64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Cases are independent, which aren’t involved in different datasets.</w:t>
            </w:r>
          </w:p>
          <w:p w14:paraId="7DD79A6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6A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6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12</w:t>
            </w:r>
          </w:p>
        </w:tc>
        <w:tc>
          <w:tcPr>
            <w:tcW w:w="4664" w:type="pct"/>
          </w:tcPr>
          <w:p w14:paraId="7DD79A68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 xml:space="preserve">Datasets are established by random selection, without manual </w:t>
            </w:r>
            <w:proofErr w:type="gramStart"/>
            <w:r>
              <w:rPr>
                <w:rFonts w:eastAsia="仿宋"/>
              </w:rPr>
              <w:t>manipulating</w:t>
            </w:r>
            <w:proofErr w:type="gramEnd"/>
            <w:r>
              <w:rPr>
                <w:rFonts w:eastAsia="仿宋"/>
              </w:rPr>
              <w:t>.</w:t>
            </w:r>
          </w:p>
          <w:p w14:paraId="7DD79A6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6E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6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13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6C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Examples of pre-processing are listed.</w:t>
            </w:r>
          </w:p>
          <w:p w14:paraId="7DD79A6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72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6F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1</w:t>
            </w:r>
            <w:r>
              <w:rPr>
                <w:rFonts w:eastAsia="仿宋"/>
              </w:rPr>
              <w:t>4</w:t>
            </w:r>
          </w:p>
        </w:tc>
        <w:tc>
          <w:tcPr>
            <w:tcW w:w="4664" w:type="pct"/>
          </w:tcPr>
          <w:p w14:paraId="7DD79A70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M</w:t>
            </w:r>
            <w:r>
              <w:rPr>
                <w:rFonts w:eastAsia="仿宋"/>
              </w:rPr>
              <w:t xml:space="preserve">ethods of data </w:t>
            </w:r>
            <w:r>
              <w:rPr>
                <w:rFonts w:eastAsia="仿宋" w:hint="eastAsia"/>
              </w:rPr>
              <w:t>augmentation</w:t>
            </w:r>
            <w:r>
              <w:rPr>
                <w:rFonts w:eastAsia="仿宋"/>
              </w:rPr>
              <w:t xml:space="preserve"> are suited</w:t>
            </w:r>
            <w:r>
              <w:rPr>
                <w:rFonts w:eastAsia="仿宋" w:hint="eastAsia"/>
              </w:rPr>
              <w:t xml:space="preserve"> a</w:t>
            </w:r>
            <w:r>
              <w:rPr>
                <w:rFonts w:eastAsia="仿宋"/>
              </w:rPr>
              <w:t>nd correctly applied.</w:t>
            </w:r>
          </w:p>
          <w:p w14:paraId="7DD79A7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>Answers and scores: And (5); Or (2.5); Nor (0).</w:t>
            </w:r>
          </w:p>
        </w:tc>
      </w:tr>
      <w:tr w:rsidR="0065708E" w14:paraId="7DD79A74" w14:textId="77777777" w:rsidTr="0065708E">
        <w:trPr>
          <w:cantSplit/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73" w14:textId="77777777" w:rsidR="0065708E" w:rsidRDefault="00B65209">
            <w:pPr>
              <w:keepNext/>
              <w:jc w:val="both"/>
              <w:rPr>
                <w:rFonts w:eastAsia="仿宋"/>
                <w:b/>
                <w:bCs/>
              </w:rPr>
            </w:pPr>
            <w:r>
              <w:rPr>
                <w:rFonts w:eastAsia="仿宋"/>
                <w:b/>
                <w:bCs/>
              </w:rPr>
              <w:lastRenderedPageBreak/>
              <w:t>Part III: Model and Dependence (10 points)</w:t>
            </w:r>
          </w:p>
        </w:tc>
      </w:tr>
      <w:tr w:rsidR="0065708E" w14:paraId="7DD79A78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7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15</w:t>
            </w:r>
          </w:p>
        </w:tc>
        <w:tc>
          <w:tcPr>
            <w:tcW w:w="4664" w:type="pct"/>
          </w:tcPr>
          <w:p w14:paraId="7DD79A76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Methods to avoid overfitting are applied and described.</w:t>
            </w:r>
          </w:p>
          <w:p w14:paraId="7DD79A7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7C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7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16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7A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Software environment should be listed, like serial numbers of version.</w:t>
            </w:r>
          </w:p>
          <w:p w14:paraId="7DD79A7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80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7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17</w:t>
            </w:r>
          </w:p>
        </w:tc>
        <w:tc>
          <w:tcPr>
            <w:tcW w:w="4664" w:type="pct"/>
          </w:tcPr>
          <w:p w14:paraId="7DD79A7E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Hardware details should be listed.</w:t>
            </w:r>
          </w:p>
          <w:p w14:paraId="7DD79A7F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84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8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18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82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Applied models are suited for tasks.</w:t>
            </w:r>
          </w:p>
          <w:p w14:paraId="7DD79A8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86" w14:textId="77777777" w:rsidTr="0065708E">
        <w:trPr>
          <w:cantSplit/>
          <w:trHeight w:val="315"/>
        </w:trPr>
        <w:tc>
          <w:tcPr>
            <w:tcW w:w="5000" w:type="pct"/>
            <w:gridSpan w:val="2"/>
            <w:noWrap/>
          </w:tcPr>
          <w:p w14:paraId="7DD79A85" w14:textId="77777777" w:rsidR="0065708E" w:rsidRDefault="00B65209">
            <w:pPr>
              <w:keepNext/>
              <w:jc w:val="both"/>
              <w:rPr>
                <w:rFonts w:eastAsia="仿宋"/>
                <w:b/>
                <w:bCs/>
              </w:rPr>
            </w:pPr>
            <w:r>
              <w:rPr>
                <w:rFonts w:eastAsia="仿宋"/>
                <w:b/>
                <w:bCs/>
              </w:rPr>
              <w:t>Part IV: Training, Validation and Testing (27.5 points)</w:t>
            </w:r>
          </w:p>
        </w:tc>
      </w:tr>
      <w:tr w:rsidR="0065708E" w14:paraId="7DD79A8A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8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19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88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Training details are listed, like epoch and time spent.</w:t>
            </w:r>
          </w:p>
          <w:p w14:paraId="7DD79A8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8E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8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2</w:t>
            </w:r>
            <w:r>
              <w:rPr>
                <w:rFonts w:eastAsia="仿宋"/>
              </w:rPr>
              <w:t>0</w:t>
            </w:r>
          </w:p>
        </w:tc>
        <w:tc>
          <w:tcPr>
            <w:tcW w:w="4664" w:type="pct"/>
          </w:tcPr>
          <w:p w14:paraId="7DD79A8C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Hyperparameters are listed (at least including b</w:t>
            </w:r>
            <w:r>
              <w:rPr>
                <w:rFonts w:eastAsia="仿宋" w:hint="eastAsia"/>
              </w:rPr>
              <w:t xml:space="preserve">atch size </w:t>
            </w:r>
            <w:r>
              <w:rPr>
                <w:rFonts w:eastAsia="仿宋"/>
              </w:rPr>
              <w:t>and</w:t>
            </w:r>
            <w:r>
              <w:rPr>
                <w:rFonts w:eastAsia="仿宋" w:hint="eastAsia"/>
              </w:rPr>
              <w:t xml:space="preserve"> learning rate</w:t>
            </w:r>
            <w:r>
              <w:rPr>
                <w:rFonts w:eastAsia="仿宋"/>
              </w:rPr>
              <w:t>).</w:t>
            </w:r>
          </w:p>
          <w:p w14:paraId="7DD79A8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92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8F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2</w:t>
            </w:r>
            <w:r>
              <w:rPr>
                <w:rFonts w:eastAsia="仿宋"/>
              </w:rPr>
              <w:t>1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90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The curves of accuracy-epoch and loss-epoch are provided.</w:t>
            </w:r>
          </w:p>
          <w:p w14:paraId="7DD79A9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96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9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2</w:t>
            </w:r>
            <w:r>
              <w:rPr>
                <w:rFonts w:eastAsia="仿宋"/>
              </w:rPr>
              <w:t>2</w:t>
            </w:r>
          </w:p>
        </w:tc>
        <w:tc>
          <w:tcPr>
            <w:tcW w:w="4664" w:type="pct"/>
          </w:tcPr>
          <w:p w14:paraId="7DD79A94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The end of training is decided by the performance trends in validation datasets and is described.</w:t>
            </w:r>
          </w:p>
          <w:p w14:paraId="7DD79A9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9A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9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23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98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Methods to promote robustness are applied.</w:t>
            </w:r>
          </w:p>
          <w:p w14:paraId="7DD79A9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9E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9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24</w:t>
            </w:r>
          </w:p>
        </w:tc>
        <w:tc>
          <w:tcPr>
            <w:tcW w:w="4664" w:type="pct"/>
          </w:tcPr>
          <w:p w14:paraId="7DD79A9C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The details of initial weights are described.</w:t>
            </w:r>
          </w:p>
          <w:p w14:paraId="7DD79A9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A2" w14:textId="77777777" w:rsidTr="0065708E">
        <w:trPr>
          <w:cantSplit/>
          <w:trHeight w:val="31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9F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25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A0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Training workloads are listed.</w:t>
            </w:r>
          </w:p>
          <w:p w14:paraId="7DD79AA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A6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A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26</w:t>
            </w:r>
          </w:p>
        </w:tc>
        <w:tc>
          <w:tcPr>
            <w:tcW w:w="4664" w:type="pct"/>
          </w:tcPr>
          <w:p w14:paraId="7DD79AA4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Objective indexes are reasonable and complete.</w:t>
            </w:r>
          </w:p>
          <w:p w14:paraId="7DD79AA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>Answers and scores: And (5); Or (2.5); Nor (0).</w:t>
            </w:r>
          </w:p>
        </w:tc>
      </w:tr>
      <w:tr w:rsidR="0065708E" w14:paraId="7DD79AAA" w14:textId="77777777" w:rsidTr="0065708E">
        <w:trPr>
          <w:cantSplit/>
          <w:trHeight w:val="63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A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27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A8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Comparison between testing performance and manual processing with the same test dataset is provided.</w:t>
            </w:r>
          </w:p>
          <w:p w14:paraId="7DD79AA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AE" w14:textId="77777777" w:rsidTr="0065708E">
        <w:trPr>
          <w:cantSplit/>
          <w:trHeight w:val="315"/>
        </w:trPr>
        <w:tc>
          <w:tcPr>
            <w:tcW w:w="336" w:type="pct"/>
            <w:noWrap/>
          </w:tcPr>
          <w:p w14:paraId="7DD79AA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28</w:t>
            </w:r>
          </w:p>
        </w:tc>
        <w:tc>
          <w:tcPr>
            <w:tcW w:w="4664" w:type="pct"/>
          </w:tcPr>
          <w:p w14:paraId="7DD79AAC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Details of test datasets and speculation results are provided.</w:t>
            </w:r>
          </w:p>
          <w:p w14:paraId="7DD79AAD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 xml:space="preserve">Answers and scores: </w:t>
            </w:r>
            <w:r>
              <w:rPr>
                <w:rFonts w:eastAsia="仿宋" w:hint="eastAsia"/>
                <w:i/>
                <w:iCs/>
              </w:rPr>
              <w:t>Y</w:t>
            </w:r>
            <w:r>
              <w:rPr>
                <w:rFonts w:eastAsia="仿宋"/>
                <w:i/>
                <w:iCs/>
              </w:rPr>
              <w:t>es (2.5); No (0).</w:t>
            </w:r>
          </w:p>
        </w:tc>
      </w:tr>
      <w:tr w:rsidR="0065708E" w14:paraId="7DD79AB0" w14:textId="77777777" w:rsidTr="0065708E">
        <w:trPr>
          <w:cantSplit/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AF" w14:textId="77777777" w:rsidR="0065708E" w:rsidRDefault="00B65209">
            <w:pPr>
              <w:keepNext/>
              <w:jc w:val="both"/>
              <w:rPr>
                <w:rFonts w:eastAsia="仿宋"/>
                <w:b/>
                <w:bCs/>
              </w:rPr>
            </w:pPr>
            <w:r>
              <w:rPr>
                <w:rFonts w:eastAsia="仿宋"/>
                <w:b/>
                <w:bCs/>
              </w:rPr>
              <w:t>Part V: Accessibility (25 points)</w:t>
            </w:r>
          </w:p>
        </w:tc>
      </w:tr>
      <w:tr w:rsidR="0065708E" w14:paraId="7DD79AB4" w14:textId="77777777" w:rsidTr="0065708E">
        <w:trPr>
          <w:cantSplit/>
          <w:trHeight w:val="317"/>
        </w:trPr>
        <w:tc>
          <w:tcPr>
            <w:tcW w:w="336" w:type="pct"/>
            <w:noWrap/>
          </w:tcPr>
          <w:p w14:paraId="7DD79AB1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29</w:t>
            </w:r>
          </w:p>
        </w:tc>
        <w:tc>
          <w:tcPr>
            <w:tcW w:w="4664" w:type="pct"/>
          </w:tcPr>
          <w:p w14:paraId="7DD79AB2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Codes.</w:t>
            </w:r>
          </w:p>
          <w:p w14:paraId="7DD79AB3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>Answers and scores: Fully accessible (10); Partly accessible (7.5); Possible accessible (5); Not (0).</w:t>
            </w:r>
          </w:p>
        </w:tc>
      </w:tr>
      <w:tr w:rsidR="0065708E" w14:paraId="7DD79AB8" w14:textId="77777777" w:rsidTr="0065708E">
        <w:trPr>
          <w:cantSplit/>
          <w:trHeight w:val="317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BE5E1"/>
            <w:noWrap/>
          </w:tcPr>
          <w:p w14:paraId="7DD79AB5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3</w:t>
            </w:r>
            <w:r>
              <w:rPr>
                <w:rFonts w:eastAsia="仿宋"/>
              </w:rPr>
              <w:t>0</w:t>
            </w:r>
          </w:p>
        </w:tc>
        <w:tc>
          <w:tcPr>
            <w:tcW w:w="4664" w:type="pct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EBE5E1"/>
          </w:tcPr>
          <w:p w14:paraId="7DD79AB6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Datasets.</w:t>
            </w:r>
          </w:p>
          <w:p w14:paraId="7DD79AB7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>Answers and scores: Fully accessible (10); Partly accessible (7.5); Possible accessible (5); Not (0).</w:t>
            </w:r>
          </w:p>
        </w:tc>
      </w:tr>
      <w:tr w:rsidR="0065708E" w14:paraId="7DD79ABC" w14:textId="77777777" w:rsidTr="0065708E">
        <w:trPr>
          <w:cantSplit/>
          <w:trHeight w:val="315"/>
        </w:trPr>
        <w:tc>
          <w:tcPr>
            <w:tcW w:w="336" w:type="pct"/>
            <w:tcBorders>
              <w:bottom w:val="single" w:sz="12" w:space="0" w:color="auto"/>
            </w:tcBorders>
            <w:noWrap/>
          </w:tcPr>
          <w:p w14:paraId="7DD79AB9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 w:hint="eastAsia"/>
              </w:rPr>
              <w:t>3</w:t>
            </w:r>
            <w:r>
              <w:rPr>
                <w:rFonts w:eastAsia="仿宋"/>
              </w:rPr>
              <w:t>1</w:t>
            </w:r>
          </w:p>
        </w:tc>
        <w:tc>
          <w:tcPr>
            <w:tcW w:w="4664" w:type="pct"/>
            <w:tcBorders>
              <w:bottom w:val="single" w:sz="12" w:space="0" w:color="auto"/>
            </w:tcBorders>
          </w:tcPr>
          <w:p w14:paraId="7DD79ABA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</w:rPr>
              <w:t>Weights.</w:t>
            </w:r>
          </w:p>
          <w:p w14:paraId="7DD79ABB" w14:textId="77777777" w:rsidR="0065708E" w:rsidRDefault="00B65209">
            <w:pPr>
              <w:jc w:val="both"/>
              <w:rPr>
                <w:rFonts w:eastAsia="仿宋"/>
              </w:rPr>
            </w:pPr>
            <w:r>
              <w:rPr>
                <w:rFonts w:eastAsia="仿宋"/>
                <w:i/>
                <w:iCs/>
              </w:rPr>
              <w:t>Answers and scores: Accessible (5); Inaccessible (0).</w:t>
            </w:r>
          </w:p>
        </w:tc>
      </w:tr>
    </w:tbl>
    <w:p w14:paraId="7DD79ABD" w14:textId="77777777" w:rsidR="0065708E" w:rsidRDefault="0065708E"/>
    <w:p w14:paraId="7DD79ABE" w14:textId="3C3CB11C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 Labels are meaningful and biological discrepancy, mentioning potential topological differences existing.</w:t>
      </w:r>
      <w:r>
        <w:t xml:space="preserve"> Labels are expected for meaning, </w:t>
      </w:r>
      <w:proofErr w:type="gramStart"/>
      <w:r>
        <w:t>so as to</w:t>
      </w:r>
      <w:proofErr w:type="gramEnd"/>
      <w:r>
        <w:t xml:space="preserve"> match the needs of clinic &amp; radiology. Considering the black box of training, labels should be different in pathology or physiology, for </w:t>
      </w:r>
      <w:proofErr w:type="gramStart"/>
      <w:r>
        <w:t>a better</w:t>
      </w:r>
      <w:proofErr w:type="gramEnd"/>
      <w:r>
        <w:t xml:space="preserve"> interpretability and </w:t>
      </w:r>
      <w:r>
        <w:lastRenderedPageBreak/>
        <w:t>rationality. For example: 1) different pathological subtypes in classification tasks; 2) different tissues in segmentation tasks, like tumors and normal tissue.</w:t>
      </w:r>
    </w:p>
    <w:p w14:paraId="7DD79ABF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 xml:space="preserve">tem 2 Filtration of radiological data are applied and described. </w:t>
      </w:r>
      <w:r>
        <w:t xml:space="preserve">The radiological data should be checked for quality and phases after data acquisition. Cases with poor quality or </w:t>
      </w:r>
      <w:r>
        <w:rPr>
          <w:rFonts w:hint="eastAsia"/>
        </w:rPr>
        <w:t xml:space="preserve">are </w:t>
      </w:r>
      <w:r>
        <w:t>noisy should be eliminated. Elimination of cases should be declared in reports. The adjustment of scales for adapting models and data balancing is encouraged to declare in articles.</w:t>
      </w:r>
    </w:p>
    <w:p w14:paraId="7DD79AC0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3 Radiological data types</w:t>
      </w:r>
      <w:r>
        <w:t xml:space="preserve">. We require authors to provide clear application of modals. If several </w:t>
      </w:r>
      <w:proofErr w:type="spellStart"/>
      <w:r>
        <w:t>modals</w:t>
      </w:r>
      <w:proofErr w:type="spellEnd"/>
      <w:r>
        <w:t xml:space="preserve"> are used in a report, authors should declare specific application circumstances of each modal. Difference between modal ratios of cases can be potential cause of incorrect feature extraction.</w:t>
      </w:r>
    </w:p>
    <w:p w14:paraId="7DD79AC1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4 Data source.</w:t>
      </w:r>
      <w:r>
        <w:t xml:space="preserve"> Detailed </w:t>
      </w:r>
      <w:proofErr w:type="gramStart"/>
      <w:r>
        <w:t>application</w:t>
      </w:r>
      <w:proofErr w:type="gramEnd"/>
      <w:r>
        <w:t xml:space="preserve"> should be listed if raw data involves </w:t>
      </w:r>
      <w:proofErr w:type="gramStart"/>
      <w:r>
        <w:t>open source</w:t>
      </w:r>
      <w:proofErr w:type="gramEnd"/>
      <w:r>
        <w:t xml:space="preserve"> dataset, like TCIA. The detailed application should include but are not limited to inclusion/exclusion criteria and repertoires of applied cases. Institutional ethical reviewing and approval number are required if non-open data is used.</w:t>
      </w:r>
    </w:p>
    <w:p w14:paraId="7DD79AC2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5 The ratio of each label should be unextreme and acceptable.</w:t>
      </w:r>
      <w:r>
        <w:t xml:space="preserve"> We suggest that authors should apply appropriate datasets for model establishment. The “appropriate” term is defined as close proportions of labels. Extreme and imbalance datasets will ruin model performance. For example: 1) in </w:t>
      </w:r>
      <w:proofErr w:type="gramStart"/>
      <w:r>
        <w:t>a dichotomy research</w:t>
      </w:r>
      <w:proofErr w:type="gramEnd"/>
      <w:r>
        <w:t xml:space="preserve">, the ratio of type A and type B </w:t>
      </w:r>
      <w:r>
        <w:rPr>
          <w:rFonts w:hint="eastAsia"/>
        </w:rPr>
        <w:t>shou</w:t>
      </w:r>
      <w:r>
        <w:t xml:space="preserve">ld be close if special imbalance-related strategy doesn’t exist. If several subtypes are involved in type A, ratios of these subtypes should be close too. 2)in </w:t>
      </w:r>
      <w:proofErr w:type="gramStart"/>
      <w:r>
        <w:t>a multi</w:t>
      </w:r>
      <w:proofErr w:type="gramEnd"/>
      <w:r>
        <w:t>-label research, ratio of each label should be close. Definition of “close” is the ratio between any two types in datasets should be less than 200% and higher than 50%.</w:t>
      </w:r>
    </w:p>
    <w:p w14:paraId="7DD79AC3" w14:textId="77777777" w:rsidR="0065708E" w:rsidRDefault="00B65209">
      <w:pPr>
        <w:pStyle w:val="ItemDescription"/>
        <w:spacing w:after="156"/>
      </w:pPr>
      <w:r>
        <w:rPr>
          <w:i/>
        </w:rPr>
        <w:t>Item 6 The ratio of generated images should be closed, otherwise reasonable explanation is required.</w:t>
      </w:r>
      <w:r>
        <w:t xml:space="preserve"> We don’t suggest methods that balance datasets by adjustment of generating images in imbalance datasets. If type A </w:t>
      </w:r>
      <w:proofErr w:type="gramStart"/>
      <w:r>
        <w:t>have</w:t>
      </w:r>
      <w:proofErr w:type="gramEnd"/>
      <w:r>
        <w:t xml:space="preserve"> 40 cases and type B have 20 cases, ratios of their generated images should also be close to 40:20 when case sizes are similar. However, some </w:t>
      </w:r>
      <w:proofErr w:type="gramStart"/>
      <w:r>
        <w:t>existed</w:t>
      </w:r>
      <w:proofErr w:type="gramEnd"/>
      <w:r>
        <w:t xml:space="preserve"> reports adjust imbalance datasets in this method: they generate less images from type A and more images from type B, causing close quantity in images. This method is controversial for possible </w:t>
      </w:r>
      <w:proofErr w:type="gramStart"/>
      <w:r>
        <w:t>feature</w:t>
      </w:r>
      <w:proofErr w:type="gramEnd"/>
      <w:r>
        <w:t xml:space="preserve"> losing of type A, which isn’t encouraged. </w:t>
      </w:r>
    </w:p>
    <w:p w14:paraId="7DD79AC4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 xml:space="preserve">tem 7 Processing </w:t>
      </w:r>
      <w:proofErr w:type="gramStart"/>
      <w:r>
        <w:rPr>
          <w:i/>
        </w:rPr>
        <w:t>staffs</w:t>
      </w:r>
      <w:proofErr w:type="gramEnd"/>
      <w:r>
        <w:rPr>
          <w:i/>
        </w:rPr>
        <w:t xml:space="preserve"> are radiological professionals. </w:t>
      </w:r>
      <w:r>
        <w:t xml:space="preserve">Pre-processing is processed with radiological </w:t>
      </w:r>
      <w:proofErr w:type="gramStart"/>
      <w:r>
        <w:t>staffs</w:t>
      </w:r>
      <w:proofErr w:type="gramEnd"/>
      <w:r>
        <w:t xml:space="preserve">, which can be regarded as standard operations. Authors should describe these details and list </w:t>
      </w:r>
      <w:proofErr w:type="gramStart"/>
      <w:r>
        <w:t>staffs</w:t>
      </w:r>
      <w:proofErr w:type="gramEnd"/>
      <w:r>
        <w:t xml:space="preserve"> in corresponding authors.</w:t>
      </w:r>
    </w:p>
    <w:p w14:paraId="7DD79AC5" w14:textId="1EC57782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8 Pre-processing is processed by the gold standard guidance.</w:t>
      </w:r>
      <w:r>
        <w:t xml:space="preserve"> W</w:t>
      </w:r>
      <w:r>
        <w:rPr>
          <w:rFonts w:hint="eastAsia"/>
        </w:rPr>
        <w:t>e</w:t>
      </w:r>
      <w:r>
        <w:t xml:space="preserve"> suggest pre-processing is processed with existing gold standard results, which can partly promise interpretability and consistency of ground truth and training datasets. </w:t>
      </w:r>
      <w:proofErr w:type="gramStart"/>
      <w:r>
        <w:t>Considering for operational feasibility, it</w:t>
      </w:r>
      <w:proofErr w:type="gramEnd"/>
      <w:r>
        <w:t xml:space="preserve"> is </w:t>
      </w:r>
      <w:r>
        <w:rPr>
          <w:rFonts w:hint="eastAsia"/>
        </w:rPr>
        <w:t>comprehensible</w:t>
      </w:r>
      <w:r>
        <w:t xml:space="preserve"> that process with visible </w:t>
      </w:r>
      <w:r>
        <w:rPr>
          <w:rFonts w:hint="eastAsia"/>
        </w:rPr>
        <w:t>features</w:t>
      </w:r>
      <w:r>
        <w:t xml:space="preserve"> or </w:t>
      </w:r>
      <w:proofErr w:type="spellStart"/>
      <w:r>
        <w:t>macroanatomy</w:t>
      </w:r>
      <w:proofErr w:type="spellEnd"/>
      <w:r>
        <w:t xml:space="preserve"> but unsupported in the future, that is why we don’t score for this method.</w:t>
      </w:r>
    </w:p>
    <w:p w14:paraId="7DD79AC6" w14:textId="605422F2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9 Effective methods exist to promise accuracy of pre-processing.</w:t>
      </w:r>
      <w:r>
        <w:t xml:space="preserve"> Considering </w:t>
      </w:r>
      <w:proofErr w:type="gramStart"/>
      <w:r>
        <w:t>for</w:t>
      </w:r>
      <w:proofErr w:type="gramEnd"/>
      <w:r>
        <w:t xml:space="preserve"> potential effects of manual pre-processing, we require </w:t>
      </w:r>
      <w:r w:rsidR="00034381">
        <w:t>researchers</w:t>
      </w:r>
      <w:r>
        <w:t xml:space="preserve"> to apply necessary methods to reduce unanticipated impacts, like cross-validation in pre-processing.</w:t>
      </w:r>
    </w:p>
    <w:p w14:paraId="7DD79AC7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10 The ratio of each dataset is reasonable.</w:t>
      </w:r>
      <w:r>
        <w:t xml:space="preserve"> We require reasonable ratios of training/validation/testing datasets. It is unacceptable if testing datasets and validation datasets are </w:t>
      </w:r>
      <w:proofErr w:type="gramStart"/>
      <w:r>
        <w:t>small</w:t>
      </w:r>
      <w:proofErr w:type="gramEnd"/>
      <w:r>
        <w:t xml:space="preserve"> than 10% of all. Performance assessment will be incomplete and risky with too small testing datasets. If </w:t>
      </w:r>
      <w:proofErr w:type="gramStart"/>
      <w:r>
        <w:t>small</w:t>
      </w:r>
      <w:proofErr w:type="gramEnd"/>
      <w:r>
        <w:t xml:space="preserve"> testing </w:t>
      </w:r>
      <w:r>
        <w:lastRenderedPageBreak/>
        <w:t>dataset must use, necessary explanation is required.</w:t>
      </w:r>
    </w:p>
    <w:p w14:paraId="7DD79AC8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11 Cases are independent, which aren’t involved in different datasets.</w:t>
      </w:r>
      <w:r>
        <w:t xml:space="preserve"> We require authors do not </w:t>
      </w:r>
      <w:proofErr w:type="gramStart"/>
      <w:r>
        <w:t>establish</w:t>
      </w:r>
      <w:proofErr w:type="gramEnd"/>
      <w:r>
        <w:t xml:space="preserve"> datasets with selection of generated images. Instead, datasets should be established with </w:t>
      </w:r>
      <w:proofErr w:type="gramStart"/>
      <w:r>
        <w:t>selection</w:t>
      </w:r>
      <w:proofErr w:type="gramEnd"/>
      <w:r>
        <w:t xml:space="preserve"> of cases. If images from one case are involved in training and testing datasets, performance indexes will be </w:t>
      </w:r>
      <w:proofErr w:type="gramStart"/>
      <w:r>
        <w:t>inflating</w:t>
      </w:r>
      <w:proofErr w:type="gramEnd"/>
      <w:r>
        <w:t xml:space="preserve"> and robustness will be damaged.</w:t>
      </w:r>
    </w:p>
    <w:p w14:paraId="7DD79AC9" w14:textId="7B914205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 xml:space="preserve">tem 12 Datasets are established by random selection, without manual manipulating. </w:t>
      </w:r>
      <w:r>
        <w:t xml:space="preserve">We don’t suggest dispensable manual processing in DL-Radiomics, which will </w:t>
      </w:r>
      <w:proofErr w:type="gramStart"/>
      <w:r>
        <w:t xml:space="preserve">damage </w:t>
      </w:r>
      <w:r>
        <w:rPr>
          <w:rFonts w:hint="eastAsia"/>
        </w:rPr>
        <w:t>robustness</w:t>
      </w:r>
      <w:r>
        <w:t xml:space="preserve"> and reproducibility possibly</w:t>
      </w:r>
      <w:proofErr w:type="gramEnd"/>
      <w:r>
        <w:t xml:space="preserve">. Manual manipulating in dataset establishment is not encouraged, as a method that </w:t>
      </w:r>
      <w:proofErr w:type="gramStart"/>
      <w:r>
        <w:t>possible</w:t>
      </w:r>
      <w:proofErr w:type="gramEnd"/>
      <w:r>
        <w:t xml:space="preserve"> affect reproducibility.</w:t>
      </w:r>
    </w:p>
    <w:p w14:paraId="7DD79ACA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13 Examples of pre-processing are listed.</w:t>
      </w:r>
      <w:r>
        <w:t xml:space="preserve"> Pre-processing examples can be </w:t>
      </w:r>
      <w:proofErr w:type="gramStart"/>
      <w:r>
        <w:t>an evidence of high-quality data</w:t>
      </w:r>
      <w:proofErr w:type="gramEnd"/>
      <w:r>
        <w:t xml:space="preserve"> in reports. Also, imperfections or mistakes of these processes can be easily found in figures.</w:t>
      </w:r>
    </w:p>
    <w:p w14:paraId="7DD79ACB" w14:textId="0E9EB048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14 Methods of data augmentation are suited and correctly applied.</w:t>
      </w:r>
      <w:r>
        <w:t xml:space="preserve"> Data augmentation is widely used in </w:t>
      </w:r>
      <w:proofErr w:type="spellStart"/>
      <w:r>
        <w:t>DeepLearning</w:t>
      </w:r>
      <w:proofErr w:type="spellEnd"/>
      <w:r>
        <w:t xml:space="preserve">. However, not </w:t>
      </w:r>
      <w:proofErr w:type="gramStart"/>
      <w:r>
        <w:t>every</w:t>
      </w:r>
      <w:proofErr w:type="gramEnd"/>
      <w:r>
        <w:t xml:space="preserve"> methods are suited for Radiomics and Translational Medicine. We don’t suggest applying methods that possibly cause pixel information changing and fake feature generation, like Gaussian Noise. Also, </w:t>
      </w:r>
      <w:r>
        <w:rPr>
          <w:rFonts w:hint="eastAsia"/>
        </w:rPr>
        <w:t>overaggressive</w:t>
      </w:r>
      <w:r>
        <w:t xml:space="preserve"> strategy is not encouraged, as </w:t>
      </w:r>
      <w:proofErr w:type="gramStart"/>
      <w:r>
        <w:t>no</w:t>
      </w:r>
      <w:proofErr w:type="gramEnd"/>
      <w:r>
        <w:t xml:space="preserve"> meaningful improvement in performance.</w:t>
      </w:r>
    </w:p>
    <w:p w14:paraId="7DD79ACC" w14:textId="62C665E2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15 Methods to avoid overfitting are applied and described.</w:t>
      </w:r>
      <w:r>
        <w:t xml:space="preserve"> We encourage some new methods and strategy </w:t>
      </w:r>
      <w:proofErr w:type="gramStart"/>
      <w:r>
        <w:t>application</w:t>
      </w:r>
      <w:proofErr w:type="gramEnd"/>
      <w:r>
        <w:t xml:space="preserve"> to avoid </w:t>
      </w:r>
      <w:r>
        <w:rPr>
          <w:rFonts w:hint="eastAsia"/>
        </w:rPr>
        <w:t>over-fitting</w:t>
      </w:r>
      <w:r>
        <w:t xml:space="preserve">, like some methods of escaping saddle points. The </w:t>
      </w:r>
      <w:proofErr w:type="gramStart"/>
      <w:r>
        <w:t>reason</w:t>
      </w:r>
      <w:proofErr w:type="gramEnd"/>
      <w:r>
        <w:t xml:space="preserve"> of choosing </w:t>
      </w:r>
      <w:proofErr w:type="gramStart"/>
      <w:r>
        <w:t>these method</w:t>
      </w:r>
      <w:proofErr w:type="gramEnd"/>
      <w:r>
        <w:t xml:space="preserve"> are encouraged to explain in </w:t>
      </w:r>
      <w:r>
        <w:rPr>
          <w:rFonts w:hint="eastAsia"/>
        </w:rPr>
        <w:t>article</w:t>
      </w:r>
      <w:r>
        <w:t xml:space="preserve">. Appropriate end of training can be admitted as an effective method to avoid </w:t>
      </w:r>
      <w:r>
        <w:rPr>
          <w:rFonts w:hint="eastAsia"/>
        </w:rPr>
        <w:t>over-fitting</w:t>
      </w:r>
      <w:r>
        <w:t>.</w:t>
      </w:r>
    </w:p>
    <w:p w14:paraId="7DD79ACD" w14:textId="703F753A" w:rsidR="0065708E" w:rsidRDefault="00B65209">
      <w:pPr>
        <w:pStyle w:val="ItemDescription"/>
        <w:spacing w:after="156"/>
      </w:pPr>
      <w:r>
        <w:rPr>
          <w:i/>
        </w:rPr>
        <w:t>Item 16 Software environment should be listed, like serial numbers of version.</w:t>
      </w:r>
      <w:r>
        <w:t xml:space="preserve"> We require authors to provide detailed information about dependent software, which isn’t hard for </w:t>
      </w:r>
      <w:proofErr w:type="gramStart"/>
      <w:r>
        <w:t>a real research</w:t>
      </w:r>
      <w:proofErr w:type="gramEnd"/>
      <w:r>
        <w:t xml:space="preserve">. Not only Python and CUDA/cuDNN versions, details of </w:t>
      </w:r>
      <w:proofErr w:type="spellStart"/>
      <w:r>
        <w:t>Tensorflow</w:t>
      </w:r>
      <w:proofErr w:type="spellEnd"/>
      <w:r>
        <w:t xml:space="preserve">/PyTorch and package are required too. It is admitted </w:t>
      </w:r>
      <w:proofErr w:type="gramStart"/>
      <w:r>
        <w:t>if</w:t>
      </w:r>
      <w:proofErr w:type="gramEnd"/>
      <w:r>
        <w:t xml:space="preserve"> </w:t>
      </w:r>
      <w:proofErr w:type="gramStart"/>
      <w:r>
        <w:t>these information</w:t>
      </w:r>
      <w:proofErr w:type="gramEnd"/>
      <w:r>
        <w:t xml:space="preserve"> are listed in open-access code package and can be searched.</w:t>
      </w:r>
    </w:p>
    <w:p w14:paraId="7DD79ACE" w14:textId="4D812203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17 Hardware details should be listed.</w:t>
      </w:r>
      <w:r>
        <w:t xml:space="preserve"> </w:t>
      </w:r>
      <w:proofErr w:type="gramStart"/>
      <w:r>
        <w:rPr>
          <w:rFonts w:hint="eastAsia"/>
        </w:rPr>
        <w:t>Hard-wares</w:t>
      </w:r>
      <w:proofErr w:type="gramEnd"/>
      <w:r>
        <w:t xml:space="preserve"> are important in DL model deployment. </w:t>
      </w:r>
      <w:proofErr w:type="gramStart"/>
      <w:r>
        <w:t>These information</w:t>
      </w:r>
      <w:proofErr w:type="gramEnd"/>
      <w:r>
        <w:t xml:space="preserve"> can be used in authenticity and reproducibility assessment with other items and manufacturer information.</w:t>
      </w:r>
    </w:p>
    <w:p w14:paraId="7DD79ACF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18 Applied models are suited for tasks.</w:t>
      </w:r>
      <w:r>
        <w:t xml:space="preserve"> The “suited” term is defined as: 1) applied models are suited for research tasks. For example, </w:t>
      </w:r>
      <w:proofErr w:type="spellStart"/>
      <w:r>
        <w:t>ResNet</w:t>
      </w:r>
      <w:proofErr w:type="spellEnd"/>
      <w:r>
        <w:t xml:space="preserve"> is suited for two-label classification tasks. 2) Applied models are suited for data size. For example, ResNet-18 is suited for small datasets, and ResNet-101 is not suited. 3) Applied models can be deployed in hardware environment. For example, 3D U-Net usually can’t deploy in workstations with small graphic memory.</w:t>
      </w:r>
    </w:p>
    <w:p w14:paraId="7DD79AD0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 xml:space="preserve">tem 19 Training details are listed, like epoch and time spent. </w:t>
      </w:r>
      <w:r>
        <w:t>We encourage authors to provide training details, including epochs of training, spent time in each epoch and a total spent time in training. These details can be used in reproduction and authenticity assessments.</w:t>
      </w:r>
    </w:p>
    <w:p w14:paraId="7DD79AD1" w14:textId="78F2B14D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20 Hyperparameters are listed (at least including batch size and learning rate).</w:t>
      </w:r>
      <w:r>
        <w:t xml:space="preserve"> We require authors to provide detailed </w:t>
      </w:r>
      <w:r>
        <w:rPr>
          <w:rFonts w:hint="eastAsia"/>
        </w:rPr>
        <w:t>hyper-parameters</w:t>
      </w:r>
      <w:r>
        <w:t xml:space="preserve"> in articles, which are important in model training and </w:t>
      </w:r>
      <w:r>
        <w:rPr>
          <w:rFonts w:hint="eastAsia"/>
        </w:rPr>
        <w:t>non-technical</w:t>
      </w:r>
      <w:r>
        <w:t xml:space="preserve"> </w:t>
      </w:r>
      <w:proofErr w:type="gramStart"/>
      <w:r>
        <w:t>sensitive</w:t>
      </w:r>
      <w:proofErr w:type="gramEnd"/>
      <w:r>
        <w:t>. The baseline is that batch size and learning rate are provided in articles.</w:t>
      </w:r>
    </w:p>
    <w:p w14:paraId="7DD79AD2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21 The curves of accuracy-epoch and loss-epoch are provided.</w:t>
      </w:r>
      <w:r>
        <w:t xml:space="preserve"> These curves can be evaluation basis of </w:t>
      </w:r>
      <w:r>
        <w:lastRenderedPageBreak/>
        <w:t xml:space="preserve">model well-trained, </w:t>
      </w:r>
      <w:proofErr w:type="gramStart"/>
      <w:r>
        <w:t>and also</w:t>
      </w:r>
      <w:proofErr w:type="gramEnd"/>
      <w:r>
        <w:t xml:space="preserve"> play an important role in reproduction and authenticity assessment.</w:t>
      </w:r>
    </w:p>
    <w:p w14:paraId="7DD79AD3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22 The end of training is decided by the performance trends in validation datasets and is described.</w:t>
      </w:r>
      <w:r>
        <w:t xml:space="preserve"> As a “black box” process, model training situation can’t measure directly and is usually speculated by trends of performance variation in validation datasets or internal testing datasets. We suggest </w:t>
      </w:r>
      <w:proofErr w:type="gramStart"/>
      <w:r>
        <w:t>authors to</w:t>
      </w:r>
      <w:proofErr w:type="gramEnd"/>
      <w:r>
        <w:t xml:space="preserve"> decide training end with accuracy/loss-epoch curves.</w:t>
      </w:r>
    </w:p>
    <w:p w14:paraId="7DD79AD4" w14:textId="1188BEE7" w:rsidR="0065708E" w:rsidRDefault="00B65209">
      <w:pPr>
        <w:pStyle w:val="ItemDescription"/>
        <w:spacing w:after="156"/>
      </w:pPr>
      <w:r>
        <w:rPr>
          <w:i/>
        </w:rPr>
        <w:t>Item 23 Methods to promote robustness are applied.</w:t>
      </w:r>
      <w:r>
        <w:t xml:space="preserve"> </w:t>
      </w:r>
      <w:r>
        <w:rPr>
          <w:rFonts w:hint="eastAsia"/>
        </w:rPr>
        <w:t>Robustness</w:t>
      </w:r>
      <w:r>
        <w:t xml:space="preserve"> promotion methods are encouraged to apply in research. For example, cross-validation in annotation and 10-fold cross-validation in training can be regarded as effective methods in robustness promotion.</w:t>
      </w:r>
    </w:p>
    <w:p w14:paraId="7DD79AD5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24 The details of initial weights are described.</w:t>
      </w:r>
      <w:r>
        <w:t xml:space="preserve"> Initial weights are required to be declared in articles, which is meaningful for reproducibility. For transfer learning, we suggest </w:t>
      </w:r>
      <w:proofErr w:type="gramStart"/>
      <w:r>
        <w:t>authors to</w:t>
      </w:r>
      <w:proofErr w:type="gramEnd"/>
      <w:r>
        <w:t xml:space="preserve"> provide initial weights if pre-training is applied in </w:t>
      </w:r>
      <w:proofErr w:type="gramStart"/>
      <w:r>
        <w:t>open source</w:t>
      </w:r>
      <w:proofErr w:type="gramEnd"/>
      <w:r>
        <w:t xml:space="preserve"> data like Cifar-100 and ImageNet.</w:t>
      </w:r>
    </w:p>
    <w:p w14:paraId="7DD79AD6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25 Training workloads are listed.</w:t>
      </w:r>
      <w:r>
        <w:t xml:space="preserve"> We suggest </w:t>
      </w:r>
      <w:proofErr w:type="gramStart"/>
      <w:r>
        <w:t>authors to</w:t>
      </w:r>
      <w:proofErr w:type="gramEnd"/>
      <w:r>
        <w:t xml:space="preserve"> provide workloads of training, which can be used to assess reproducibility with other items. Also, for some reports targeted in edge deployment, training workloads is a key index for </w:t>
      </w:r>
      <w:proofErr w:type="spellStart"/>
      <w:r>
        <w:t>feasiblity</w:t>
      </w:r>
      <w:proofErr w:type="spellEnd"/>
      <w:r>
        <w:t xml:space="preserve"> evaluation.</w:t>
      </w:r>
    </w:p>
    <w:p w14:paraId="7DD79AD7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 xml:space="preserve">tem 26 Objective indexes are reasonable and complete. </w:t>
      </w:r>
      <w:r>
        <w:t xml:space="preserve">We require authors to provide suitable objective indexes about model performance. These indexes should be suitable for tasks. For example, F1 score is suitable in </w:t>
      </w:r>
      <w:proofErr w:type="spellStart"/>
      <w:r>
        <w:t>mutli</w:t>
      </w:r>
      <w:proofErr w:type="spellEnd"/>
      <w:r>
        <w:t xml:space="preserve">-label classification </w:t>
      </w:r>
      <w:proofErr w:type="gramStart"/>
      <w:r>
        <w:t>tasks, but</w:t>
      </w:r>
      <w:proofErr w:type="gramEnd"/>
      <w:r>
        <w:t xml:space="preserve"> is not suitable in dichotomy classification tasks.</w:t>
      </w:r>
    </w:p>
    <w:p w14:paraId="7DD79AD8" w14:textId="77777777" w:rsidR="0065708E" w:rsidRDefault="00B65209">
      <w:pPr>
        <w:pStyle w:val="ItemDescription"/>
        <w:spacing w:after="156"/>
      </w:pPr>
      <w:r>
        <w:rPr>
          <w:i/>
        </w:rPr>
        <w:t>Item 27 Comparison between testing performance and manual processing with the same test dataset is provided.</w:t>
      </w:r>
      <w:r>
        <w:t xml:space="preserve"> We encourage authors to provide comparisons between model testing performance and manual processing performance in testing </w:t>
      </w:r>
      <w:proofErr w:type="gramStart"/>
      <w:r>
        <w:t>dataset</w:t>
      </w:r>
      <w:proofErr w:type="gramEnd"/>
      <w:r>
        <w:t xml:space="preserve">. It can be used to prove the normalization of testing </w:t>
      </w:r>
      <w:proofErr w:type="gramStart"/>
      <w:r>
        <w:t>datasets,</w:t>
      </w:r>
      <w:proofErr w:type="gramEnd"/>
      <w:r>
        <w:t xml:space="preserve"> by checking the manual performance and existed reports. </w:t>
      </w:r>
    </w:p>
    <w:p w14:paraId="7DD79AD9" w14:textId="461054FF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28 Details of test datasets and speculation results are provided.</w:t>
      </w:r>
      <w:r>
        <w:t xml:space="preserve"> We </w:t>
      </w:r>
      <w:r>
        <w:rPr>
          <w:rFonts w:hint="eastAsia"/>
        </w:rPr>
        <w:t>suggest</w:t>
      </w:r>
      <w:r>
        <w:t xml:space="preserve"> </w:t>
      </w:r>
      <w:proofErr w:type="gramStart"/>
      <w:r>
        <w:t>authors to</w:t>
      </w:r>
      <w:proofErr w:type="gramEnd"/>
      <w:r>
        <w:t xml:space="preserve"> provide testing dataset details and result details in articles, involving the false cases and possible reasons of mistakes. </w:t>
      </w:r>
    </w:p>
    <w:p w14:paraId="7DD79ADA" w14:textId="537AD229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29 Code.</w:t>
      </w:r>
      <w:r>
        <w:t xml:space="preserve"> We require authors to provide </w:t>
      </w:r>
      <w:r>
        <w:rPr>
          <w:rFonts w:hint="eastAsia"/>
        </w:rPr>
        <w:t>accessibility</w:t>
      </w:r>
      <w:r>
        <w:t xml:space="preserve"> of codes. Codes should be </w:t>
      </w:r>
      <w:proofErr w:type="gramStart"/>
      <w:r>
        <w:t>acquirable</w:t>
      </w:r>
      <w:proofErr w:type="gramEnd"/>
      <w:r>
        <w:t xml:space="preserve"> by websites (like </w:t>
      </w:r>
      <w:proofErr w:type="spellStart"/>
      <w:r>
        <w:t>github</w:t>
      </w:r>
      <w:proofErr w:type="spellEnd"/>
      <w:r>
        <w:t xml:space="preserve">) or additional materials of reports. For some reports belonging to ongoing research, it is understandable but don’t score that codes only can be </w:t>
      </w:r>
      <w:r>
        <w:rPr>
          <w:rFonts w:hint="eastAsia"/>
        </w:rPr>
        <w:t>acquired</w:t>
      </w:r>
      <w:r>
        <w:t xml:space="preserve"> by connecting with corresponding authors. Considering possible restrictions in code opening, it is acceptable if the technological details are described in articles. The score of this item is connected to the </w:t>
      </w:r>
      <w:r>
        <w:rPr>
          <w:rFonts w:hint="eastAsia"/>
        </w:rPr>
        <w:t>accessibility</w:t>
      </w:r>
      <w:r>
        <w:t xml:space="preserve"> of codes. There are four </w:t>
      </w:r>
      <w:proofErr w:type="gramStart"/>
      <w:r>
        <w:t>situation</w:t>
      </w:r>
      <w:proofErr w:type="gramEnd"/>
      <w:r>
        <w:t xml:space="preserve"> of code accessibility: 1) Fully accessible. Codes are </w:t>
      </w:r>
      <w:proofErr w:type="gramStart"/>
      <w:r>
        <w:t>open-access</w:t>
      </w:r>
      <w:proofErr w:type="gramEnd"/>
      <w:r>
        <w:t xml:space="preserve"> in </w:t>
      </w:r>
      <w:proofErr w:type="spellStart"/>
      <w:r>
        <w:t>webistes</w:t>
      </w:r>
      <w:proofErr w:type="spellEnd"/>
      <w:r>
        <w:t xml:space="preserve"> or additional materials. 2) Partly accessible. Codes are not open. Authors describe detailed </w:t>
      </w:r>
      <w:proofErr w:type="spellStart"/>
      <w:r>
        <w:t>strucutres</w:t>
      </w:r>
      <w:proofErr w:type="spellEnd"/>
      <w:r>
        <w:t xml:space="preserve"> and modifications of models in articles. 3) Possible accessible. Codes are not open, and authors don’t describe detailed information about applied models. 4) Not accessible. Authors don’t </w:t>
      </w:r>
      <w:proofErr w:type="gramStart"/>
      <w:r>
        <w:t>mention about</w:t>
      </w:r>
      <w:proofErr w:type="gramEnd"/>
      <w:r>
        <w:t xml:space="preserve"> models and relative information in paper.</w:t>
      </w:r>
    </w:p>
    <w:p w14:paraId="7DD79ADB" w14:textId="4E9AEC5E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 xml:space="preserve">tem 30 Datasets. </w:t>
      </w:r>
      <w:r>
        <w:t xml:space="preserve">We require </w:t>
      </w:r>
      <w:proofErr w:type="gramStart"/>
      <w:r>
        <w:t>authors</w:t>
      </w:r>
      <w:proofErr w:type="gramEnd"/>
      <w:r>
        <w:t xml:space="preserve"> to provide some information and accessibility about datasets in reports. It should be fully </w:t>
      </w:r>
      <w:r>
        <w:rPr>
          <w:rFonts w:hint="eastAsia"/>
        </w:rPr>
        <w:t>accessible</w:t>
      </w:r>
      <w:r>
        <w:t xml:space="preserve"> if </w:t>
      </w:r>
      <w:proofErr w:type="gramStart"/>
      <w:r>
        <w:t>it is</w:t>
      </w:r>
      <w:proofErr w:type="gramEnd"/>
      <w:r>
        <w:t xml:space="preserve"> all </w:t>
      </w:r>
      <w:r>
        <w:rPr>
          <w:rFonts w:hint="eastAsia"/>
        </w:rPr>
        <w:t>originated</w:t>
      </w:r>
      <w:r>
        <w:t xml:space="preserve"> from </w:t>
      </w:r>
      <w:proofErr w:type="spellStart"/>
      <w:r>
        <w:t>a</w:t>
      </w:r>
      <w:proofErr w:type="spellEnd"/>
      <w:r>
        <w:t xml:space="preserve"> open </w:t>
      </w:r>
      <w:proofErr w:type="gramStart"/>
      <w:r>
        <w:t>source(</w:t>
      </w:r>
      <w:proofErr w:type="gramEnd"/>
      <w:r>
        <w:t xml:space="preserve">like TCIA). If the raw data includes some cases from closed sources, the variety of </w:t>
      </w:r>
      <w:r>
        <w:rPr>
          <w:rFonts w:hint="eastAsia"/>
        </w:rPr>
        <w:t>accessibility</w:t>
      </w:r>
      <w:r>
        <w:t xml:space="preserve"> is connected to the scores. There are four </w:t>
      </w:r>
      <w:proofErr w:type="gramStart"/>
      <w:r>
        <w:t>situation</w:t>
      </w:r>
      <w:proofErr w:type="gramEnd"/>
      <w:r>
        <w:t xml:space="preserve"> of dataset accessibility: </w:t>
      </w:r>
      <w:proofErr w:type="gramStart"/>
      <w:r>
        <w:t>1)Fully</w:t>
      </w:r>
      <w:proofErr w:type="gramEnd"/>
      <w:r>
        <w:t xml:space="preserve"> accessible. Raw data and after-processing data are open-access. 2) Partly accessible. Cases from open source are described, involving specific application lists and inclusion/exclusion criteria. Data from closed </w:t>
      </w:r>
      <w:proofErr w:type="gramStart"/>
      <w:r>
        <w:t>source</w:t>
      </w:r>
      <w:proofErr w:type="gramEnd"/>
      <w:r>
        <w:t xml:space="preserve"> are not open. Authors provide detailed description of closed data, involving general condition of cohorts, institutional </w:t>
      </w:r>
      <w:r>
        <w:lastRenderedPageBreak/>
        <w:t xml:space="preserve">ethical </w:t>
      </w:r>
      <w:proofErr w:type="gramStart"/>
      <w:r>
        <w:t>reviewing</w:t>
      </w:r>
      <w:proofErr w:type="gramEnd"/>
      <w:r>
        <w:t xml:space="preserve"> and approval number. Also, after-processing examples are required. 3)Possible accessible. </w:t>
      </w:r>
      <w:proofErr w:type="gramStart"/>
      <w:r>
        <w:t>Comparing</w:t>
      </w:r>
      <w:proofErr w:type="gramEnd"/>
      <w:r>
        <w:t xml:space="preserve"> with Partly accessible, this situation are lack of after-processing examples and detailed information of open-source application. 4) Not accessible. Authors don’t provide enough information to access datasets.</w:t>
      </w:r>
    </w:p>
    <w:p w14:paraId="7DD79ADC" w14:textId="77777777" w:rsidR="0065708E" w:rsidRDefault="00B65209">
      <w:pPr>
        <w:pStyle w:val="ItemDescription"/>
        <w:spacing w:after="156"/>
      </w:pPr>
      <w:r>
        <w:rPr>
          <w:rFonts w:hint="eastAsia"/>
          <w:i/>
        </w:rPr>
        <w:t>I</w:t>
      </w:r>
      <w:r>
        <w:rPr>
          <w:i/>
        </w:rPr>
        <w:t>tem 31 Weights.</w:t>
      </w:r>
      <w:r>
        <w:rPr>
          <w:rFonts w:hint="eastAsia"/>
        </w:rPr>
        <w:t xml:space="preserve"> </w:t>
      </w:r>
      <w:r>
        <w:t xml:space="preserve">The accessibility of weights is one of the most </w:t>
      </w:r>
      <w:proofErr w:type="gramStart"/>
      <w:r>
        <w:t>factor</w:t>
      </w:r>
      <w:proofErr w:type="gramEnd"/>
      <w:r>
        <w:t xml:space="preserve"> in reproduction. It is a main point in reproducibility assessments.</w:t>
      </w:r>
    </w:p>
    <w:sectPr w:rsidR="0065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A7B0E"/>
    <w:multiLevelType w:val="multilevel"/>
    <w:tmpl w:val="736A7B0E"/>
    <w:lvl w:ilvl="0">
      <w:numFmt w:val="bullet"/>
      <w:lvlText w:val="-"/>
      <w:lvlJc w:val="left"/>
      <w:pPr>
        <w:ind w:left="360" w:hanging="360"/>
      </w:pPr>
      <w:rPr>
        <w:rFonts w:ascii="Garamond" w:eastAsia="仿宋" w:hAnsi="Garamond" w:cs="Times New Roman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5539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TE2MTS2NDQ0MzNT0lEKTi0uzszPAykwrgUAOsxy5ywAAAA="/>
    <w:docVar w:name="commondata" w:val="eyJoZGlkIjoiY2QwODQxMzVjMWRlOGMwOTg0NTQxN2FkNTJjZjkyNzEifQ=="/>
  </w:docVars>
  <w:rsids>
    <w:rsidRoot w:val="00BA054F"/>
    <w:rsid w:val="000178A0"/>
    <w:rsid w:val="00024DB8"/>
    <w:rsid w:val="00034381"/>
    <w:rsid w:val="000B5C04"/>
    <w:rsid w:val="000C7017"/>
    <w:rsid w:val="000D429A"/>
    <w:rsid w:val="00103AC5"/>
    <w:rsid w:val="0010568E"/>
    <w:rsid w:val="001075F0"/>
    <w:rsid w:val="00173D84"/>
    <w:rsid w:val="00195683"/>
    <w:rsid w:val="0033505B"/>
    <w:rsid w:val="00347D9C"/>
    <w:rsid w:val="003713DD"/>
    <w:rsid w:val="0039265E"/>
    <w:rsid w:val="00481179"/>
    <w:rsid w:val="004D5AA5"/>
    <w:rsid w:val="004E229A"/>
    <w:rsid w:val="00572070"/>
    <w:rsid w:val="00577D20"/>
    <w:rsid w:val="00581FFA"/>
    <w:rsid w:val="006040A9"/>
    <w:rsid w:val="00655B41"/>
    <w:rsid w:val="0065708E"/>
    <w:rsid w:val="00664ABF"/>
    <w:rsid w:val="006F50C2"/>
    <w:rsid w:val="008720F2"/>
    <w:rsid w:val="008F24A5"/>
    <w:rsid w:val="00940F30"/>
    <w:rsid w:val="009D6F9A"/>
    <w:rsid w:val="009E2292"/>
    <w:rsid w:val="009F4CEF"/>
    <w:rsid w:val="00A8275D"/>
    <w:rsid w:val="00AB359F"/>
    <w:rsid w:val="00B04EA5"/>
    <w:rsid w:val="00B65209"/>
    <w:rsid w:val="00B9628E"/>
    <w:rsid w:val="00BA054F"/>
    <w:rsid w:val="00C05235"/>
    <w:rsid w:val="00C3296D"/>
    <w:rsid w:val="00C774FE"/>
    <w:rsid w:val="00C8442D"/>
    <w:rsid w:val="00D85EAB"/>
    <w:rsid w:val="00DC1924"/>
    <w:rsid w:val="00DC2970"/>
    <w:rsid w:val="00EC052F"/>
    <w:rsid w:val="00F6610E"/>
    <w:rsid w:val="00F97D78"/>
    <w:rsid w:val="352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9A2F"/>
  <w15:docId w15:val="{E196640D-4E3F-4472-84A5-F2C9D70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Garamond" w:hAnsi="Garamond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eastAsia="仿宋" w:cstheme="majorBidi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table" w:customStyle="1" w:styleId="IESSRThree-LineTable">
    <w:name w:val="IESSR Three-Line Table"/>
    <w:basedOn w:val="TableNormal"/>
    <w:qFormat/>
    <w:rPr>
      <w:rFonts w:ascii="Times New Roman" w:eastAsia="宋体" w:hAnsi="Times New Roman" w:cs="Times New Roman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tcBorders>
          <w:bottom w:val="single" w:sz="8" w:space="0" w:color="auto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BE5E1"/>
      </w:tcPr>
    </w:tblStylePr>
  </w:style>
  <w:style w:type="paragraph" w:customStyle="1" w:styleId="TableCaption">
    <w:name w:val="Table Caption"/>
    <w:basedOn w:val="Caption"/>
    <w:link w:val="TableCaptionChar"/>
    <w:qFormat/>
    <w:pPr>
      <w:keepNext/>
      <w:keepLines/>
      <w:pageBreakBefore/>
    </w:pPr>
    <w:rPr>
      <w:rFonts w:ascii="Garamond" w:eastAsia="仿宋" w:hAnsi="Garamond" w:cs="Times New Roman"/>
      <w:sz w:val="21"/>
    </w:rPr>
  </w:style>
  <w:style w:type="character" w:customStyle="1" w:styleId="TableCaptionChar">
    <w:name w:val="Table Caption Char"/>
    <w:basedOn w:val="DefaultParagraphFont"/>
    <w:link w:val="TableCaption"/>
    <w:qFormat/>
    <w:rPr>
      <w:rFonts w:ascii="Garamond" w:eastAsia="仿宋" w:hAnsi="Garamond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Garamond" w:hAnsi="Garamond"/>
      <w:b/>
      <w:bCs/>
      <w:kern w:val="44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Garamond" w:eastAsia="仿宋" w:hAnsi="Garamond" w:cstheme="majorBidi"/>
      <w:b/>
      <w:bCs/>
      <w:sz w:val="32"/>
      <w:szCs w:val="32"/>
    </w:rPr>
  </w:style>
  <w:style w:type="paragraph" w:customStyle="1" w:styleId="Revision1">
    <w:name w:val="Revision1"/>
    <w:hidden/>
    <w:uiPriority w:val="99"/>
    <w:semiHidden/>
    <w:qFormat/>
    <w:rPr>
      <w:rFonts w:ascii="Garamond" w:hAnsi="Garamond"/>
      <w:kern w:val="2"/>
      <w:sz w:val="21"/>
      <w:szCs w:val="22"/>
    </w:rPr>
  </w:style>
  <w:style w:type="paragraph" w:customStyle="1" w:styleId="ItemDescription">
    <w:name w:val="Item Description"/>
    <w:basedOn w:val="Normal"/>
    <w:link w:val="ItemDescriptionChar"/>
    <w:qFormat/>
    <w:pPr>
      <w:spacing w:afterLines="50" w:after="50"/>
    </w:pPr>
    <w:rPr>
      <w:rFonts w:eastAsia="仿宋"/>
      <w:iCs/>
    </w:rPr>
  </w:style>
  <w:style w:type="character" w:customStyle="1" w:styleId="ItemDescriptionChar">
    <w:name w:val="Item Description Char"/>
    <w:basedOn w:val="DefaultParagraphFont"/>
    <w:link w:val="ItemDescription"/>
    <w:qFormat/>
    <w:rPr>
      <w:rFonts w:ascii="Garamond" w:eastAsia="仿宋" w:hAnsi="Garamond"/>
      <w:i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Revision">
    <w:name w:val="Revision"/>
    <w:hidden/>
    <w:uiPriority w:val="99"/>
    <w:semiHidden/>
    <w:rsid w:val="00664ABF"/>
    <w:rPr>
      <w:rFonts w:ascii="Garamond" w:hAnsi="Garamond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2335</Words>
  <Characters>13315</Characters>
  <Application>Microsoft Office Word</Application>
  <DocSecurity>0</DocSecurity>
  <Lines>110</Lines>
  <Paragraphs>31</Paragraphs>
  <ScaleCrop>false</ScaleCrop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凌锋 何</dc:creator>
  <cp:lastModifiedBy>凌锋 何</cp:lastModifiedBy>
  <cp:revision>16</cp:revision>
  <dcterms:created xsi:type="dcterms:W3CDTF">2023-04-06T20:43:00Z</dcterms:created>
  <dcterms:modified xsi:type="dcterms:W3CDTF">2023-04-19T16:53:00Z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189332EA6451403E9A33D2FAAD59B3C4_13</vt:lpwstr>
  </property>
</Properties>
</file>