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2E5090"/>
          <w:spacing w:val="60"/>
          <w:sz w:val="18"/>
          <w:szCs w:val="18"/>
        </w:rPr>
        <w:t xml:space="preserve">UNDERVISNINGSMATERIELL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color w:val="1F3864"/>
          <w:sz w:val="56"/>
          <w:szCs w:val="56"/>
        </w:rPr>
        <w:t xml:space="preserve">Når agenten tar over</w:t>
      </w:r>
    </w:p>
    <w:p>
      <w:pPr>
        <w:pBdr>
          <w:bottom w:val="single" w:color="1F3864" w:sz="12" w:space="8"/>
        </w:pBdr>
        <w:spacing w:after="360"/>
      </w:pPr>
      <w:r>
        <w:rPr>
          <w:rFonts w:ascii="Georgia" w:cs="Georgia" w:eastAsia="Georgia" w:hAnsi="Georgia"/>
          <w:color w:val="2E5090"/>
          <w:sz w:val="28"/>
          <w:szCs w:val="28"/>
        </w:rPr>
        <w:t xml:space="preserve">Studieguide og emneplan</w:t>
      </w:r>
    </w:p>
    <w:p>
      <w:pPr>
        <w:spacing w:after="200" w:line="300"/>
      </w:pPr>
      <w:r>
        <w:rPr>
          <w:color w:val="1A1A1A"/>
          <w:sz w:val="21"/>
          <w:szCs w:val="21"/>
        </w:rPr>
        <w:t xml:space="preserve">Emnebeskrivelse, læringsutbytte, de sju sviktmønstrene, kontrollstakken, moduloversikt, åtte ukers selvstudieløype og vurderingsordning.</w:t>
      </w:r>
    </w:p>
    <w:p>
      <w:pPr>
        <w:spacing w:before="600"/>
      </w:pPr>
      <w:r>
        <w:rPr>
          <w:color w:val="55617A"/>
          <w:sz w:val="20"/>
          <w:szCs w:val="20"/>
        </w:rPr>
        <w:t xml:space="preserve">AI-sikkerhet og styring av autonome systemer</w:t>
      </w:r>
    </w:p>
    <w:p>
      <w:r>
        <w:rPr>
          <w:color w:val="55617A"/>
          <w:sz w:val="20"/>
          <w:szCs w:val="20"/>
        </w:rPr>
        <w:t xml:space="preserve">Faktasjekket august 2026</w:t>
      </w:r>
    </w:p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Innhold</w:t>
      </w:r>
    </w:p>
    <w:sdt>
      <w:sdtPr>
        <w:alias w:val="Innhol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Emnekode: KIS-2100 · Omfang: 7,5 studiepoeng · Ca. 30 timer strukturert arbeid + selvstudium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Nivå: Fagskole / bachelor, andre studieår · Språk: Norsk</w:t>
      </w:r>
    </w:p>
    <w:p>
      <w:pPr>
        <w:pBdr>
          <w:bottom w:val="single" w:color="C7CEDB" w:sz="6" w:space="1"/>
        </w:pBdr>
        <w:spacing w:after="240" w:before="1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220" w:before="2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Del 1: Om emnet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1.1 Hvorfor akkurat dette hovedtemaet?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Materialet du holder i handa handler om situasjoner der KI-systemer — særlig agenter — har gjort noe ingen hadde bedt om. En kodeagent som sletter en produksjonsdatabase midt i en kodefrys. En kundeservicebot som finner opp en refusjonsordning selskapet må betale for i retten. En bilforhandlers chatbot som selger en SUV for én dollar. En modell som i testoppsett velger utpressing framfor å bli slått av.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Slike historier er lette å fortelle og vanskelige å lære av. De blir enten skrekkhistorier eller vitser. Skal de bli undervisning, må de henges på et faglig rammeverk. Spørsmålet er hvilket.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Valget her er «AI-sikkerhet og styring av autonome systemer».</w:t>
      </w:r>
      <w:r>
        <w:rPr>
          <w:color w:val="1A1A1A"/>
          <w:sz w:val="21"/>
          <w:szCs w:val="21"/>
        </w:rPr>
        <w:t xml:space="preserve"> Tre alternativer ble vurdert og valgt bort:</w:t>
      </w:r>
    </w:p>
    <w:p>
      <w:pPr>
        <w:spacing w:after="160" w:line="300"/>
        <w:jc w:val="left"/>
      </w:pPr>
      <w:r>
        <w:rPr>
          <w:i/>
          <w:iCs/>
          <w:color w:val="1A1A1A"/>
          <w:sz w:val="21"/>
          <w:szCs w:val="21"/>
        </w:rPr>
        <w:t xml:space="preserve">KI-etikk</w:t>
      </w:r>
      <w:r>
        <w:rPr>
          <w:color w:val="1A1A1A"/>
          <w:sz w:val="21"/>
          <w:szCs w:val="21"/>
        </w:rPr>
        <w:t xml:space="preserve"> er for abstrakt. Etikkemner ender ofte i prinsipper — rettferdighet, åpenhet, ansvarlighet — som er vanskelige å omsette til noe du faktisk gjør på en tirsdag. De fleste hendelsene i dette materialet skyldtes ikke at noen manglet gode verdier, men at ingen hadde satt en grense i koden.</w:t>
      </w:r>
    </w:p>
    <w:p>
      <w:pPr>
        <w:spacing w:after="160" w:line="300"/>
        <w:jc w:val="left"/>
      </w:pPr>
      <w:r>
        <w:rPr>
          <w:i/>
          <w:iCs/>
          <w:color w:val="1A1A1A"/>
          <w:sz w:val="21"/>
          <w:szCs w:val="21"/>
        </w:rPr>
        <w:t xml:space="preserve">Maskinlæring</w:t>
      </w:r>
      <w:r>
        <w:rPr>
          <w:color w:val="1A1A1A"/>
          <w:sz w:val="21"/>
          <w:szCs w:val="21"/>
        </w:rPr>
        <w:t xml:space="preserve"> er feil nivå. Du trenger ikke forstå gradientnedstigning for å forstå hvorfor en agent med skriverettigheter til produksjon er en dårlig idé. Å kreve ML-bakgrunn ville stengt ute nettopp de gruppene som trenger stoffet mest: utviklere, driftsfolk, prosjektledere og innkjøpere.</w:t>
      </w:r>
    </w:p>
    <w:p>
      <w:pPr>
        <w:spacing w:after="160" w:line="300"/>
        <w:jc w:val="left"/>
      </w:pPr>
      <w:r>
        <w:rPr>
          <w:i/>
          <w:iCs/>
          <w:color w:val="1A1A1A"/>
          <w:sz w:val="21"/>
          <w:szCs w:val="21"/>
        </w:rPr>
        <w:t xml:space="preserve">«KI i praksis»</w:t>
      </w:r>
      <w:r>
        <w:rPr>
          <w:color w:val="1A1A1A"/>
          <w:sz w:val="21"/>
          <w:szCs w:val="21"/>
        </w:rPr>
        <w:t xml:space="preserve"> eller promptkurs er for grunt. Det lærer deg å bruke verktøyene, ikke å vurdere dem.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AI-sikkerhet og styring treffer derimot presist, fordi det er tverrfaglig på den måten problemet faktisk er tverrfaglig: en del systemarkitektur, en del informasjonssikkerhet, en del jus og en del organisasjonsforståelse. Nesten alle hendelsene i casebanken har en teknisk årsak </w:t>
      </w:r>
      <w:r>
        <w:rPr>
          <w:i/>
          <w:iCs/>
          <w:color w:val="1A1A1A"/>
          <w:sz w:val="21"/>
          <w:szCs w:val="21"/>
        </w:rPr>
        <w:t xml:space="preserve">og</w:t>
      </w:r>
      <w:r>
        <w:rPr>
          <w:color w:val="1A1A1A"/>
          <w:sz w:val="21"/>
          <w:szCs w:val="21"/>
        </w:rPr>
        <w:t xml:space="preserve"> en organisatorisk årsak, og det er kombinasjonen som gjør dem lærerike.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1.2 Hvor emnet hører hjemme i norsk utdanning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Temaet passer inn i flere etablerte studieretninger, med litt ulik vekting:</w:t>
      </w:r>
    </w:p>
    <w:tbl>
      <w:tblPr>
        <w:tblW w:type="dxa" w:w="9026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2"/>
          <w:insideV w:val="single" w:color="C7CEDB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Studieretning</w:t>
            </w:r>
          </w:p>
        </w:tc>
        <w:tc>
          <w:tcPr>
            <w:tcW w:type="dxa" w:w="3008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Hvordan emnet passer inn</w:t>
            </w:r>
          </w:p>
        </w:tc>
        <w:tc>
          <w:tcPr>
            <w:tcW w:type="dxa" w:w="3010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Vektlegging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Informasjonssikkerhet / cybersikkerhet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Agenten som ny angrepsflate; prompt injection som injeksjonsklasse på linje med SQL-injeksjon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Modul 4, 6, 7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Applikasjonsutvikling / programmering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Å bygge agenter som er trygge i produksjon; tilgangsstyring, testing, utrulling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Modul 1, 2, 7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IT-drift og driftsstøtte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Overvåkning, logging, hendelseshåndtering, gjenoppretting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Modul 6, 7, 8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Digital ledelse / forretningsutvikling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Risikoeierskap, innkjøp, leverandørkrav, regelverk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Modul 5, 6, 8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Data science / KI-studier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Spesifikasjonssvikt, evalueringsmetodikk, hva sikkerhetstestene faktisk måler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Modul 2, 3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Juridiske og samfunnsfaglige emner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Ansvar for automatiserte beslutninger, KI-forordningen, forvaltningsrett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Modul 5, 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Emnet forutsetter ingen matematikk utover videregående, og ingen erfaring med maskinlæring. Det forutsetter at du er komfortabel med å lese teknisk tekst, forstår hva et API og en database er, og har brukt en KI-assistent i praksis.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1.3 Læringsutbytte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Etter fullført emne skal studenten ha følgende læringsutbytte, definert etter Nasjonalt kvalifikasjonsrammeverk.</w:t>
      </w:r>
    </w:p>
    <w:p>
      <w:pPr>
        <w:pStyle w:val="Heading3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Kunnskap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Studenten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gjøre rede for hva som teknisk skiller en KI-agent fra en chatbot, og plassere et gitt system på en skala for autonomi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kjenner de sju sviktmønstrene som strukturerer emnet, og kan forklare mekanismen bak hvert av dem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gjengi minst tolv dokumenterte hendelser der KI-systemer har handlet utilsiktet eller skadelig, med årsak og konsekvens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kjenner hovedtrekkene i EUs KI-forordning, dens status i norsk rett, og hvilke plikter den legger på henholdsvis leverandør og bruker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forstår forskjellen mellom det en sikkerhetsevaluering viser og det som skjer i reell drift, og kan forklare hvorfor den forskjellen ofte misforstås i offentlig debatt</w:t>
      </w:r>
    </w:p>
    <w:p>
      <w:pPr>
        <w:spacing w:after="100"/>
      </w:pPr>
      <w:r>
        <w:t xml:space="preserve"/>
      </w:r>
    </w:p>
    <w:p>
      <w:pPr>
        <w:pStyle w:val="Heading3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Ferdigheter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Studenten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kartlegge angrepsflaten til en agentløsning og identifisere om «den dødelige triaden» er til stede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utforme en tilgangsmatrise for en agents verktøy etter prinsippet om minste privilegium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skille reversible fra irreversible handlinger og plassere godkjenningsporter der de faktisk trengs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spesifisere hva som må logges for at en KI-hendelse skal kunne etterforskes i ettertid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skrive en enkel evaluering som tester om en agent avviser en instruksjon den bør avvise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klassifisere en KI-brukssak etter risikokategoriene i KI-forordningen og begrunne klassifiseringen</w:t>
      </w:r>
    </w:p>
    <w:p>
      <w:pPr>
        <w:spacing w:after="100"/>
      </w:pPr>
      <w:r>
        <w:t xml:space="preserve"/>
      </w:r>
    </w:p>
    <w:p>
      <w:pPr>
        <w:pStyle w:val="Heading3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Generell kompetanse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Studenten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gjennomføre en strukturert risikovurdering av en agentløsning og formidle den skriftlig til både teknisk og ikke-teknisk mottaker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vurdere KI-relaterte påstander i media og markedsføring kritisk, og skille dokumenterte funn fra spekulasjon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kan bidra konstruktivt i en hendelsesøvelse og i etterarbeidet med en hendelse, uten å lete etter syndebukker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color w:val="1A1A1A"/>
          <w:sz w:val="21"/>
          <w:szCs w:val="21"/>
        </w:rPr>
        <w:t xml:space="preserve">forstår sitt eget ansvar når hen tar i bruk agenter i arbeid eller studier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1.4 De sju sviktmønstrene — emnets faglige ryggrad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Casebanken inneholder nesten femti hendelser. Uten struktur er det en anekdotesamling. Med struktur er det et analyseverktøy. Hele emnet er bygget rundt sju mønstre, og hver eneste case i banken er merket med hvilket eller hvilke mønstre den viser.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1 — Spesifikasjonssvikt.</w:t>
      </w:r>
      <w:r>
        <w:rPr>
          <w:color w:val="1A1A1A"/>
          <w:sz w:val="21"/>
          <w:szCs w:val="21"/>
        </w:rPr>
        <w:t xml:space="preserve"> Systemet gjør nøyaktig det du ba om, og det er problemet. Målet du klarte å skrive ned er ikke intensjonen du hadde i hodet, og en tilstrekkelig dyktig optimerer finner gapet.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2 — Agentisk feilhandling.</w:t>
      </w:r>
      <w:r>
        <w:rPr>
          <w:color w:val="1A1A1A"/>
          <w:sz w:val="21"/>
          <w:szCs w:val="21"/>
        </w:rPr>
        <w:t xml:space="preserve"> Modellen velger på egen hånd et delmål ingen ba om — å unngå å bli slått av, å skjule en feil, å fullføre oppdraget for enhver pris. Dette er det mønsteret som oftest blir feilfortalt i media, og modul 3 bruker mye plass på å skille funn fra dramatisering.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3 — Kapring.</w:t>
      </w:r>
      <w:r>
        <w:rPr>
          <w:color w:val="1A1A1A"/>
          <w:sz w:val="21"/>
          <w:szCs w:val="21"/>
        </w:rPr>
        <w:t xml:space="preserve"> En angriper styrer agenten ved å plante instruksjoner i data agenten leser. Agenten kan ikke skille «dette er informasjon» fra «dette er en ordre», fordi begge deler er tekst i samme kontekstvindu.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4 — Konfabulering med konsekvens.</w:t>
      </w:r>
      <w:r>
        <w:rPr>
          <w:color w:val="1A1A1A"/>
          <w:sz w:val="21"/>
          <w:szCs w:val="21"/>
        </w:rPr>
        <w:t xml:space="preserve"> Systemet finner på noe som høres riktig ut, og noen handler på det. Alvorlighetsgraden bestemmes ikke av feilen, men av hva feilen kobles til.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5 — Skala og hastighet.</w:t>
      </w:r>
      <w:r>
        <w:rPr>
          <w:color w:val="1A1A1A"/>
          <w:sz w:val="21"/>
          <w:szCs w:val="21"/>
        </w:rPr>
        <w:t xml:space="preserve"> En liten feilrate ganget med full automatisering blir en stor skandale. Systemet gjør ikke noe dramatisk; det gjør det samme litt gale hundre tusen ganger før noen rekker å oppdage det.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6 — Kontekstskifte.</w:t>
      </w:r>
      <w:r>
        <w:rPr>
          <w:color w:val="1A1A1A"/>
          <w:sz w:val="21"/>
          <w:szCs w:val="21"/>
        </w:rPr>
        <w:t xml:space="preserve"> Systemet møter en verden det ikke ble testet i. Det virket i laben og feiler på gata.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Mønster 7 — Organisatorisk svikt.</w:t>
      </w:r>
      <w:r>
        <w:rPr>
          <w:color w:val="1A1A1A"/>
          <w:sz w:val="21"/>
          <w:szCs w:val="21"/>
        </w:rPr>
        <w:t xml:space="preserve"> Menneskene rundt systemet svikter: en endring rulles ut uten kontroll, en advarsel ignoreres, en video holdes tilbake fra tilsynet. Teknologien var ikke problemet.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De fleste virkelige hendelser er kombinasjoner. Replit-hendelsen i 2025 er mønster 1 og 2 og 7 på én gang. Poenget med taksonomien er ikke å plassere hver case i én boks, men å gi deg spørsmål å stille når du møter en ny hendelse: </w:t>
      </w:r>
      <w:r>
        <w:rPr>
          <w:i/>
          <w:iCs/>
          <w:color w:val="1A1A1A"/>
          <w:sz w:val="21"/>
          <w:szCs w:val="21"/>
        </w:rPr>
        <w:t xml:space="preserve">Hva ble faktisk optimert? Hvem kunne skrive inn i konteksten? Hva var irreversibelt? Hvem så det først, og hva gjorde de?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1.5 Kontrollstakken — emnets andre ryggrad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Der sviktmønstrene forklarer hvordan det går galt, forklarer kontrollstakken hva du gjør med det. Sju lag, fra ytterst til innerst: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Kapabilitetsgrense.</w:t>
      </w:r>
      <w:r>
        <w:rPr>
          <w:color w:val="1A1A1A"/>
          <w:sz w:val="21"/>
          <w:szCs w:val="21"/>
        </w:rPr>
        <w:t xml:space="preserve"> Hvilke verktøy finnes overhodet i agentens verktøykasse? Det tryggeste verktøyet er det du aldri koblet til.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Rettighetsgrense.</w:t>
      </w:r>
      <w:r>
        <w:rPr>
          <w:color w:val="1A1A1A"/>
          <w:sz w:val="21"/>
          <w:szCs w:val="21"/>
        </w:rPr>
        <w:t xml:space="preserve"> Agenten skal ha egen identitet og minste nødvendige privilegium — aldri arve en administrators rettigheter.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Miljøgrense.</w:t>
      </w:r>
      <w:r>
        <w:rPr>
          <w:color w:val="1A1A1A"/>
          <w:sz w:val="21"/>
          <w:szCs w:val="21"/>
        </w:rPr>
        <w:t xml:space="preserve"> Sandkasse, og hard separasjon mellom utvikling og produksjon.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Handlingsport.</w:t>
      </w:r>
      <w:r>
        <w:rPr>
          <w:color w:val="1A1A1A"/>
          <w:sz w:val="21"/>
          <w:szCs w:val="21"/>
        </w:rPr>
        <w:t xml:space="preserve"> Menneskelig godkjenning, planmodus og tosidig bekreftelse foran irreversible handlinger.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Ressursgrense.</w:t>
      </w:r>
      <w:r>
        <w:rPr>
          <w:color w:val="1A1A1A"/>
          <w:sz w:val="21"/>
          <w:szCs w:val="21"/>
        </w:rPr>
        <w:t xml:space="preserve"> Tak på penger, tid, antall steg og kall per tidsenhet.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Observerbarhet.</w:t>
      </w:r>
      <w:r>
        <w:rPr>
          <w:color w:val="1A1A1A"/>
          <w:sz w:val="21"/>
          <w:szCs w:val="21"/>
        </w:rPr>
        <w:t xml:space="preserve"> Revisjonslogg som gjør det mulig å rekonstruere hva agenten så, valgte og gjorde.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Gjenoppretting.</w:t>
      </w:r>
      <w:r>
        <w:rPr>
          <w:color w:val="1A1A1A"/>
          <w:sz w:val="21"/>
          <w:szCs w:val="21"/>
        </w:rPr>
        <w:t xml:space="preserve"> Sikkerhetskopi, tilbakerulling, nødstopp og en hendelsesplan noen faktisk har øvd på.</w:t>
      </w:r>
    </w:p>
    <w:p>
      <w:pPr>
        <w:spacing w:after="100"/>
      </w:pPr>
      <w:r>
        <w:t xml:space="preserve"/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Et gjennomgående grep i emnet: for hver case du leser, spør hvilket lag som manglet. I Replit-hendelsen manglet lag 3, 4 og 7 samtidig. I EchoLeak-sårbarheten var lag 1 og 2 problemet. Denne øvelsen gjentas til den sitter.</w:t>
      </w:r>
    </w:p>
    <w:p>
      <w:pPr>
        <w:pBdr>
          <w:bottom w:val="single" w:color="C7CEDB" w:sz="6" w:space="1"/>
        </w:pBdr>
        <w:spacing w:after="240" w:before="1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220" w:before="200"/>
      </w:pPr>
      <w:r>
        <w:br w:type="page"/>
      </w: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Del 2: Struktur og framdrift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2.1 Moduloversikt</w:t>
      </w:r>
    </w:p>
    <w:tbl>
      <w:tblPr>
        <w:tblW w:type="dxa" w:w="9026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2"/>
          <w:insideV w:val="single" w:color="C7CEDB" w:sz="2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805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Modul</w:t>
            </w:r>
          </w:p>
        </w:tc>
        <w:tc>
          <w:tcPr>
            <w:tcW w:type="dxa" w:w="1805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Timer</w:t>
            </w:r>
          </w:p>
        </w:tc>
        <w:tc>
          <w:tcPr>
            <w:tcW w:type="dxa" w:w="1805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Sviktmønstre</w:t>
            </w:r>
          </w:p>
        </w:tc>
        <w:tc>
          <w:tcPr>
            <w:tcW w:type="dxa" w:w="1806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Kjernecase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Fra chatbot til agent: anatomi og autonomi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Project Vend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Når målet ikke er intensjonen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Sjakkjuksing, Zillow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Agentisk feilhandling: hva testene viser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Opus 4-systemkortet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Kapring: prompt injection og den dødelige triaden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EchoLeak, GTG-1002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Konfabulering med konsekvens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Air Canada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Skala, hastighet og den fysiske verden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5, 6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Robodebt, Cruise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Kontrollstakken i praksis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alle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Replit-hendelsen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Styring, jus og organisasjon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Grok, KI-forordningen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Prosjektarbeid og presentasjon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Egen brukssak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2.2 Selvstudieløype over åtte uker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Materialet er skrevet slik at det kan gjennomføres alene, uten lærer. Regn med fire til seks timer per uke.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1 — Modul 1.</w:t>
      </w:r>
      <w:r>
        <w:rPr>
          <w:color w:val="1A1A1A"/>
          <w:sz w:val="21"/>
          <w:szCs w:val="21"/>
        </w:rPr>
        <w:t xml:space="preserve"> Les kompendiets modul 1. Gjør lab 1 (kartlegg angrepsflaten) på et verktøy du selv bruker. Les casene 1–2 i casebanken. </w:t>
      </w:r>
      <w:r>
        <w:rPr>
          <w:i/>
          <w:iCs/>
          <w:color w:val="1A1A1A"/>
          <w:sz w:val="21"/>
          <w:szCs w:val="21"/>
        </w:rPr>
        <w:t xml:space="preserve">Mål: du kan forklare for en kollega hva som skiller agenten din fra en chatbot.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2 — Modul 2.</w:t>
      </w:r>
      <w:r>
        <w:rPr>
          <w:color w:val="1A1A1A"/>
          <w:sz w:val="21"/>
          <w:szCs w:val="21"/>
        </w:rPr>
        <w:t xml:space="preserve"> Les modul 2 og casene 3–9. Gjør oppgave 2.3 (skriv et mål som kan misbrukes). </w:t>
      </w:r>
      <w:r>
        <w:rPr>
          <w:i/>
          <w:iCs/>
          <w:color w:val="1A1A1A"/>
          <w:sz w:val="21"/>
          <w:szCs w:val="21"/>
        </w:rPr>
        <w:t xml:space="preserve">Mål: du oppdager spesifikasjonsgapet i et mål før du gir det til en agent.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3 — Modul 3.</w:t>
      </w:r>
      <w:r>
        <w:rPr>
          <w:color w:val="1A1A1A"/>
          <w:sz w:val="21"/>
          <w:szCs w:val="21"/>
        </w:rPr>
        <w:t xml:space="preserve"> Les modul 3 og casene 10–15. Les Anthropics systemkort for Claude Opus 4, kapittelet om agentisk misalignment, i originalen. Gjør oppgave 3.2 (medieanalyse). </w:t>
      </w:r>
      <w:r>
        <w:rPr>
          <w:i/>
          <w:iCs/>
          <w:color w:val="1A1A1A"/>
          <w:sz w:val="21"/>
          <w:szCs w:val="21"/>
        </w:rPr>
        <w:t xml:space="preserve">Mål: du kan forklare presis hva et evalueringsfunn betyr og ikke betyr.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4 — Modul 4.</w:t>
      </w:r>
      <w:r>
        <w:rPr>
          <w:color w:val="1A1A1A"/>
          <w:sz w:val="21"/>
          <w:szCs w:val="21"/>
        </w:rPr>
        <w:t xml:space="preserve"> Les modul 4 og casene 16–23. Gjør lab 2 (indirekte prompt injection i sandkasse). Dette er ukens tyngste praktiske arbeid — sett av god tid. </w:t>
      </w:r>
      <w:r>
        <w:rPr>
          <w:i/>
          <w:iCs/>
          <w:color w:val="1A1A1A"/>
          <w:sz w:val="21"/>
          <w:szCs w:val="21"/>
        </w:rPr>
        <w:t xml:space="preserve">Mål: du har selv sett en agent følge en instruksjon du plantet i data.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5 — Modul 5.</w:t>
      </w:r>
      <w:r>
        <w:rPr>
          <w:color w:val="1A1A1A"/>
          <w:sz w:val="21"/>
          <w:szCs w:val="21"/>
        </w:rPr>
        <w:t xml:space="preserve"> Les modul 5 og casene 24–33. Gjør oppgave 5.1 (hvem eier botens ord). Velg brukssak for prosjektet. </w:t>
      </w:r>
      <w:r>
        <w:rPr>
          <w:i/>
          <w:iCs/>
          <w:color w:val="1A1A1A"/>
          <w:sz w:val="21"/>
          <w:szCs w:val="21"/>
        </w:rPr>
        <w:t xml:space="preserve">Mål: du vet hvem som betaler når systemet finner på noe.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6 — Modul 6.</w:t>
      </w:r>
      <w:r>
        <w:rPr>
          <w:color w:val="1A1A1A"/>
          <w:sz w:val="21"/>
          <w:szCs w:val="21"/>
        </w:rPr>
        <w:t xml:space="preserve"> Les modul 6 og casene 34–43. Gjør lab 7 (hendelsesøvelse) — helst med minst én annen person. </w:t>
      </w:r>
      <w:r>
        <w:rPr>
          <w:i/>
          <w:iCs/>
          <w:color w:val="1A1A1A"/>
          <w:sz w:val="21"/>
          <w:szCs w:val="21"/>
        </w:rPr>
        <w:t xml:space="preserve">Mål: du har kjent på tidspresset i en hendelse.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7 — Modul 7.</w:t>
      </w:r>
      <w:r>
        <w:rPr>
          <w:color w:val="1A1A1A"/>
          <w:sz w:val="21"/>
          <w:szCs w:val="21"/>
        </w:rPr>
        <w:t xml:space="preserve"> Les modul 7 og case 44. Gjør lab 3, 4 og 5 på prosjektets brukssak. Dette er prosjektets tekniske kjerne. </w:t>
      </w:r>
      <w:r>
        <w:rPr>
          <w:i/>
          <w:iCs/>
          <w:color w:val="1A1A1A"/>
          <w:sz w:val="21"/>
          <w:szCs w:val="21"/>
        </w:rPr>
        <w:t xml:space="preserve">Mål: du har en konkret tilgangsmatrise og godkjenningsplan.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Uke 8 — Modul 8 og innlevering.</w:t>
      </w:r>
      <w:r>
        <w:rPr>
          <w:color w:val="1A1A1A"/>
          <w:sz w:val="21"/>
          <w:szCs w:val="21"/>
        </w:rPr>
        <w:t xml:space="preserve"> Les modul 8 og casene 45–48. Gjør lab 8 (risikoklassifisering). Ferdigstill prosjektrapporten. Ta quizen. </w:t>
      </w:r>
      <w:r>
        <w:rPr>
          <w:i/>
          <w:iCs/>
          <w:color w:val="1A1A1A"/>
          <w:sz w:val="21"/>
          <w:szCs w:val="21"/>
        </w:rPr>
        <w:t xml:space="preserve">Mål: levert rapport og bestått quiz.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2.3 Hvis du underviser andre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Materialet fungerer også som lærerpakke. Tre tilpasninger er merket gjennomgående i kompendiet: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Videregående (Vg2/Vg3 IT og medieproduksjon).</w:t>
      </w:r>
      <w:r>
        <w:rPr>
          <w:color w:val="1A1A1A"/>
          <w:sz w:val="21"/>
          <w:szCs w:val="21"/>
        </w:rPr>
        <w:t xml:space="preserve"> Bruk modul 1, 2, 4, 5 og 6. Hopp over regelverksdelen av modul 8 og de tyngste tekniske delene av modul 7. Vekt på casearbeid, rollespill og medieanalyse. Casene om Tay, Chevrolet-forhandleren, DPD og AI Overviews fungerer særlig godt for denne aldersgruppen fordi de er konkrete og morsomme før de blir alvorlige.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Kurs for ansatte og ledere, tre til fire timer.</w:t>
      </w:r>
      <w:r>
        <w:rPr>
          <w:color w:val="1A1A1A"/>
          <w:sz w:val="21"/>
          <w:szCs w:val="21"/>
        </w:rPr>
        <w:t xml:space="preserve"> Bruk modul 1 (komprimert til 30 minutter), modul 5, utvalgte deler av modul 7 og hele modul 8. Erstatt labbene med lab 7 (hendelsesøvelse). Kjernebudskapet for denne gruppen er ikke teknisk: det er at ansvaret ikke flytter seg til leverandøren fordi du kjøpte en agent.</w:t>
      </w:r>
    </w:p>
    <w:p>
      <w:pPr>
        <w:spacing w:after="160" w:line="300"/>
        <w:jc w:val="left"/>
      </w:pPr>
      <w:r>
        <w:rPr>
          <w:b/>
          <w:bCs/>
          <w:color w:val="1A1A1A"/>
          <w:sz w:val="21"/>
          <w:szCs w:val="21"/>
        </w:rPr>
        <w:t xml:space="preserve">Fagsamling for utviklere, én dag.</w:t>
      </w:r>
      <w:r>
        <w:rPr>
          <w:color w:val="1A1A1A"/>
          <w:sz w:val="21"/>
          <w:szCs w:val="21"/>
        </w:rPr>
        <w:t xml:space="preserve"> Modul 1, 4 og 7, med lab 2 og lab 3 som hoveddel. Casebanken deles ut som forarbeid.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2.4 Vurdering</w:t>
      </w:r>
    </w:p>
    <w:tbl>
      <w:tblPr>
        <w:tblW w:type="dxa" w:w="9026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2"/>
          <w:insideV w:val="single" w:color="C7CEDB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Del</w:t>
            </w:r>
          </w:p>
        </w:tc>
        <w:tc>
          <w:tcPr>
            <w:tcW w:type="dxa" w:w="3008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Vekt</w:t>
            </w:r>
          </w:p>
        </w:tc>
        <w:tc>
          <w:tcPr>
            <w:tcW w:type="dxa" w:w="3010"/>
            <w:shd w:fill="EDF1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Prosjekt: risikovurdering av en agentløsning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60 %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Rapport, 8–12 sider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Labmappe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20 %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Dokumentert gjennomføring av lab 1–8</w:t>
            </w:r>
          </w:p>
        </w:tc>
      </w:tr>
      <w:tr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Kunnskapsprøve</w:t>
            </w:r>
          </w:p>
        </w:tc>
        <w:tc>
          <w:tcPr>
            <w:tcW w:type="dxa" w:w="30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20 %</w:t>
            </w:r>
          </w:p>
        </w:tc>
        <w:tc>
          <w:tcPr>
            <w:tcW w:type="dxa" w:w="3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50"/>
            </w:pPr>
            <w:r>
              <w:rPr>
                <w:color w:val="1A1A1A"/>
                <w:sz w:val="18"/>
                <w:szCs w:val="18"/>
              </w:rPr>
              <w:t xml:space="preserve">Quiz og kortsvarsoppgaver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Fullstendige oppgavetekster, rubrikker og vurderingskriterier finnes i dokumentet </w:t>
      </w:r>
      <w:r>
        <w:rPr>
          <w:i/>
          <w:iCs/>
          <w:color w:val="1A1A1A"/>
          <w:sz w:val="21"/>
          <w:szCs w:val="21"/>
        </w:rPr>
        <w:t xml:space="preserve">Oppgaver, labber og vurdering</w:t>
      </w:r>
      <w:r>
        <w:rPr>
          <w:color w:val="1A1A1A"/>
          <w:sz w:val="21"/>
          <w:szCs w:val="21"/>
        </w:rPr>
        <w:t xml:space="preserve">.</w:t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2.5 Materiellets deler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Studieguide og emneplan</w:t>
      </w:r>
      <w:r>
        <w:rPr>
          <w:color w:val="1A1A1A"/>
          <w:sz w:val="21"/>
          <w:szCs w:val="21"/>
        </w:rPr>
        <w:t xml:space="preserve"> — dette dokumentet.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Kompendium, modul 1–8</w:t>
      </w:r>
      <w:r>
        <w:rPr>
          <w:color w:val="1A1A1A"/>
          <w:sz w:val="21"/>
          <w:szCs w:val="21"/>
        </w:rPr>
        <w:t xml:space="preserve"> — hovedteksten, cirka 90 sider.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Casebank</w:t>
      </w:r>
      <w:r>
        <w:rPr>
          <w:color w:val="1A1A1A"/>
          <w:sz w:val="21"/>
          <w:szCs w:val="21"/>
        </w:rPr>
        <w:t xml:space="preserve"> — 48 dokumenterte hendelser, klassifisert etter sviktmønster.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b/>
          <w:bCs/>
          <w:color w:val="1A1A1A"/>
          <w:sz w:val="21"/>
          <w:szCs w:val="21"/>
        </w:rPr>
        <w:t xml:space="preserve">Oppgaver, labber og vurdering</w:t>
      </w:r>
      <w:r>
        <w:rPr>
          <w:color w:val="1A1A1A"/>
          <w:sz w:val="21"/>
          <w:szCs w:val="21"/>
        </w:rPr>
        <w:t xml:space="preserve"> — 8 labber, workshops, prosjektoppgave, quiz med fasit, rubrikker.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340"/>
      </w:pPr>
      <w:r>
        <w:rPr>
          <w:rFonts w:ascii="Georgia" w:cs="Georgia" w:eastAsia="Georgia" w:hAnsi="Georgia"/>
          <w:b/>
          <w:bCs/>
          <w:color w:val="2E5090"/>
          <w:sz w:val="27"/>
          <w:szCs w:val="27"/>
        </w:rPr>
        <w:t xml:space="preserve">2.6 En nødvendig advarsel om kildebruk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Casebanken er skrevet på grunnlag av offentlig tilgjengelige kilder og faktasjekket i august 2026. Likevel: </w:t>
      </w:r>
      <w:r>
        <w:rPr>
          <w:b/>
          <w:bCs/>
          <w:color w:val="1A1A1A"/>
          <w:sz w:val="21"/>
          <w:szCs w:val="21"/>
        </w:rPr>
        <w:t xml:space="preserve">ikke siter tall fra dette materialet uten å sjekke primærkilden først.</w:t>
      </w:r>
      <w:r>
        <w:rPr>
          <w:color w:val="1A1A1A"/>
          <w:sz w:val="21"/>
          <w:szCs w:val="21"/>
        </w:rPr>
        <w:t xml:space="preserve"> Det er tre grunner til det.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For det første endrer sakene seg. EUs KI-forordning fikk fristene for høyrisikosystemer utsatt så sent som i juli 2026. Materiale om regelverk eldes fort.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For det andre er mange av tallene i omløp upresise. Utpressingsandelen i Claude Opus 4-systemkortet varierer mellom oppsettene i testen, og ulike medier har sitert ulike tall som om de var samme tall. Casebanken oppgir derfor tall med forbehold der forbehold hører hjemme.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For det tredje er dette et emne om kritisk vurdering av KI-påstander. Det ville vært pinlig om materialet selv ble en kilde til ukritisk gjengivelse. Hver case har en kildehenvisning nettopp for at du skal bruke den.</w:t>
      </w:r>
    </w:p>
    <w:p>
      <w:pPr>
        <w:spacing w:after="160" w:line="300"/>
        <w:jc w:val="left"/>
      </w:pPr>
      <w:r>
        <w:rPr>
          <w:color w:val="1A1A1A"/>
          <w:sz w:val="21"/>
          <w:szCs w:val="21"/>
        </w:rPr>
        <w:t xml:space="preserve">Der en case bygger på ett selskaps egen framstilling av hva som skjedde — som Anthropics rapport om spionasjekampanjen eller xAIs forklaring på Grok-hendelsen — er det markert i teksten. Selskapenes egne granskninger er verdifulle, men de er ikke uavhengige.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1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Når agenten tar over</dc:title>
  <dc:creator>Undervisningsmateriell</dc:creator>
  <dc:description>Studieguide og emneplan</dc:description>
  <cp:lastModifiedBy>Un-named</cp:lastModifiedBy>
  <cp:revision>1</cp:revision>
  <dcterms:created xsi:type="dcterms:W3CDTF">2026-08-29T21:13:43.497Z</dcterms:created>
  <dcterms:modified xsi:type="dcterms:W3CDTF">2026-08-29T21:13:43.497Z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