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sv3dhtmvw6gh" w:id="0"/>
      <w:bookmarkEnd w:id="0"/>
      <w:r w:rsidDel="00000000" w:rsidR="00000000" w:rsidRPr="00000000">
        <w:rPr>
          <w:rtl w:val="0"/>
        </w:rPr>
        <w:t xml:space="preserve">Ejercicios de desarrollo web con J2EE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y arrancar Tomcat. Arrancar el servicio. Acceder a la “home page” en localhost a través del puerto 8080.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Desde el “Home Page” de Tomcat, entrar en “First web application” → “Example app” y descargar la aplicación “sample.war”. Desplegarla (copiarla) en el directorio “webapps” de Tomcat y observar qué ocurre. Acceder a la aplicación a través de la URI “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http://localhost:8080/sample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aplicación J2EE (Dynamic web project) que muestre un “Hola mundo”. Observar dónde está desplegado. Crear un war y desplegarlo en el directorio webapps estándar de Tomcat.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servlet que muestre un formulario requiriendo un nombre y al pulsar “submit” se invoque a sí mismo, saludando al nombre introducido anteriormente.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servlet que muestre información de algunas de las variables manejadas por el servidor.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38613" cy="421933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21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servlet que muestre en su versión get, un formulario con este aspecto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257425" cy="1371600"/>
            <wp:effectExtent b="25400" l="25400" r="25400" t="254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71600"/>
                    </a:xfrm>
                    <a:prstGeom prst="rect"/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 enviar el formulario, el mismo servlet recibirá vía post los datos, pudiendo ocurrir una de estas tres cosas: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no se envíe ningún nombre, a lo que se responderá “Debes introducir un nombre”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se envíe nombre, pero ninguna afición, a lo que se responderá “A &lt;nombre&gt; no le gusta nada”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se envíe nombre y alguna/s afición/es, a lo que se contestará “A &lt;nombre&gt; le gusta &lt;afición1&gt; &lt;afición2&gt; …”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los mismos scriptlets que se realizaron en PHP: generaRadio(...), generaCheckBox(...) y generaSelect(...). NOTA: Utilizar Map&lt;String,String&gt; para suplir los arrays asociativos de PHP.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formulario con dos campos de texto nombre, clave y país (a elegir entre España, Italia, Francia y Portugal). Al enviar se comprobará si todo ha ido bien en cuyo caso se mostrarán los datos enviados. Si hubo algún error, según la lógica de negocio (nombre no vacío, clave entre 6 y 12 caracteres), se informará del error y se repintará el formulario con los datos anteriores.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w8kwq5mty4fx" w:id="1"/>
      <w:bookmarkEnd w:id="1"/>
      <w:r w:rsidDel="00000000" w:rsidR="00000000" w:rsidRPr="00000000">
        <w:rPr>
          <w:rtl w:val="0"/>
        </w:rPr>
        <w:t xml:space="preserve">Archivos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formulario que seleccione un archivo local, y lo suba a una carpeta en el servidor (NOTA: La carpeta debe existir previamente). El formulario permitirá renombrar el archivo si se desea (si se deja el nombre en blanco, mantendrá el nombre anterior).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238375" cy="1504950"/>
            <wp:effectExtent b="25400" l="25400" r="25400" t="254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/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e0nmq4vrn2g3" w:id="2"/>
      <w:bookmarkEnd w:id="2"/>
      <w:r w:rsidDel="00000000" w:rsidR="00000000" w:rsidRPr="00000000">
        <w:rPr>
          <w:rtl w:val="0"/>
        </w:rPr>
        <w:t xml:space="preserve">Cookies y sesiones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programa que muestre un formulario nombre/clave. Cuando el usuario se valide con éxito (de entre dos usuarios al menos). El programa informará de hace cuántos segundos que no se validaba. A partir de un minuto, el programa no monitorizará este tiempo, y simplemente informará de que ha pasado más de un minuto. NOTA: Utilícense cookies. Puede ser útil el método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0000"/>
          <w:sz w:val="20"/>
          <w:szCs w:val="20"/>
          <w:rtl w:val="0"/>
        </w:rPr>
        <w:t xml:space="preserve">currentTimeMillis()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Implementar, utilizando sesiones, un contador de visitas por usuario (para un par de usuarios distintos)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fbfqpxsz9pb" w:id="3"/>
      <w:bookmarkEnd w:id="3"/>
      <w:r w:rsidDel="00000000" w:rsidR="00000000" w:rsidRPr="00000000">
        <w:rPr>
          <w:rtl w:val="0"/>
        </w:rPr>
        <w:t xml:space="preserve">Acceso a SGBD y 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la tabla </w:t>
      </w:r>
      <w:r w:rsidDel="00000000" w:rsidR="00000000" w:rsidRPr="00000000">
        <w:rPr>
          <w:b w:val="1"/>
          <w:rtl w:val="0"/>
        </w:rPr>
        <w:t xml:space="preserve">libros(</w:t>
      </w:r>
      <w:r w:rsidDel="00000000" w:rsidR="00000000" w:rsidRPr="00000000">
        <w:rPr>
          <w:b w:val="1"/>
          <w:u w:val="single"/>
          <w:rtl w:val="0"/>
        </w:rPr>
        <w:t xml:space="preserve">isbn</w:t>
      </w:r>
      <w:r w:rsidDel="00000000" w:rsidR="00000000" w:rsidRPr="00000000">
        <w:rPr>
          <w:b w:val="1"/>
          <w:rtl w:val="0"/>
        </w:rPr>
        <w:t xml:space="preserve">, titulo, categoria)</w:t>
      </w:r>
      <w:r w:rsidDel="00000000" w:rsidR="00000000" w:rsidRPr="00000000">
        <w:rPr>
          <w:rtl w:val="0"/>
        </w:rPr>
        <w:t xml:space="preserve">, hacer un formulario de inserción y una página que muestre el catálogo. El primero ha de redirigir al segundo.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el ejercicio anterior, utilizando JSP.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Desdoblar  a una clase externa “Libro” el objeto de negocio “Libro” y todas las operaciones de modelo relacionadas con libros. Implementar dichas operaciones con métodos estáticos.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Separar la clase Libro en dos clases: “Libro” y “LibroDAO”, dejando en ésta última las operaciones propias de modelo que teníamos en la otra.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dvw13sob1z71" w:id="4"/>
      <w:bookmarkEnd w:id="4"/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clase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org.mvc.Controller</w:t>
      </w:r>
      <w:r w:rsidDel="00000000" w:rsidR="00000000" w:rsidRPr="00000000">
        <w:rPr>
          <w:rtl w:val="0"/>
        </w:rPr>
        <w:t xml:space="preserve"> con la siguiente estructura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00500" cy="13335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Asegurarse de no añadir la anotación @WebServlet a la clase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doGet(...)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doPost(...)</w:t>
      </w:r>
      <w:r w:rsidDel="00000000" w:rsidR="00000000" w:rsidRPr="00000000">
        <w:rPr>
          <w:rtl w:val="0"/>
        </w:rPr>
        <w:t xml:space="preserve"> lo único que hacen es llamar a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ejecutar(“get”,request,response)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ejecutar(“post”,request,response) </w:t>
      </w:r>
      <w:r w:rsidDel="00000000" w:rsidR="00000000" w:rsidRPr="00000000">
        <w:rPr>
          <w:rtl w:val="0"/>
        </w:rPr>
        <w:t xml:space="preserve">respectivamente.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 analiza las cadenas “extras” de la URI para </w:t>
      </w:r>
      <w:r w:rsidDel="00000000" w:rsidR="00000000" w:rsidRPr="00000000">
        <w:rPr>
          <w:u w:val="single"/>
          <w:rtl w:val="0"/>
        </w:rPr>
        <w:t xml:space="preserve">averiguar la acción</w:t>
      </w:r>
      <w:r w:rsidDel="00000000" w:rsidR="00000000" w:rsidRPr="00000000">
        <w:rPr>
          <w:rtl w:val="0"/>
        </w:rPr>
        <w:t xml:space="preserve"> a realizar sobre el controlador (para esta versión sólo se analizará la acción y no argumentos “extra”)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no se ha indicado ninguna acción en la URI, se considerará que ésta será la cadena “index”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vez hallada el String correspondiente a la acción se ejecutará utilizando “reflection” un método de este objeto cuyo nombre sea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&lt;accion&gt;Get(request,response)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&lt;accion&gt;Post(request,response)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método no existe se lanzará una excepción personalizada de la clase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org.mvc.exception.MetodoInexistenteException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Empaquetar la clase Controller y MetodoInexistenteException en un jar (empaquetando también el código fuente para no perderlo). Borrar las clases originales y añadir el jar a la carpeta lib del proyecto para poder utilizar las clases que contiene.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Probar la clase Controller de la siguiente manera.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43250" cy="13335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Asegurarse de anotar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Ej18Controller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WebServlet </w:t>
      </w:r>
      <w:r w:rsidDel="00000000" w:rsidR="00000000" w:rsidRPr="00000000">
        <w:rPr>
          <w:rtl w:val="0"/>
        </w:rPr>
        <w:t xml:space="preserve">para que responda a las URIs /Ej18 /Ej18/ y /Ej18/*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saludarGet() </w:t>
      </w:r>
      <w:r w:rsidDel="00000000" w:rsidR="00000000" w:rsidRPr="00000000">
        <w:rPr>
          <w:rtl w:val="0"/>
        </w:rPr>
        <w:t xml:space="preserve">se activará con la uri “/Ej18/saludar” y desplegará un formulario en el que pedirá un nombre al usuario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saludarPost() </w:t>
      </w:r>
      <w:r w:rsidDel="00000000" w:rsidR="00000000" w:rsidRPr="00000000">
        <w:rPr>
          <w:rtl w:val="0"/>
        </w:rPr>
        <w:t xml:space="preserve">también se activará con la uri “/Ej18/saludar” (cuando se invoque vía POST) y saludará al nombre que reciba vía post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 un par de métodos despedirseGet() y despedirsePost() similares a los anteriores pero que se despidan del usuario.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Observar que lo único que hay que hacer para que funcione el nuevo Caso de Uso “despedir” es añadir los métodos (no hay que tocar URI’s ni anotaciones.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Observar qué ocurre cuando se pone un nombre de accion inexistente. Capturar la excepción y mandar una página HTML de error personalizada.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Observar qué ocurre cuando no se indica ninguna acción en concreto. Rescribir index para que ejecute por defecto saludarGet()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ource Code Pro">
    <w:embedRegular r:id="rId1" w:subsetted="0"/>
    <w:embedBold r:id="rId2" w:subsetted="0"/>
  </w:font>
  <w:font w:name="Nova Mono">
    <w:embedRegular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5.png"/><Relationship Id="rId9" Type="http://schemas.openxmlformats.org/officeDocument/2006/relationships/image" Target="media/image06.png"/><Relationship Id="rId5" Type="http://schemas.openxmlformats.org/officeDocument/2006/relationships/hyperlink" Target="http://localhost:8080/sample" TargetMode="External"/><Relationship Id="rId6" Type="http://schemas.openxmlformats.org/officeDocument/2006/relationships/image" Target="media/image08.png"/><Relationship Id="rId7" Type="http://schemas.openxmlformats.org/officeDocument/2006/relationships/image" Target="media/image04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NovaMono-regular.ttf"/></Relationships>
</file>