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5315E" w14:textId="77777777" w:rsidR="009A7760" w:rsidRDefault="00000000">
      <w:pPr>
        <w:spacing w:before="80"/>
        <w:rPr>
          <w:b/>
          <w:bCs/>
          <w:color w:val="111827"/>
          <w:sz w:val="52"/>
          <w:szCs w:val="52"/>
        </w:rPr>
      </w:pPr>
      <w:r>
        <w:rPr>
          <w:b/>
          <w:bCs/>
          <w:color w:val="111827"/>
          <w:sz w:val="52"/>
          <w:szCs w:val="52"/>
        </w:rPr>
        <w:t>Employee Attrition Risk</w:t>
      </w:r>
    </w:p>
    <w:p w14:paraId="34827D6C" w14:textId="77777777" w:rsidR="00C72F60" w:rsidRDefault="00C72F60">
      <w:pPr>
        <w:spacing w:before="80"/>
      </w:pPr>
    </w:p>
    <w:p w14:paraId="6AA3D8A2" w14:textId="77777777" w:rsidR="009A7760" w:rsidRDefault="00000000">
      <w:pPr>
        <w:spacing w:before="60" w:after="40"/>
      </w:pPr>
      <w:r>
        <w:rPr>
          <w:color w:val="4B5563"/>
          <w:sz w:val="28"/>
          <w:szCs w:val="28"/>
        </w:rPr>
        <w:t>What the Data Tells Us — and What HR Should Do Next</w:t>
      </w:r>
    </w:p>
    <w:p w14:paraId="2ABAB7DD" w14:textId="5EE3FE0C" w:rsidR="009A7760" w:rsidRDefault="00000000">
      <w:pPr>
        <w:spacing w:after="360"/>
      </w:pPr>
      <w:r>
        <w:rPr>
          <w:color w:val="9CA3AF"/>
          <w:sz w:val="18"/>
          <w:szCs w:val="18"/>
        </w:rPr>
        <w:t xml:space="preserve">Prepared by: </w:t>
      </w:r>
      <w:r w:rsidR="00C72F60">
        <w:rPr>
          <w:color w:val="9CA3AF"/>
          <w:sz w:val="18"/>
          <w:szCs w:val="18"/>
        </w:rPr>
        <w:t xml:space="preserve">Prashanth, </w:t>
      </w:r>
      <w:r>
        <w:rPr>
          <w:color w:val="9CA3AF"/>
          <w:sz w:val="18"/>
          <w:szCs w:val="18"/>
        </w:rPr>
        <w:t>Data Science</w:t>
      </w:r>
      <w:r w:rsidR="00C72F60">
        <w:rPr>
          <w:color w:val="9CA3AF"/>
          <w:sz w:val="18"/>
          <w:szCs w:val="18"/>
        </w:rPr>
        <w:t xml:space="preserve"> Intern</w:t>
      </w:r>
      <w:r>
        <w:rPr>
          <w:color w:val="9CA3AF"/>
          <w:sz w:val="18"/>
          <w:szCs w:val="18"/>
        </w:rPr>
        <w:t xml:space="preserve">  |  Date:</w:t>
      </w:r>
      <w:r w:rsidR="00C72F60">
        <w:rPr>
          <w:color w:val="9CA3AF"/>
          <w:sz w:val="18"/>
          <w:szCs w:val="18"/>
        </w:rPr>
        <w:t xml:space="preserve"> 28</w:t>
      </w:r>
      <w:r>
        <w:rPr>
          <w:color w:val="9CA3AF"/>
          <w:sz w:val="18"/>
          <w:szCs w:val="18"/>
        </w:rPr>
        <w:t xml:space="preserve"> June 2026  |  Dataset: 1,470 IBM HR Employee Records</w:t>
      </w:r>
    </w:p>
    <w:p w14:paraId="582C5A2C" w14:textId="77777777" w:rsidR="009A7760" w:rsidRDefault="00000000">
      <w:pPr>
        <w:pStyle w:val="Heading1"/>
      </w:pPr>
      <w:r>
        <w:t>The Bottom Line</w:t>
      </w:r>
    </w:p>
    <w:p w14:paraId="388C2F5D" w14:textId="77777777" w:rsidR="009A7760" w:rsidRDefault="00000000">
      <w:pPr>
        <w:spacing w:before="60" w:after="60"/>
      </w:pPr>
      <w:r>
        <w:t>Every year, roughly 1 in 6 employees leaves the company. That's 237 people out of every 1,470 — a 16.1% annual turnover rate. Each departure costs an estimated 50–200% of that employee's annual salary in recruiting, training, and lost productivity.</w:t>
      </w:r>
    </w:p>
    <w:p w14:paraId="7501D368" w14:textId="7DE00080" w:rsidR="009A7760" w:rsidRDefault="00C72F60">
      <w:pPr>
        <w:spacing w:before="60" w:after="60"/>
      </w:pPr>
      <w:r>
        <w:t>I</w:t>
      </w:r>
      <w:r w:rsidR="00000000">
        <w:t xml:space="preserve"> built a predictive model that can flag employees who are at elevated risk of leaving — before they hand in their resignation. Here is what it found, and what you can do about it.</w:t>
      </w:r>
    </w:p>
    <w:p w14:paraId="621827B4" w14:textId="77777777" w:rsidR="009A7760" w:rsidRDefault="009A7760">
      <w:pPr>
        <w:spacing w:before="240"/>
      </w:pPr>
    </w:p>
    <w:p w14:paraId="53B80605" w14:textId="77777777" w:rsidR="009A7760" w:rsidRDefault="00000000">
      <w:pPr>
        <w:pStyle w:val="Heading2"/>
      </w:pPr>
      <w:r>
        <w:t>Key Numbers at a Glance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500"/>
      </w:tblGrid>
      <w:tr w:rsidR="009A7760" w14:paraId="5D04DFD7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shd w:val="clear" w:color="auto" w:fill="F9FAFB"/>
          </w:tcPr>
          <w:p w14:paraId="55CBE1A8" w14:textId="77777777" w:rsidR="009A7760" w:rsidRDefault="00000000">
            <w:pPr>
              <w:spacing w:before="60" w:after="60"/>
            </w:pPr>
            <w:r>
              <w:rPr>
                <w:sz w:val="20"/>
                <w:szCs w:val="20"/>
              </w:rPr>
              <w:t>Employees in the dataset</w:t>
            </w:r>
          </w:p>
        </w:tc>
        <w:tc>
          <w:tcPr>
            <w:tcW w:w="3500" w:type="dxa"/>
            <w:shd w:val="clear" w:color="auto" w:fill="F9FAFB"/>
          </w:tcPr>
          <w:p w14:paraId="099CBCD5" w14:textId="77777777" w:rsidR="009A776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11827"/>
                <w:sz w:val="20"/>
                <w:szCs w:val="20"/>
              </w:rPr>
              <w:t>1,470</w:t>
            </w:r>
          </w:p>
        </w:tc>
      </w:tr>
      <w:tr w:rsidR="009A7760" w14:paraId="706FDC1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shd w:val="clear" w:color="auto" w:fill="DBEAFE"/>
          </w:tcPr>
          <w:p w14:paraId="1F0C183E" w14:textId="77777777" w:rsidR="009A7760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Employees who left (Yes)</w:t>
            </w:r>
          </w:p>
        </w:tc>
        <w:tc>
          <w:tcPr>
            <w:tcW w:w="3500" w:type="dxa"/>
            <w:shd w:val="clear" w:color="auto" w:fill="DBEAFE"/>
          </w:tcPr>
          <w:p w14:paraId="2E0AD3E6" w14:textId="77777777" w:rsidR="009A776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237 (16.1%)</w:t>
            </w:r>
          </w:p>
        </w:tc>
      </w:tr>
      <w:tr w:rsidR="009A7760" w14:paraId="1AFC90E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shd w:val="clear" w:color="auto" w:fill="F9FAFB"/>
          </w:tcPr>
          <w:p w14:paraId="0E5A7D40" w14:textId="77777777" w:rsidR="009A7760" w:rsidRDefault="00000000">
            <w:pPr>
              <w:spacing w:before="60" w:after="60"/>
            </w:pPr>
            <w:r>
              <w:rPr>
                <w:sz w:val="20"/>
                <w:szCs w:val="20"/>
              </w:rPr>
              <w:t>Employees who stayed (No)</w:t>
            </w:r>
          </w:p>
        </w:tc>
        <w:tc>
          <w:tcPr>
            <w:tcW w:w="3500" w:type="dxa"/>
            <w:shd w:val="clear" w:color="auto" w:fill="F9FAFB"/>
          </w:tcPr>
          <w:p w14:paraId="4083CA81" w14:textId="77777777" w:rsidR="009A776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11827"/>
                <w:sz w:val="20"/>
                <w:szCs w:val="20"/>
              </w:rPr>
              <w:t>1,233 (83.9%)</w:t>
            </w:r>
          </w:p>
        </w:tc>
      </w:tr>
      <w:tr w:rsidR="009A7760" w14:paraId="6C699FB9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shd w:val="clear" w:color="auto" w:fill="DBEAFE"/>
          </w:tcPr>
          <w:p w14:paraId="6650BAAC" w14:textId="77777777" w:rsidR="009A7760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Department with highest turnover</w:t>
            </w:r>
          </w:p>
        </w:tc>
        <w:tc>
          <w:tcPr>
            <w:tcW w:w="3500" w:type="dxa"/>
            <w:shd w:val="clear" w:color="auto" w:fill="DBEAFE"/>
          </w:tcPr>
          <w:p w14:paraId="42164BE0" w14:textId="77777777" w:rsidR="009A776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Sales — 20.6%</w:t>
            </w:r>
          </w:p>
        </w:tc>
      </w:tr>
      <w:tr w:rsidR="009A7760" w14:paraId="12D76A08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shd w:val="clear" w:color="auto" w:fill="DBEAFE"/>
          </w:tcPr>
          <w:p w14:paraId="2B2163C2" w14:textId="77777777" w:rsidR="009A7760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Highest-risk job role</w:t>
            </w:r>
          </w:p>
        </w:tc>
        <w:tc>
          <w:tcPr>
            <w:tcW w:w="3500" w:type="dxa"/>
            <w:shd w:val="clear" w:color="auto" w:fill="DBEAFE"/>
          </w:tcPr>
          <w:p w14:paraId="3AFCE484" w14:textId="77777777" w:rsidR="009A776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Sales Representatives — 39.8%</w:t>
            </w:r>
          </w:p>
        </w:tc>
      </w:tr>
      <w:tr w:rsidR="009A7760" w14:paraId="1CECF0BC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shd w:val="clear" w:color="auto" w:fill="F9FAFB"/>
          </w:tcPr>
          <w:p w14:paraId="6D0B72B8" w14:textId="77777777" w:rsidR="009A776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Avg. salary of employees who left</w:t>
            </w:r>
          </w:p>
        </w:tc>
        <w:tc>
          <w:tcPr>
            <w:tcW w:w="3500" w:type="dxa"/>
            <w:shd w:val="clear" w:color="auto" w:fill="F9FAFB"/>
          </w:tcPr>
          <w:p w14:paraId="6B3CF76D" w14:textId="77777777" w:rsidR="009A776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11827"/>
                <w:sz w:val="20"/>
                <w:szCs w:val="20"/>
              </w:rPr>
              <w:t>$4,787 / month</w:t>
            </w:r>
          </w:p>
        </w:tc>
      </w:tr>
      <w:tr w:rsidR="009A7760" w14:paraId="7B960AB5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shd w:val="clear" w:color="auto" w:fill="F9FAFB"/>
          </w:tcPr>
          <w:p w14:paraId="48DC1192" w14:textId="77777777" w:rsidR="009A7760" w:rsidRDefault="00000000">
            <w:pPr>
              <w:spacing w:before="60" w:after="60"/>
            </w:pPr>
            <w:r>
              <w:rPr>
                <w:sz w:val="20"/>
                <w:szCs w:val="20"/>
              </w:rPr>
              <w:t>Avg. salary of employees who stayed</w:t>
            </w:r>
          </w:p>
        </w:tc>
        <w:tc>
          <w:tcPr>
            <w:tcW w:w="3500" w:type="dxa"/>
            <w:shd w:val="clear" w:color="auto" w:fill="F9FAFB"/>
          </w:tcPr>
          <w:p w14:paraId="3D9AED80" w14:textId="77777777" w:rsidR="009A776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11827"/>
                <w:sz w:val="20"/>
                <w:szCs w:val="20"/>
              </w:rPr>
              <w:t>$6,833 / month</w:t>
            </w:r>
          </w:p>
        </w:tc>
      </w:tr>
      <w:tr w:rsidR="009A7760" w14:paraId="34D63D1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shd w:val="clear" w:color="auto" w:fill="DBEAFE"/>
          </w:tcPr>
          <w:p w14:paraId="4625BF55" w14:textId="77777777" w:rsidR="009A7760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Predictive model accuracy (ROC-AUC)</w:t>
            </w:r>
          </w:p>
        </w:tc>
        <w:tc>
          <w:tcPr>
            <w:tcW w:w="3500" w:type="dxa"/>
            <w:shd w:val="clear" w:color="auto" w:fill="DBEAFE"/>
          </w:tcPr>
          <w:p w14:paraId="312A0A34" w14:textId="77777777" w:rsidR="009A7760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E40AF"/>
                <w:sz w:val="20"/>
                <w:szCs w:val="20"/>
              </w:rPr>
              <w:t>79.9% — Logistic Regression</w:t>
            </w:r>
          </w:p>
        </w:tc>
      </w:tr>
    </w:tbl>
    <w:p w14:paraId="19F1764B" w14:textId="77777777" w:rsidR="009A7760" w:rsidRDefault="009A7760">
      <w:pPr>
        <w:spacing w:before="360"/>
      </w:pPr>
    </w:p>
    <w:p w14:paraId="5F53C8CD" w14:textId="77777777" w:rsidR="009A7760" w:rsidRDefault="00000000">
      <w:pPr>
        <w:pStyle w:val="Heading1"/>
      </w:pPr>
      <w:r>
        <w:t>Where Are People Leaving?</w:t>
      </w:r>
    </w:p>
    <w:p w14:paraId="2C4B4B19" w14:textId="77777777" w:rsidR="009A7760" w:rsidRDefault="00000000">
      <w:pPr>
        <w:pStyle w:val="Heading2"/>
      </w:pPr>
      <w:r>
        <w:t>By Department</w:t>
      </w:r>
    </w:p>
    <w:p w14:paraId="5F8CC3C4" w14:textId="77777777" w:rsidR="009A7760" w:rsidRDefault="00000000">
      <w:pPr>
        <w:pStyle w:val="ListParagraph"/>
        <w:numPr>
          <w:ilvl w:val="0"/>
          <w:numId w:val="2"/>
        </w:numPr>
        <w:spacing w:before="40" w:after="40"/>
      </w:pPr>
      <w:r>
        <w:t>Sales: 20.6% annual turnover — highest of all departments</w:t>
      </w:r>
    </w:p>
    <w:p w14:paraId="363F0D32" w14:textId="77777777" w:rsidR="009A7760" w:rsidRDefault="00000000">
      <w:pPr>
        <w:pStyle w:val="ListParagraph"/>
        <w:numPr>
          <w:ilvl w:val="0"/>
          <w:numId w:val="2"/>
        </w:numPr>
        <w:spacing w:before="40" w:after="40"/>
      </w:pPr>
      <w:r>
        <w:t>Human Resources: 19.0% — nearly 1 in 5 HR professionals leave each year</w:t>
      </w:r>
    </w:p>
    <w:p w14:paraId="2BEA0C95" w14:textId="77777777" w:rsidR="009A7760" w:rsidRDefault="00000000">
      <w:pPr>
        <w:pStyle w:val="ListParagraph"/>
        <w:numPr>
          <w:ilvl w:val="0"/>
          <w:numId w:val="2"/>
        </w:numPr>
        <w:spacing w:before="40" w:after="40"/>
      </w:pPr>
      <w:r>
        <w:t>Research &amp; Development: 13.8% — lowest, but still significant</w:t>
      </w:r>
    </w:p>
    <w:p w14:paraId="4CF18CAA" w14:textId="77777777" w:rsidR="009A7760" w:rsidRDefault="009A7760">
      <w:pPr>
        <w:spacing w:before="60" w:after="60"/>
      </w:pPr>
    </w:p>
    <w:p w14:paraId="69AE3C1C" w14:textId="77777777" w:rsidR="009A7760" w:rsidRDefault="00000000">
      <w:pPr>
        <w:pStyle w:val="Heading2"/>
      </w:pPr>
      <w:r>
        <w:t>By Job Role — The Highest-Risk Roles</w:t>
      </w:r>
    </w:p>
    <w:p w14:paraId="5C44DCA8" w14:textId="77777777" w:rsidR="009A7760" w:rsidRDefault="00000000">
      <w:pPr>
        <w:pStyle w:val="ListParagraph"/>
        <w:numPr>
          <w:ilvl w:val="0"/>
          <w:numId w:val="2"/>
        </w:numPr>
        <w:spacing w:before="40" w:after="40"/>
      </w:pPr>
      <w:r>
        <w:t>Sales Representatives: 39.8% — nearly 2 out of every 5 leave each year</w:t>
      </w:r>
    </w:p>
    <w:p w14:paraId="58D1F4BE" w14:textId="77777777" w:rsidR="009A7760" w:rsidRDefault="00000000">
      <w:pPr>
        <w:pStyle w:val="ListParagraph"/>
        <w:numPr>
          <w:ilvl w:val="0"/>
          <w:numId w:val="2"/>
        </w:numPr>
        <w:spacing w:before="40" w:after="40"/>
      </w:pPr>
      <w:r>
        <w:t>Laboratory Technicians: 23.9% — almost 1 in 4</w:t>
      </w:r>
    </w:p>
    <w:p w14:paraId="09A70374" w14:textId="77777777" w:rsidR="009A7760" w:rsidRDefault="00000000">
      <w:pPr>
        <w:pStyle w:val="ListParagraph"/>
        <w:numPr>
          <w:ilvl w:val="0"/>
          <w:numId w:val="2"/>
        </w:numPr>
        <w:spacing w:before="40" w:after="40"/>
      </w:pPr>
      <w:r>
        <w:t>Human Resources staff: 23.1%</w:t>
      </w:r>
    </w:p>
    <w:p w14:paraId="673C383A" w14:textId="77777777" w:rsidR="009A7760" w:rsidRDefault="00000000">
      <w:pPr>
        <w:pStyle w:val="ListParagraph"/>
        <w:numPr>
          <w:ilvl w:val="0"/>
          <w:numId w:val="2"/>
        </w:numPr>
        <w:spacing w:before="40" w:after="40"/>
      </w:pPr>
      <w:r>
        <w:t>Sales Executives: 17.5%</w:t>
      </w:r>
    </w:p>
    <w:p w14:paraId="1668CF47" w14:textId="77777777" w:rsidR="00C72F60" w:rsidRDefault="00C72F60">
      <w:pPr>
        <w:spacing w:before="60" w:after="60"/>
        <w:rPr>
          <w:color w:val="6B7280"/>
        </w:rPr>
      </w:pPr>
    </w:p>
    <w:p w14:paraId="0C460707" w14:textId="7F05A3C6" w:rsidR="009A7760" w:rsidRDefault="00000000">
      <w:pPr>
        <w:spacing w:before="60" w:after="60"/>
      </w:pPr>
      <w:r>
        <w:rPr>
          <w:color w:val="6B7280"/>
        </w:rPr>
        <w:t>Research Directors (2.5%) and Managers (4.9%) have very low attrition — seniority is protective.</w:t>
      </w:r>
    </w:p>
    <w:p w14:paraId="758857FA" w14:textId="77777777" w:rsidR="009A7760" w:rsidRDefault="009A7760">
      <w:pPr>
        <w:spacing w:before="240"/>
      </w:pPr>
    </w:p>
    <w:p w14:paraId="0AA41A1E" w14:textId="77777777" w:rsidR="009A7760" w:rsidRDefault="00000000">
      <w:pPr>
        <w:pStyle w:val="Heading1"/>
      </w:pPr>
      <w:r>
        <w:t>Why Are People Leaving?</w:t>
      </w:r>
    </w:p>
    <w:p w14:paraId="548AB3F5" w14:textId="77777777" w:rsidR="009A7760" w:rsidRDefault="00000000">
      <w:pPr>
        <w:spacing w:before="60" w:after="60"/>
      </w:pPr>
      <w:r>
        <w:t>Our model identified the factors that most strongly predict whether an employee will leave. Here are the top drivers, ranked by importance:</w:t>
      </w:r>
    </w:p>
    <w:p w14:paraId="6826ADA5" w14:textId="77777777" w:rsidR="009A7760" w:rsidRDefault="009A7760">
      <w:pPr>
        <w:spacing w:before="80"/>
      </w:pPr>
    </w:p>
    <w:p w14:paraId="2EE08582" w14:textId="77777777" w:rsidR="009A7760" w:rsidRDefault="00000000">
      <w:pPr>
        <w:pStyle w:val="ListParagraph"/>
        <w:numPr>
          <w:ilvl w:val="0"/>
          <w:numId w:val="2"/>
        </w:numPr>
        <w:spacing w:before="40" w:after="40"/>
      </w:pPr>
      <w:r>
        <w:t>1.  Job Role — Laboratory Technicians and Sales Representatives are at highest structural risk regardless of other factors</w:t>
      </w:r>
    </w:p>
    <w:p w14:paraId="766E9BA6" w14:textId="77777777" w:rsidR="009A7760" w:rsidRDefault="00000000">
      <w:pPr>
        <w:pStyle w:val="ListParagraph"/>
        <w:numPr>
          <w:ilvl w:val="0"/>
          <w:numId w:val="2"/>
        </w:numPr>
        <w:spacing w:before="40" w:after="40"/>
      </w:pPr>
      <w:r>
        <w:t>2.  Overtime — Employees who regularly work overtime are far more likely to leave; this is a burnout signal</w:t>
      </w:r>
    </w:p>
    <w:p w14:paraId="0C561DD4" w14:textId="77777777" w:rsidR="009A7760" w:rsidRDefault="00000000">
      <w:pPr>
        <w:pStyle w:val="ListParagraph"/>
        <w:numPr>
          <w:ilvl w:val="0"/>
          <w:numId w:val="2"/>
        </w:numPr>
        <w:spacing w:before="40" w:after="40"/>
      </w:pPr>
      <w:r>
        <w:t>3.  Business Travel — Frequent travellers leave more than those who rarely travel</w:t>
      </w:r>
    </w:p>
    <w:p w14:paraId="5EC2FE7E" w14:textId="77777777" w:rsidR="009A7760" w:rsidRDefault="00000000">
      <w:pPr>
        <w:pStyle w:val="ListParagraph"/>
        <w:numPr>
          <w:ilvl w:val="0"/>
          <w:numId w:val="2"/>
        </w:numPr>
        <w:spacing w:before="40" w:after="40"/>
      </w:pPr>
      <w:r>
        <w:t>4.  Job Level — Junior, entry-level employees are dramatically more at-risk than senior staff</w:t>
      </w:r>
    </w:p>
    <w:p w14:paraId="79AA159D" w14:textId="77777777" w:rsidR="009A7760" w:rsidRDefault="00000000">
      <w:pPr>
        <w:pStyle w:val="ListParagraph"/>
        <w:numPr>
          <w:ilvl w:val="0"/>
          <w:numId w:val="2"/>
        </w:numPr>
        <w:spacing w:before="40" w:after="40"/>
      </w:pPr>
      <w:r>
        <w:t>5.  Total Years of Experience — Less-experienced employees are more likely to leave</w:t>
      </w:r>
    </w:p>
    <w:p w14:paraId="0D0C332E" w14:textId="77777777" w:rsidR="009A7760" w:rsidRDefault="00000000">
      <w:pPr>
        <w:pStyle w:val="ListParagraph"/>
        <w:numPr>
          <w:ilvl w:val="0"/>
          <w:numId w:val="2"/>
        </w:numPr>
        <w:spacing w:before="40" w:after="40"/>
      </w:pPr>
      <w:r>
        <w:t>6.  Years Since Last Promotion — Employees who haven't been promoted recently are more likely to exit</w:t>
      </w:r>
    </w:p>
    <w:p w14:paraId="28142B07" w14:textId="77777777" w:rsidR="009A7760" w:rsidRDefault="009A7760">
      <w:pPr>
        <w:spacing w:before="200"/>
      </w:pPr>
    </w:p>
    <w:p w14:paraId="28C371AD" w14:textId="77777777" w:rsidR="009A7760" w:rsidRDefault="00000000">
      <w:pPr>
        <w:pStyle w:val="Heading2"/>
      </w:pPr>
      <w:r>
        <w:t>Is It Just About Salary?</w:t>
      </w:r>
    </w:p>
    <w:p w14:paraId="6CECD449" w14:textId="77777777" w:rsidR="009A7760" w:rsidRDefault="00000000">
      <w:pPr>
        <w:spacing w:before="60" w:after="60"/>
      </w:pPr>
      <w:r>
        <w:t>Salary matters, but it is not the whole story. Employees who left earned on average $4,787 per month compared to $6,833 for those who stayed — a 30% gap. However, our model shows that overtime burden, job role, and lack of promotion are equally or more powerful predictors than salary alone.</w:t>
      </w:r>
    </w:p>
    <w:p w14:paraId="5498D793" w14:textId="77777777" w:rsidR="009A7760" w:rsidRDefault="00000000">
      <w:pPr>
        <w:spacing w:before="60" w:after="60"/>
      </w:pPr>
      <w:r>
        <w:t>A blanket pay raise would not solve this problem. Targeted interventions — by role and by cause — will.</w:t>
      </w:r>
    </w:p>
    <w:p w14:paraId="06930157" w14:textId="77777777" w:rsidR="009A7760" w:rsidRDefault="009A7760">
      <w:pPr>
        <w:spacing w:before="240"/>
      </w:pPr>
    </w:p>
    <w:p w14:paraId="50A71F67" w14:textId="77777777" w:rsidR="009A7760" w:rsidRDefault="00000000">
      <w:pPr>
        <w:pStyle w:val="Heading1"/>
      </w:pPr>
      <w:r>
        <w:t>What HR Should Do — 2 Concrete Actions</w:t>
      </w:r>
    </w:p>
    <w:p w14:paraId="366C801F" w14:textId="77777777" w:rsidR="009A7760" w:rsidRDefault="00000000">
      <w:pPr>
        <w:pStyle w:val="Heading2"/>
      </w:pPr>
      <w:r>
        <w:t>Action 1: Overtime Audit (Implement within 30 days)</w:t>
      </w:r>
    </w:p>
    <w:p w14:paraId="7B7BE699" w14:textId="77777777" w:rsidR="009A7760" w:rsidRDefault="00000000">
      <w:pPr>
        <w:spacing w:before="60" w:after="60"/>
      </w:pPr>
      <w:r>
        <w:t>Identify every team where employees are regularly working overtime. The data shows this is the single most controllable risk factor. Recommended steps:</w:t>
      </w:r>
    </w:p>
    <w:p w14:paraId="5B4A6468" w14:textId="77777777" w:rsidR="009A7760" w:rsidRDefault="00000000">
      <w:pPr>
        <w:pStyle w:val="ListParagraph"/>
        <w:numPr>
          <w:ilvl w:val="0"/>
          <w:numId w:val="2"/>
        </w:numPr>
        <w:spacing w:before="40" w:after="40"/>
      </w:pPr>
      <w:r>
        <w:t>Pull overtime data by department and team for the last 6 months</w:t>
      </w:r>
    </w:p>
    <w:p w14:paraId="4FFAC81E" w14:textId="77777777" w:rsidR="009A7760" w:rsidRDefault="00000000">
      <w:pPr>
        <w:pStyle w:val="ListParagraph"/>
        <w:numPr>
          <w:ilvl w:val="0"/>
          <w:numId w:val="2"/>
        </w:numPr>
        <w:spacing w:before="40" w:after="40"/>
      </w:pPr>
      <w:r>
        <w:t>Flag any individual working overtime more than 2 days per week consistently</w:t>
      </w:r>
    </w:p>
    <w:p w14:paraId="62DBF4AC" w14:textId="77777777" w:rsidR="009A7760" w:rsidRDefault="00000000">
      <w:pPr>
        <w:pStyle w:val="ListParagraph"/>
        <w:numPr>
          <w:ilvl w:val="0"/>
          <w:numId w:val="2"/>
        </w:numPr>
        <w:spacing w:before="40" w:after="40"/>
      </w:pPr>
      <w:r>
        <w:t>Introduce overtime caps, or compensate with flex days and time-off in lieu</w:t>
      </w:r>
    </w:p>
    <w:p w14:paraId="2B465928" w14:textId="77777777" w:rsidR="009A7760" w:rsidRDefault="00000000">
      <w:pPr>
        <w:pStyle w:val="ListParagraph"/>
        <w:numPr>
          <w:ilvl w:val="0"/>
          <w:numId w:val="2"/>
        </w:numPr>
        <w:spacing w:before="40" w:after="40"/>
      </w:pPr>
      <w:r>
        <w:t>Conduct a 1:1 conversation with the top 20 highest-overtime employees in Sales and R&amp;D</w:t>
      </w:r>
    </w:p>
    <w:p w14:paraId="44D711DF" w14:textId="77777777" w:rsidR="009A7760" w:rsidRDefault="00000000">
      <w:pPr>
        <w:spacing w:before="60" w:after="60"/>
      </w:pPr>
      <w:r>
        <w:t>Expected impact: Reducing chronic overtime could lower attrition in high-risk teams by an estimated 5–8%.</w:t>
      </w:r>
    </w:p>
    <w:p w14:paraId="09D576A6" w14:textId="77777777" w:rsidR="009A7760" w:rsidRDefault="00000000">
      <w:pPr>
        <w:pStyle w:val="Heading2"/>
      </w:pPr>
      <w:r>
        <w:t>Action 2: First-Year Retention Programme (Launch within 60 days)</w:t>
      </w:r>
    </w:p>
    <w:p w14:paraId="5D358197" w14:textId="77777777" w:rsidR="009A7760" w:rsidRDefault="00000000">
      <w:pPr>
        <w:spacing w:before="60" w:after="60"/>
      </w:pPr>
      <w:r>
        <w:t>Attrition is highest in the first 1–2 years of employment — this is when employees are most vulnerable to leaving. A structured programme targeted at new joiners in Sales Representative and Laboratory Technician roles should include:</w:t>
      </w:r>
    </w:p>
    <w:p w14:paraId="68B95C0A" w14:textId="77777777" w:rsidR="009A7760" w:rsidRDefault="00000000">
      <w:pPr>
        <w:pStyle w:val="ListParagraph"/>
        <w:numPr>
          <w:ilvl w:val="0"/>
          <w:numId w:val="2"/>
        </w:numPr>
        <w:spacing w:before="40" w:after="40"/>
      </w:pPr>
      <w:r>
        <w:t>A dedicated manager check-in at 30, 60, and 90 days</w:t>
      </w:r>
    </w:p>
    <w:p w14:paraId="2A0CD1D6" w14:textId="77777777" w:rsidR="009A7760" w:rsidRDefault="00000000">
      <w:pPr>
        <w:pStyle w:val="ListParagraph"/>
        <w:numPr>
          <w:ilvl w:val="0"/>
          <w:numId w:val="2"/>
        </w:numPr>
        <w:spacing w:before="40" w:after="40"/>
      </w:pPr>
      <w:r>
        <w:t>A peer mentor buddy assigned within the first week</w:t>
      </w:r>
    </w:p>
    <w:p w14:paraId="48DACF4A" w14:textId="77777777" w:rsidR="009A7760" w:rsidRDefault="00000000">
      <w:pPr>
        <w:pStyle w:val="ListParagraph"/>
        <w:numPr>
          <w:ilvl w:val="0"/>
          <w:numId w:val="2"/>
        </w:numPr>
        <w:spacing w:before="40" w:after="40"/>
      </w:pPr>
      <w:r>
        <w:t>A clear 12-month career milestone conversation at the 6-month mark</w:t>
      </w:r>
    </w:p>
    <w:p w14:paraId="0D4F2DD7" w14:textId="77777777" w:rsidR="009A7760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A modest 12-month retention bonus (even $500–$1,000) signals investment in the employee</w:t>
      </w:r>
    </w:p>
    <w:p w14:paraId="319E506C" w14:textId="77777777" w:rsidR="009A7760" w:rsidRDefault="00000000">
      <w:pPr>
        <w:spacing w:before="60" w:after="60"/>
      </w:pPr>
      <w:r>
        <w:t>Expected impact: Research shows structured onboarding reduces first-year turnover by 20–50%.</w:t>
      </w:r>
    </w:p>
    <w:p w14:paraId="2180055F" w14:textId="77777777" w:rsidR="009A7760" w:rsidRDefault="009A7760">
      <w:pPr>
        <w:spacing w:before="240"/>
      </w:pPr>
    </w:p>
    <w:p w14:paraId="475AC196" w14:textId="77777777" w:rsidR="009A7760" w:rsidRDefault="00000000">
      <w:pPr>
        <w:pStyle w:val="Heading1"/>
      </w:pPr>
      <w:r>
        <w:t>A Note of Caution</w:t>
      </w:r>
    </w:p>
    <w:p w14:paraId="7FC17A8B" w14:textId="77777777" w:rsidR="009A7760" w:rsidRDefault="00000000">
      <w:pPr>
        <w:spacing w:before="60" w:after="60"/>
      </w:pPr>
      <w:r>
        <w:t>This model is a decision-support tool, not a replacement for human judgment. It identifies who is statistically similar to people who left in the past — it cannot know about a difficult personal situation, a recent team conflict, or a missed promotion that happened last week.</w:t>
      </w:r>
    </w:p>
    <w:p w14:paraId="3C872BA5" w14:textId="77777777" w:rsidR="009A7760" w:rsidRDefault="00000000">
      <w:pPr>
        <w:spacing w:before="60" w:after="60"/>
      </w:pPr>
      <w:r>
        <w:t>Use the model to prioritise which conversations to have and when — not as a definitive verdict. Always combine these risk scores with direct manager input before acting.</w:t>
      </w:r>
    </w:p>
    <w:p w14:paraId="28A22A3E" w14:textId="77777777" w:rsidR="009A7760" w:rsidRDefault="009A7760">
      <w:pPr>
        <w:spacing w:before="360"/>
      </w:pPr>
    </w:p>
    <w:p w14:paraId="703B4312" w14:textId="77777777" w:rsidR="009A7760" w:rsidRDefault="00000000">
      <w:pPr>
        <w:jc w:val="center"/>
      </w:pPr>
      <w:r>
        <w:rPr>
          <w:i/>
          <w:iCs/>
          <w:color w:val="9CA3AF"/>
          <w:sz w:val="18"/>
          <w:szCs w:val="18"/>
        </w:rPr>
        <w:t>— End of Report —</w:t>
      </w:r>
    </w:p>
    <w:sectPr w:rsidR="009A7760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9170E"/>
    <w:multiLevelType w:val="hybridMultilevel"/>
    <w:tmpl w:val="3D648B16"/>
    <w:lvl w:ilvl="0" w:tplc="4FD622BE">
      <w:start w:val="1"/>
      <w:numFmt w:val="bullet"/>
      <w:lvlText w:val="•"/>
      <w:lvlJc w:val="left"/>
      <w:pPr>
        <w:ind w:left="720" w:hanging="360"/>
      </w:pPr>
    </w:lvl>
    <w:lvl w:ilvl="1" w:tplc="1EE0D12E">
      <w:numFmt w:val="decimal"/>
      <w:lvlText w:val=""/>
      <w:lvlJc w:val="left"/>
    </w:lvl>
    <w:lvl w:ilvl="2" w:tplc="68C02DFE">
      <w:numFmt w:val="decimal"/>
      <w:lvlText w:val=""/>
      <w:lvlJc w:val="left"/>
    </w:lvl>
    <w:lvl w:ilvl="3" w:tplc="C1EAAE04">
      <w:numFmt w:val="decimal"/>
      <w:lvlText w:val=""/>
      <w:lvlJc w:val="left"/>
    </w:lvl>
    <w:lvl w:ilvl="4" w:tplc="74C8C19C">
      <w:numFmt w:val="decimal"/>
      <w:lvlText w:val=""/>
      <w:lvlJc w:val="left"/>
    </w:lvl>
    <w:lvl w:ilvl="5" w:tplc="0066B80A">
      <w:numFmt w:val="decimal"/>
      <w:lvlText w:val=""/>
      <w:lvlJc w:val="left"/>
    </w:lvl>
    <w:lvl w:ilvl="6" w:tplc="F8D6AB26">
      <w:numFmt w:val="decimal"/>
      <w:lvlText w:val=""/>
      <w:lvlJc w:val="left"/>
    </w:lvl>
    <w:lvl w:ilvl="7" w:tplc="3B164336">
      <w:numFmt w:val="decimal"/>
      <w:lvlText w:val=""/>
      <w:lvlJc w:val="left"/>
    </w:lvl>
    <w:lvl w:ilvl="8" w:tplc="E55E0AEC">
      <w:numFmt w:val="decimal"/>
      <w:lvlText w:val=""/>
      <w:lvlJc w:val="left"/>
    </w:lvl>
  </w:abstractNum>
  <w:abstractNum w:abstractNumId="1" w15:restartNumberingAfterBreak="0">
    <w:nsid w:val="79AC0325"/>
    <w:multiLevelType w:val="hybridMultilevel"/>
    <w:tmpl w:val="185CC16A"/>
    <w:lvl w:ilvl="0" w:tplc="8D22B9FE">
      <w:start w:val="1"/>
      <w:numFmt w:val="bullet"/>
      <w:lvlText w:val="●"/>
      <w:lvlJc w:val="left"/>
      <w:pPr>
        <w:ind w:left="720" w:hanging="360"/>
      </w:pPr>
    </w:lvl>
    <w:lvl w:ilvl="1" w:tplc="E6CCD188">
      <w:start w:val="1"/>
      <w:numFmt w:val="bullet"/>
      <w:lvlText w:val="○"/>
      <w:lvlJc w:val="left"/>
      <w:pPr>
        <w:ind w:left="1440" w:hanging="360"/>
      </w:pPr>
    </w:lvl>
    <w:lvl w:ilvl="2" w:tplc="F0241672">
      <w:start w:val="1"/>
      <w:numFmt w:val="bullet"/>
      <w:lvlText w:val="■"/>
      <w:lvlJc w:val="left"/>
      <w:pPr>
        <w:ind w:left="2160" w:hanging="360"/>
      </w:pPr>
    </w:lvl>
    <w:lvl w:ilvl="3" w:tplc="66D69646">
      <w:start w:val="1"/>
      <w:numFmt w:val="bullet"/>
      <w:lvlText w:val="●"/>
      <w:lvlJc w:val="left"/>
      <w:pPr>
        <w:ind w:left="2880" w:hanging="360"/>
      </w:pPr>
    </w:lvl>
    <w:lvl w:ilvl="4" w:tplc="A4D4F780">
      <w:start w:val="1"/>
      <w:numFmt w:val="bullet"/>
      <w:lvlText w:val="○"/>
      <w:lvlJc w:val="left"/>
      <w:pPr>
        <w:ind w:left="3600" w:hanging="360"/>
      </w:pPr>
    </w:lvl>
    <w:lvl w:ilvl="5" w:tplc="A7D4EB26">
      <w:start w:val="1"/>
      <w:numFmt w:val="bullet"/>
      <w:lvlText w:val="■"/>
      <w:lvlJc w:val="left"/>
      <w:pPr>
        <w:ind w:left="4320" w:hanging="360"/>
      </w:pPr>
    </w:lvl>
    <w:lvl w:ilvl="6" w:tplc="B0C29F24">
      <w:start w:val="1"/>
      <w:numFmt w:val="bullet"/>
      <w:lvlText w:val="●"/>
      <w:lvlJc w:val="left"/>
      <w:pPr>
        <w:ind w:left="5040" w:hanging="360"/>
      </w:pPr>
    </w:lvl>
    <w:lvl w:ilvl="7" w:tplc="CB2A7D52">
      <w:start w:val="1"/>
      <w:numFmt w:val="bullet"/>
      <w:lvlText w:val="●"/>
      <w:lvlJc w:val="left"/>
      <w:pPr>
        <w:ind w:left="5760" w:hanging="360"/>
      </w:pPr>
    </w:lvl>
    <w:lvl w:ilvl="8" w:tplc="21089884">
      <w:start w:val="1"/>
      <w:numFmt w:val="bullet"/>
      <w:lvlText w:val="●"/>
      <w:lvlJc w:val="left"/>
      <w:pPr>
        <w:ind w:left="6480" w:hanging="360"/>
      </w:pPr>
    </w:lvl>
  </w:abstractNum>
  <w:num w:numId="1" w16cid:durableId="211889718">
    <w:abstractNumId w:val="1"/>
    <w:lvlOverride w:ilvl="0">
      <w:startOverride w:val="1"/>
    </w:lvlOverride>
  </w:num>
  <w:num w:numId="2" w16cid:durableId="3690334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760"/>
    <w:rsid w:val="00717133"/>
    <w:rsid w:val="009A7760"/>
    <w:rsid w:val="00C72F60"/>
    <w:rsid w:val="00F71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C76B8"/>
  <w15:docId w15:val="{3A435639-FFCB-43A1-8EF5-FA13D06A8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E40A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374151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678</Words>
  <Characters>3866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Prashanth Reddy</cp:lastModifiedBy>
  <cp:revision>2</cp:revision>
  <dcterms:created xsi:type="dcterms:W3CDTF">2026-06-28T09:07:00Z</dcterms:created>
  <dcterms:modified xsi:type="dcterms:W3CDTF">2026-06-28T11:51:00Z</dcterms:modified>
</cp:coreProperties>
</file>