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60"/>
      </w:pPr>
      <w:r>
        <w:t xml:space="preserve">Sales Forecasting &amp; Demand Intelligence</w:t>
      </w:r>
    </w:p>
    <w:p>
      <w:pPr>
        <w:spacing w:after="200"/>
      </w:pPr>
      <w:r>
        <w:rPr>
          <w:i/>
          <w:iCs/>
          <w:color w:val="555555"/>
        </w:rPr>
        <w:t xml:space="preserve">Executive Summary — Prepared for Head of Supply Chain &amp; CFO</w:t>
      </w:r>
    </w:p>
    <w:p>
      <w:pPr>
        <w:pStyle w:val="Heading2"/>
        <w:spacing w:after="100" w:before="160"/>
      </w:pPr>
      <w:r>
        <w:t xml:space="preserve">Executive Summary</w:t>
      </w:r>
    </w:p>
    <w:p>
      <w:pPr>
        <w:spacing w:after="120"/>
      </w:pPr>
      <w:r>
        <w:t xml:space="preserve">Over the past four years our sales have grown overall, but they swing heavily with the seasons: September through December is consistently the strongest stretch, driven by back-to-school and year-end holiday buying, while January and February are reliably the slowest months. We built and compared three different forecasting approaches and found a machine-learning model (XGBoost) gives the most accurate 3-month forecast. We also built automatic tools to flag unusual sales weeks and to group our products into four demand patterns, so stocking decisions can be tailored instead of one-size-fits-all. The net result: a repeatable system that turns four years of order history into a concrete, monthly restocking plan.</w:t>
      </w:r>
    </w:p>
    <w:p>
      <w:pPr>
        <w:pStyle w:val="Heading2"/>
        <w:spacing w:after="100" w:before="160"/>
      </w:pPr>
      <w:r>
        <w:t xml:space="preserve">Key Findings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Technology is our top revenue-generating category ($827K), narrowly ahead of Furniture ($729K) and Office Supplies ($705K).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 East region shows the most consistent year-over-year growth — sales rose every single year from 2015 to 2018.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Seasonality is strong: November and December sales run 3-5x higher than the January/February low, every year without exception.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Average delivery time is about 4 days company-wide and does not meaningfully differ by region — this points to a company-wide shipping policy rather than a regional bottleneck.</w:t>
      </w:r>
    </w:p>
    <w:p>
      <w:pPr>
        <w:spacing w:after="160"/>
        <w:jc w:val="center"/>
      </w:pPr>
      <w:r>
        <w:drawing>
          <wp:inline distT="0" distB="0" distL="0" distR="0">
            <wp:extent cx="5524500" cy="23050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2305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100" w:before="160"/>
      </w:pPr>
      <w:r>
        <w:t xml:space="preserve">3-Month Sales Forecast</w:t>
      </w:r>
    </w:p>
    <w:p>
      <w:pPr>
        <w:spacing w:after="120"/>
      </w:pPr>
      <w:r>
        <w:t xml:space="preserve">We tested three forecasting methods on a held-out 3-month window to see which best predicts sales it hadn't seen yet: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1300"/>
        <w:gridCol w:w="1300"/>
        <w:gridCol w:w="1200"/>
        <w:gridCol w:w="1500"/>
        <w:gridCol w:w="1500"/>
        <w:gridCol w:w="1500"/>
      </w:tblGrid>
      <w:tr>
        <w:tc>
          <w:tcPr>
            <w:tcW w:type="dxa" w:w="1300"/>
            <w:shd w:fill="2F5496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Model</w:t>
            </w:r>
          </w:p>
        </w:tc>
        <w:tc>
          <w:tcPr>
            <w:tcW w:type="dxa" w:w="1300"/>
            <w:shd w:fill="2F5496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MAE</w:t>
            </w:r>
          </w:p>
        </w:tc>
        <w:tc>
          <w:tcPr>
            <w:tcW w:type="dxa" w:w="1300"/>
            <w:shd w:fill="2F5496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RMSE</w:t>
            </w:r>
          </w:p>
        </w:tc>
        <w:tc>
          <w:tcPr>
            <w:tcW w:type="dxa" w:w="1200"/>
            <w:shd w:fill="2F5496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MAPE</w:t>
            </w:r>
          </w:p>
        </w:tc>
        <w:tc>
          <w:tcPr>
            <w:tcW w:type="dxa" w:w="1500"/>
            <w:shd w:fill="2F5496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Fcst M1</w:t>
            </w:r>
          </w:p>
        </w:tc>
        <w:tc>
          <w:tcPr>
            <w:tcW w:type="dxa" w:w="1500"/>
            <w:shd w:fill="2F5496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Fcst M2</w:t>
            </w:r>
          </w:p>
        </w:tc>
        <w:tc>
          <w:tcPr>
            <w:tcW w:type="dxa" w:w="1500"/>
            <w:shd w:fill="2F5496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Fcst M3</w:t>
            </w:r>
          </w:p>
        </w:tc>
      </w:tr>
      <w:tr>
        <w:tc>
          <w:tcPr>
            <w:tcW w:type="dxa" w:w="13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SARIMA</w:t>
            </w:r>
          </w:p>
        </w:tc>
        <w:tc>
          <w:tcPr>
            <w:tcW w:type="dxa" w:w="13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$20,581</w:t>
            </w:r>
          </w:p>
        </w:tc>
        <w:tc>
          <w:tcPr>
            <w:tcW w:type="dxa" w:w="13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$22,191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21.9%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$54,758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$88,414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$92,558</w:t>
            </w:r>
          </w:p>
        </w:tc>
      </w:tr>
      <w:tr>
        <w:tc>
          <w:tcPr>
            <w:tcW w:type="dxa" w:w="13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Prophet</w:t>
            </w:r>
          </w:p>
        </w:tc>
        <w:tc>
          <w:tcPr>
            <w:tcW w:type="dxa" w:w="13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$20,296</w:t>
            </w:r>
          </w:p>
        </w:tc>
        <w:tc>
          <w:tcPr>
            <w:tcW w:type="dxa" w:w="13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$22,487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21.9%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$51,084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$90,045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$89,661</w:t>
            </w:r>
          </w:p>
        </w:tc>
      </w:tr>
      <w:tr>
        <w:tc>
          <w:tcPr>
            <w:tcW w:type="dxa" w:w="13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XGBoost ✓</w:t>
            </w:r>
          </w:p>
        </w:tc>
        <w:tc>
          <w:tcPr>
            <w:tcW w:type="dxa" w:w="13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$18,710</w:t>
            </w:r>
          </w:p>
        </w:tc>
        <w:tc>
          <w:tcPr>
            <w:tcW w:type="dxa" w:w="13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$20,853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19.1%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$68,953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$87,130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$66,202</w:t>
            </w:r>
          </w:p>
        </w:tc>
      </w:tr>
    </w:tbl>
    <w:p>
      <w:pPr>
        <w:spacing w:after="120"/>
      </w:pPr>
    </w:p>
    <w:p>
      <w:pPr>
        <w:spacing w:after="120"/>
      </w:pPr>
      <w:r>
        <w:t xml:space="preserve">XGBoost was the most accurate of the three and is our recommended model going forward. In plain terms: after the December peak, company-wide sales are expected to dip into the new year before picking back up — this is the normal seasonal pattern, not a red flag. The forecast comes with a reasonable margin of error (roughly 19% average deviation), so we recommend treating it as a planning guide, refreshed monthly, rather than an exact number.</w:t>
      </w:r>
    </w:p>
    <w:p>
      <w:pPr>
        <w:pStyle w:val="Heading2"/>
        <w:spacing w:after="100" w:before="160"/>
      </w:pPr>
      <w:r>
        <w:t xml:space="preserve">Top Anomalies Detected &amp; Likely Cause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Week of Mar 22, 2015 — sales spiked to over 30x a typical week, most likely one very large single order (e.g., a bulk furniture or technology purchase) rather than a broad demand shift.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Week of Sep 13, 2015 — an unusually large spike consistent with an early-autumn promotional push or a large B2B order.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Weeks in early Feb 2015 — unusually quiet weeks, consistent with the well-known post-holiday lull.</w:t>
      </w:r>
    </w:p>
    <w:p>
      <w:pPr>
        <w:spacing w:after="160"/>
        <w:jc w:val="center"/>
      </w:pPr>
      <w:r>
        <w:drawing>
          <wp:inline distT="0" distB="0" distL="0" distR="0">
            <wp:extent cx="5524500" cy="2124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2124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100" w:before="160"/>
      </w:pPr>
      <w:r>
        <w:t xml:space="preserve">Product Demand Segmentation &amp; Stocking Strategy</w:t>
      </w:r>
    </w:p>
    <w:p>
      <w:pPr>
        <w:spacing w:after="120"/>
      </w:pPr>
      <w:r>
        <w:t xml:space="preserve">We grouped our 17 product sub-categories into four demand patterns based on sales volume, growth rate, volatility, and typical order size: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00"/>
        <w:gridCol w:w="3400"/>
      </w:tblGrid>
      <w:tr>
        <w:tc>
          <w:tcPr>
            <w:tcW w:type="dxa" w:w="2400"/>
            <w:shd w:fill="2F5496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Segment</w:t>
            </w:r>
          </w:p>
        </w:tc>
        <w:tc>
          <w:tcPr>
            <w:tcW w:type="dxa" w:w="3400"/>
            <w:shd w:fill="2F5496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Demand Pattern</w:t>
            </w:r>
          </w:p>
        </w:tc>
        <w:tc>
          <w:tcPr>
            <w:tcW w:type="dxa" w:w="3400"/>
            <w:shd w:fill="2F5496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Recommended Stocking Strategy</w:t>
            </w:r>
          </w:p>
        </w:tc>
      </w:tr>
      <w:tr>
        <w:tc>
          <w:tcPr>
            <w:tcW w:type="dxa" w:w="24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Low Volume, Stable
(Bookcases, Labels, Art, Paper, etc.)</w:t>
            </w:r>
          </w:p>
        </w:tc>
        <w:tc>
          <w:tcPr>
            <w:tcW w:type="dxa" w:w="34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Predictable, low volatility</w:t>
            </w:r>
          </w:p>
        </w:tc>
        <w:tc>
          <w:tcPr>
            <w:tcW w:type="dxa" w:w="34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Keep lean; standard reorder points, minimal safety stock</w:t>
            </w:r>
          </w:p>
        </w:tc>
      </w:tr>
      <w:tr>
        <w:tc>
          <w:tcPr>
            <w:tcW w:type="dxa" w:w="24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Declining, High-Value
(Machines)</w:t>
            </w:r>
          </w:p>
        </w:tc>
        <w:tc>
          <w:tcPr>
            <w:tcW w:type="dxa" w:w="34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Shrinking demand, big-ticket orders</w:t>
            </w:r>
          </w:p>
        </w:tc>
        <w:tc>
          <w:tcPr>
            <w:tcW w:type="dxa" w:w="34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Reduce committed inventory; shift toward made-to-order</w:t>
            </w:r>
          </w:p>
        </w:tc>
      </w:tr>
      <w:tr>
        <w:tc>
          <w:tcPr>
            <w:tcW w:type="dxa" w:w="24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High Volume, Growing
(Chairs, Tables, Storage, Phones, Binders)</w:t>
            </w:r>
          </w:p>
        </w:tc>
        <w:tc>
          <w:tcPr>
            <w:tcW w:type="dxa" w:w="34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Core, healthy growth</w:t>
            </w:r>
          </w:p>
        </w:tc>
        <w:tc>
          <w:tcPr>
            <w:tcW w:type="dxa" w:w="34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Prioritize warehouse space and safety stock as they scale</w:t>
            </w:r>
          </w:p>
        </w:tc>
      </w:tr>
      <w:tr>
        <w:tc>
          <w:tcPr>
            <w:tcW w:type="dxa" w:w="24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Explosive Growth
(Copiers)</w:t>
            </w:r>
          </w:p>
        </w:tc>
        <w:tc>
          <w:tcPr>
            <w:tcW w:type="dxa" w:w="34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Very high value, infrequent, volatile</w:t>
            </w:r>
          </w:p>
        </w:tc>
        <w:tc>
          <w:tcPr>
            <w:tcW w:type="dxa" w:w="34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Track closely; moderate safety stock, strong supplier ties</w:t>
            </w:r>
          </w:p>
        </w:tc>
      </w:tr>
    </w:tbl>
    <w:p>
      <w:r>
        <w:br/>
        <w:t xml:space="preserve"/>
      </w:r>
    </w:p>
    <w:p>
      <w:pPr>
        <w:pStyle w:val="Heading2"/>
        <w:spacing w:after="100" w:before="160"/>
      </w:pPr>
      <w:r>
        <w:t xml:space="preserve">Business Recommendations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Shift safety stock toward Sep-Dec: since sales in this window are consistently 3-5x the January low every year, pre-positioning inventory ahead of September avoids the stockout risk that a flat, year-round stocking plan would create.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Move Copiers and Machines to a more made-to-order/just-in-time model: both show high volatility and either explosive growth (Copiers, +480%) or decline (Machines, -30%), so holding large fixed stock ties up capital without matching how erratically these categories actually sell.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Prioritize warehouse investment in Chairs, Tables, Storage, Phones, and Binders: this cluster combines high volume with healthy, steady growth, making it the safest place to expand stocking capacity for immediate ROI.</w:t>
      </w:r>
    </w:p>
    <w:p>
      <w:pPr>
        <w:pStyle w:val="Heading2"/>
        <w:spacing w:after="100" w:before="160"/>
      </w:pPr>
      <w:r>
        <w:t xml:space="preserve">Risks &amp; Limitations</w:t>
      </w:r>
    </w:p>
    <w:p>
      <w:pPr>
        <w:spacing w:after="120"/>
      </w:pPr>
      <w:r>
        <w:t xml:space="preserve">This system is trained on four years of historical data from one retailer; it does not know about future one-off events (new competitors, supply shocks, marketing campaigns) unless we retrain it regularly with fresh data. The 3-month forecast's ~19% average error means it should inform decisions, not replace judgment — especially for any single very large order, which our anomaly detection shows can swing a week's sales by 10-30x on its own.</w:t>
      </w:r>
    </w:p>
    <w:sectPr>
      <w:headerReference w:type="default" r:id="rId7"/>
      <w:footerReference w:type="default" r:id="rId8"/>
      <w:pgSz w:w="12240" w:h="15840" w:orient="portrait"/>
      <w:pgMar w:top="900" w:right="1000" w:bottom="9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rPr>
        <w:color w:val="888888"/>
        <w:sz w:val="16"/>
        <w:szCs w:val="16"/>
      </w:rPr>
      <w:t xml:space="preserve">Sales Forecasting &amp; Demand Intelligence — Executive Summary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ba18f64237de33a3a7b8214bd37b50c17e3b3c8e.png"/><Relationship Id="rId10" Type="http://schemas.openxmlformats.org/officeDocument/2006/relationships/image" Target="media/a10f03ca681f50c4d5b7d5850281395d0813a970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2026-07-11T17:43:35.803Z</dcterms:created>
  <dcterms:modified xsi:type="dcterms:W3CDTF">2026-07-11T17:43:35.803Z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