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200"/>
      </w:tblGrid>
      <w:tr w:rsidR="00604E29" w14:paraId="259A5833" w14:textId="77777777" w:rsidTr="00E24A24">
        <w:tc>
          <w:tcPr>
            <w:tcW w:w="2830" w:type="dxa"/>
          </w:tcPr>
          <w:p w14:paraId="42F84784" w14:textId="77777777" w:rsidR="00604E29" w:rsidRDefault="00000000">
            <w:r>
              <w:t>Date</w:t>
            </w:r>
          </w:p>
        </w:tc>
        <w:tc>
          <w:tcPr>
            <w:tcW w:w="6200" w:type="dxa"/>
          </w:tcPr>
          <w:p w14:paraId="49DC5AF5" w14:textId="0840042F" w:rsidR="00604E29" w:rsidRDefault="00A250B7">
            <w:r>
              <w:t>2</w:t>
            </w:r>
            <w:r w:rsidR="00BF2950">
              <w:t>2</w:t>
            </w:r>
            <w:r>
              <w:t xml:space="preserve"> June</w:t>
            </w:r>
            <w:r w:rsidR="00C27B72" w:rsidRPr="00C27B72">
              <w:t xml:space="preserve"> 2025</w:t>
            </w:r>
          </w:p>
        </w:tc>
      </w:tr>
      <w:tr w:rsidR="00604E29" w14:paraId="7A66939B" w14:textId="77777777" w:rsidTr="00E24A24">
        <w:tc>
          <w:tcPr>
            <w:tcW w:w="2830" w:type="dxa"/>
          </w:tcPr>
          <w:p w14:paraId="2D366549" w14:textId="77777777" w:rsidR="00604E29" w:rsidRDefault="00000000">
            <w:r>
              <w:t>Team ID</w:t>
            </w:r>
          </w:p>
        </w:tc>
        <w:tc>
          <w:tcPr>
            <w:tcW w:w="6200" w:type="dxa"/>
          </w:tcPr>
          <w:p w14:paraId="1AD8634F" w14:textId="7D815AEC" w:rsidR="00604E29" w:rsidRDefault="00E24A24">
            <w:r w:rsidRPr="004518BB">
              <w:t>LTVIP2025TMID55793</w:t>
            </w:r>
          </w:p>
        </w:tc>
      </w:tr>
      <w:tr w:rsidR="00E24A24" w14:paraId="0E84FB5D" w14:textId="77777777" w:rsidTr="00E24A24">
        <w:tc>
          <w:tcPr>
            <w:tcW w:w="2830" w:type="dxa"/>
          </w:tcPr>
          <w:p w14:paraId="4C398D34" w14:textId="77777777" w:rsidR="00E24A24" w:rsidRDefault="00E24A24" w:rsidP="00E24A24">
            <w:r>
              <w:t>Project Name</w:t>
            </w:r>
          </w:p>
        </w:tc>
        <w:tc>
          <w:tcPr>
            <w:tcW w:w="6200" w:type="dxa"/>
          </w:tcPr>
          <w:p w14:paraId="56EAF34F" w14:textId="45CF320E" w:rsidR="00E24A24" w:rsidRDefault="00E24A24" w:rsidP="00E24A24">
            <w:r w:rsidRPr="004518BB">
              <w:t>FreelanceFinder: Discovering Opportunities, Unlocking Potential</w:t>
            </w:r>
          </w:p>
        </w:tc>
      </w:tr>
      <w:tr w:rsidR="00E24A24" w14:paraId="271BDBA3" w14:textId="77777777" w:rsidTr="00E24A24">
        <w:tc>
          <w:tcPr>
            <w:tcW w:w="2830" w:type="dxa"/>
          </w:tcPr>
          <w:p w14:paraId="1EABD436" w14:textId="77777777" w:rsidR="00E24A24" w:rsidRDefault="00E24A24" w:rsidP="00E24A24">
            <w:r>
              <w:t>Maximum Marks</w:t>
            </w:r>
          </w:p>
        </w:tc>
        <w:tc>
          <w:tcPr>
            <w:tcW w:w="6200" w:type="dxa"/>
          </w:tcPr>
          <w:p w14:paraId="40F8E2A6" w14:textId="080B1153" w:rsidR="00E24A24" w:rsidRDefault="00E24A24" w:rsidP="00E24A24">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3"/>
        <w:gridCol w:w="2558"/>
        <w:gridCol w:w="6012"/>
      </w:tblGrid>
      <w:tr w:rsidR="00604E29" w14:paraId="7DF0631E" w14:textId="77777777" w:rsidTr="00557A48">
        <w:trPr>
          <w:trHeight w:val="582"/>
        </w:trPr>
        <w:tc>
          <w:tcPr>
            <w:tcW w:w="923" w:type="dxa"/>
          </w:tcPr>
          <w:p w14:paraId="665E64AC" w14:textId="77777777" w:rsidR="00604E29" w:rsidRDefault="00000000">
            <w:pPr>
              <w:rPr>
                <w:b/>
              </w:rPr>
            </w:pPr>
            <w:r>
              <w:rPr>
                <w:b/>
              </w:rPr>
              <w:t>S.No.</w:t>
            </w:r>
          </w:p>
        </w:tc>
        <w:tc>
          <w:tcPr>
            <w:tcW w:w="2558" w:type="dxa"/>
          </w:tcPr>
          <w:p w14:paraId="4E4913CB" w14:textId="77777777" w:rsidR="00604E29" w:rsidRDefault="00000000">
            <w:pPr>
              <w:rPr>
                <w:b/>
              </w:rPr>
            </w:pPr>
            <w:r>
              <w:rPr>
                <w:b/>
              </w:rPr>
              <w:t>Parameter</w:t>
            </w:r>
          </w:p>
        </w:tc>
        <w:tc>
          <w:tcPr>
            <w:tcW w:w="6012" w:type="dxa"/>
          </w:tcPr>
          <w:p w14:paraId="64892F81" w14:textId="77777777" w:rsidR="00604E29" w:rsidRDefault="00000000">
            <w:pPr>
              <w:rPr>
                <w:b/>
              </w:rPr>
            </w:pPr>
            <w:r>
              <w:rPr>
                <w:b/>
              </w:rPr>
              <w:t>Description</w:t>
            </w:r>
          </w:p>
        </w:tc>
      </w:tr>
      <w:tr w:rsidR="00604E29" w14:paraId="18A0953A" w14:textId="77777777" w:rsidTr="00557A48">
        <w:trPr>
          <w:trHeight w:val="855"/>
        </w:trPr>
        <w:tc>
          <w:tcPr>
            <w:tcW w:w="923"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3FF28270" w14:textId="77777777" w:rsidR="00604E29" w:rsidRDefault="00000000">
            <w:r>
              <w:rPr>
                <w:color w:val="222222"/>
              </w:rPr>
              <w:t>Problem Statement (Problem to be solved)</w:t>
            </w:r>
          </w:p>
        </w:tc>
        <w:tc>
          <w:tcPr>
            <w:tcW w:w="6012" w:type="dxa"/>
          </w:tcPr>
          <w:p w14:paraId="5582DE8C" w14:textId="2477EEB4" w:rsidR="00604E29" w:rsidRDefault="00557A48" w:rsidP="00557A48">
            <w:pPr>
              <w:spacing w:before="80" w:after="80"/>
            </w:pPr>
            <w:r w:rsidRPr="00557A48">
              <w:t>Many skilled individuals struggle to find freelance opportunities that align with their expertise, while clients face challenges finding reliable freelancers. There is a need for a centralized, secure, and user-friendly platform that connects freelancers and clients efficiently.</w:t>
            </w:r>
          </w:p>
        </w:tc>
      </w:tr>
      <w:tr w:rsidR="00604E29" w14:paraId="6F005075" w14:textId="77777777" w:rsidTr="00557A48">
        <w:trPr>
          <w:trHeight w:val="855"/>
        </w:trPr>
        <w:tc>
          <w:tcPr>
            <w:tcW w:w="923"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2E5677B7" w14:textId="77777777" w:rsidR="00604E29" w:rsidRDefault="00000000">
            <w:r>
              <w:rPr>
                <w:color w:val="222222"/>
              </w:rPr>
              <w:t>Idea / Solution description</w:t>
            </w:r>
          </w:p>
        </w:tc>
        <w:tc>
          <w:tcPr>
            <w:tcW w:w="6012" w:type="dxa"/>
          </w:tcPr>
          <w:p w14:paraId="463B60E0" w14:textId="4BAF2E9B" w:rsidR="00604E29" w:rsidRDefault="00557A48" w:rsidP="00557A48">
            <w:pPr>
              <w:spacing w:before="80" w:after="80"/>
            </w:pPr>
            <w:r w:rsidRPr="00557A48">
              <w:t>SB Works is an intuitive freelancing platform that bridges the gap between clients and freelancers. Clients can post diverse projects and select freelancers based on skills and past work. Freelancers can bid on projects, collaborate with clients, and submit work—all through one streamlined platform with integrated communication, secure transactions, and real-time updates.</w:t>
            </w:r>
          </w:p>
        </w:tc>
      </w:tr>
      <w:tr w:rsidR="00604E29" w14:paraId="58329B4D" w14:textId="77777777" w:rsidTr="00557A48">
        <w:trPr>
          <w:trHeight w:val="823"/>
        </w:trPr>
        <w:tc>
          <w:tcPr>
            <w:tcW w:w="923"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0CE12A68" w14:textId="77777777" w:rsidR="00604E29" w:rsidRDefault="00000000">
            <w:r>
              <w:rPr>
                <w:color w:val="222222"/>
              </w:rPr>
              <w:t xml:space="preserve">Novelty / Uniqueness </w:t>
            </w:r>
          </w:p>
        </w:tc>
        <w:tc>
          <w:tcPr>
            <w:tcW w:w="6012" w:type="dxa"/>
          </w:tcPr>
          <w:p w14:paraId="352499F2" w14:textId="77B1AB56" w:rsidR="00604E29" w:rsidRDefault="00557A48" w:rsidP="00557A48">
            <w:pPr>
              <w:spacing w:before="80" w:after="80"/>
            </w:pPr>
            <w:r w:rsidRPr="00557A48">
              <w:t>Unlike generic freelancing platforms, SB Works offers real-time notifications, integrated chat, a dedicated admin team for dispute resolution and quality checks, and a simplified workflow for project submission and review. It also provides a strong verification mechanism for both clients and freelancers, enhancing trust.</w:t>
            </w:r>
          </w:p>
        </w:tc>
      </w:tr>
      <w:tr w:rsidR="00604E29" w14:paraId="3D9C92C5" w14:textId="77777777" w:rsidTr="00557A48">
        <w:trPr>
          <w:trHeight w:val="855"/>
        </w:trPr>
        <w:tc>
          <w:tcPr>
            <w:tcW w:w="923"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5282EBA1" w14:textId="77777777" w:rsidR="00604E29" w:rsidRDefault="00000000">
            <w:r>
              <w:rPr>
                <w:color w:val="222222"/>
              </w:rPr>
              <w:t>Social Impact / Customer Satisfaction</w:t>
            </w:r>
          </w:p>
        </w:tc>
        <w:tc>
          <w:tcPr>
            <w:tcW w:w="6012" w:type="dxa"/>
          </w:tcPr>
          <w:p w14:paraId="039671E8" w14:textId="3AAB4E27" w:rsidR="00604E29" w:rsidRDefault="00557A48" w:rsidP="00557A48">
            <w:pPr>
              <w:spacing w:before="80" w:after="80"/>
            </w:pPr>
            <w:r w:rsidRPr="00557A48">
              <w:t>SB Works empowers individuals, especially fresh graduates and underemployed talent, by providing them with a legitimate platform to build a career. It boosts employment, supports small businesses by connecting them to creative professionals, and fosters an ecosystem of mutual growth and customer satisfaction.</w:t>
            </w:r>
          </w:p>
        </w:tc>
      </w:tr>
      <w:tr w:rsidR="00604E29" w14:paraId="67441115" w14:textId="77777777" w:rsidTr="00557A48">
        <w:trPr>
          <w:trHeight w:val="855"/>
        </w:trPr>
        <w:tc>
          <w:tcPr>
            <w:tcW w:w="923"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27E95CC0" w14:textId="77777777" w:rsidR="00604E29" w:rsidRDefault="00000000">
            <w:r>
              <w:rPr>
                <w:color w:val="222222"/>
              </w:rPr>
              <w:t>Business Model (Revenue Model)</w:t>
            </w:r>
          </w:p>
        </w:tc>
        <w:tc>
          <w:tcPr>
            <w:tcW w:w="6012" w:type="dxa"/>
          </w:tcPr>
          <w:p w14:paraId="3E97F94F" w14:textId="5B8D62A5" w:rsidR="00557A48" w:rsidRDefault="00557A48" w:rsidP="00557A48">
            <w:pPr>
              <w:spacing w:before="80" w:after="80"/>
            </w:pPr>
            <w:r w:rsidRPr="00557A48">
              <w:t>SB Works can earn revenue through a commission on completed projects, subscription-based premium features (e.g., highlighted listings, advanced analytics), and featured ads for freelancers or clients. Additionally, platform monetization can include transaction charges or verification services.</w:t>
            </w:r>
          </w:p>
        </w:tc>
      </w:tr>
      <w:tr w:rsidR="00604E29" w14:paraId="2ECBCEA1" w14:textId="77777777" w:rsidTr="00557A48">
        <w:trPr>
          <w:trHeight w:val="855"/>
        </w:trPr>
        <w:tc>
          <w:tcPr>
            <w:tcW w:w="923"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558" w:type="dxa"/>
          </w:tcPr>
          <w:p w14:paraId="54EBFC13" w14:textId="77777777" w:rsidR="00604E29" w:rsidRDefault="00000000">
            <w:pPr>
              <w:rPr>
                <w:color w:val="222222"/>
              </w:rPr>
            </w:pPr>
            <w:r>
              <w:rPr>
                <w:color w:val="222222"/>
              </w:rPr>
              <w:t>Scalability of the Solution</w:t>
            </w:r>
          </w:p>
        </w:tc>
        <w:tc>
          <w:tcPr>
            <w:tcW w:w="6012" w:type="dxa"/>
          </w:tcPr>
          <w:p w14:paraId="7C323FF0" w14:textId="5A0E393E" w:rsidR="00557A48" w:rsidRDefault="00557A48" w:rsidP="00557A48">
            <w:pPr>
              <w:spacing w:before="80" w:after="80"/>
            </w:pPr>
            <w:r w:rsidRPr="00557A48">
              <w:t>The platform is designed using scalable technologies like Express.js and MongoDB. Its modular architecture supports onboarding a growing user base and expanding to new domains (e.g., content writing, marketing). With multilingual support and regional filters, it can easily scale across geographies and industries.</w:t>
            </w:r>
          </w:p>
        </w:tc>
      </w:tr>
    </w:tbl>
    <w:p w14:paraId="5BC2B474" w14:textId="77777777" w:rsidR="00604E29" w:rsidRDefault="00604E29" w:rsidP="00DC79ED"/>
    <w:sectPr w:rsidR="00604E29">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DEFD0" w14:textId="77777777" w:rsidR="00B9172F" w:rsidRDefault="00B9172F" w:rsidP="00DC79ED">
      <w:pPr>
        <w:spacing w:after="0" w:line="240" w:lineRule="auto"/>
      </w:pPr>
      <w:r>
        <w:separator/>
      </w:r>
    </w:p>
  </w:endnote>
  <w:endnote w:type="continuationSeparator" w:id="0">
    <w:p w14:paraId="224EFC49" w14:textId="77777777" w:rsidR="00B9172F" w:rsidRDefault="00B9172F" w:rsidP="00DC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23E43" w14:textId="77777777" w:rsidR="00B9172F" w:rsidRDefault="00B9172F" w:rsidP="00DC79ED">
      <w:pPr>
        <w:spacing w:after="0" w:line="240" w:lineRule="auto"/>
      </w:pPr>
      <w:r>
        <w:separator/>
      </w:r>
    </w:p>
  </w:footnote>
  <w:footnote w:type="continuationSeparator" w:id="0">
    <w:p w14:paraId="5E66D4C7" w14:textId="77777777" w:rsidR="00B9172F" w:rsidRDefault="00B9172F" w:rsidP="00DC7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265E7"/>
    <w:rsid w:val="00177405"/>
    <w:rsid w:val="00350B1D"/>
    <w:rsid w:val="003D40FB"/>
    <w:rsid w:val="00557A48"/>
    <w:rsid w:val="005A7278"/>
    <w:rsid w:val="005F11D8"/>
    <w:rsid w:val="00604E29"/>
    <w:rsid w:val="00770C34"/>
    <w:rsid w:val="00883F0D"/>
    <w:rsid w:val="00A250B7"/>
    <w:rsid w:val="00B9172F"/>
    <w:rsid w:val="00BF2950"/>
    <w:rsid w:val="00C27B72"/>
    <w:rsid w:val="00C72978"/>
    <w:rsid w:val="00D90E76"/>
    <w:rsid w:val="00DC79ED"/>
    <w:rsid w:val="00E24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DC7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9ED"/>
  </w:style>
  <w:style w:type="paragraph" w:styleId="Footer">
    <w:name w:val="footer"/>
    <w:basedOn w:val="Normal"/>
    <w:link w:val="FooterChar"/>
    <w:uiPriority w:val="99"/>
    <w:unhideWhenUsed/>
    <w:rsid w:val="00DC7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Yaswanth Kolapalli</cp:lastModifiedBy>
  <cp:revision>7</cp:revision>
  <cp:lastPrinted>2025-07-18T16:57:00Z</cp:lastPrinted>
  <dcterms:created xsi:type="dcterms:W3CDTF">2025-07-18T16:56:00Z</dcterms:created>
  <dcterms:modified xsi:type="dcterms:W3CDTF">2025-07-18T17:39:00Z</dcterms:modified>
</cp:coreProperties>
</file>