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sz w:val="22"/>
          <w:szCs w:val="22"/>
        </w:rPr>
        <w:t xml:space="preserve"> </w:t>
      </w:r>
    </w:p>
    <w:p>
      <w:pPr>
        <w:spacing w:after="60"/>
      </w:pPr>
      <w:r>
        <w:rPr>
          <w:sz w:val="22"/>
          <w:szCs w:val="22"/>
        </w:rPr>
        <w:t xml:space="preserve"> </w:t>
      </w:r>
    </w:p>
    <w:p>
      <w:pPr>
        <w:spacing w:before="600"/>
        <w:jc w:val="center"/>
      </w:pPr>
      <w:r>
        <w:rPr>
          <w:rFonts w:ascii="Arial" w:cs="Arial" w:eastAsia="Arial" w:hAnsi="Arial"/>
          <w:b/>
          <w:bCs/>
          <w:color w:val="0D1B2A"/>
          <w:sz w:val="64"/>
          <w:szCs w:val="64"/>
        </w:rPr>
        <w:t xml:space="preserve">PHARMA ACTION BUILDER</w:t>
      </w:r>
    </w:p>
    <w:p>
      <w:pPr>
        <w:jc w:val="center"/>
      </w:pPr>
      <w:r>
        <w:rPr>
          <w:rFonts w:ascii="Arial" w:cs="Arial" w:eastAsia="Arial" w:hAnsi="Arial"/>
          <w:color w:val="475569"/>
          <w:sz w:val="28"/>
          <w:szCs w:val="28"/>
        </w:rPr>
        <w:t xml:space="preserve">Product Requirements Document  ·  v2.0</w:t>
      </w:r>
    </w:p>
    <w:p>
      <w:pPr>
        <w:spacing w:after="60"/>
      </w:pPr>
      <w:r>
        <w:rPr>
          <w:sz w:val="22"/>
          <w:szCs w:val="22"/>
        </w:rPr>
        <w:t xml:space="preserve"> </w:t>
      </w:r>
    </w:p>
    <w:p>
      <w:pPr>
        <w:jc w:val="center"/>
      </w:pPr>
      <w:r>
        <w:rPr>
          <w:rFonts w:ascii="Arial" w:cs="Arial" w:eastAsia="Arial" w:hAnsi="Arial"/>
          <w:b/>
          <w:bCs/>
          <w:color w:val="00B482"/>
          <w:sz w:val="22"/>
          <w:szCs w:val="22"/>
        </w:rPr>
        <w:t xml:space="preserve">Next Best Action (NBA) Engine + AutoML Platform for Pharma Commercial Excellence</w:t>
      </w:r>
    </w:p>
    <w:p>
      <w:pPr>
        <w:spacing w:after="60"/>
      </w:pPr>
      <w:r>
        <w:rPr>
          <w:sz w:val="22"/>
          <w:szCs w:val="22"/>
        </w:rPr>
        <w:t xml:space="preserve"> </w:t>
      </w:r>
    </w:p>
    <w:p>
      <w:pPr>
        <w:spacing w:after="60"/>
      </w:pPr>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0D1B2A"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2340"/>
            <w:shd w:fill="0D1B2A" w:val="clear"/>
            <w:tcMar>
              <w:top w:type="dxa" w:w="100"/>
              <w:left w:type="dxa" w:w="140"/>
              <w:bottom w:type="dxa" w:w="100"/>
              <w:right w:type="dxa" w:w="140"/>
            </w:tcMar>
          </w:tcPr>
          <w:p>
            <w:r>
              <w:rPr>
                <w:rFonts w:ascii="Arial" w:cs="Arial" w:eastAsia="Arial" w:hAnsi="Arial"/>
                <w:b/>
                <w:bCs/>
                <w:color w:val="FFFFFF"/>
                <w:sz w:val="20"/>
                <w:szCs w:val="20"/>
              </w:rPr>
              <w:t xml:space="preserve">Status</w:t>
            </w:r>
          </w:p>
        </w:tc>
        <w:tc>
          <w:tcPr>
            <w:tcW w:type="dxa" w:w="2340"/>
            <w:shd w:fill="0D1B2A" w:val="clear"/>
            <w:tcMar>
              <w:top w:type="dxa" w:w="100"/>
              <w:left w:type="dxa" w:w="140"/>
              <w:bottom w:type="dxa" w:w="100"/>
              <w:right w:type="dxa" w:w="140"/>
            </w:tcMar>
          </w:tcPr>
          <w:p>
            <w:r>
              <w:rPr>
                <w:rFonts w:ascii="Arial" w:cs="Arial" w:eastAsia="Arial" w:hAnsi="Arial"/>
                <w:b/>
                <w:bCs/>
                <w:color w:val="FFFFFF"/>
                <w:sz w:val="20"/>
                <w:szCs w:val="20"/>
              </w:rPr>
              <w:t xml:space="preserve">Date</w:t>
            </w:r>
          </w:p>
        </w:tc>
        <w:tc>
          <w:tcPr>
            <w:tcW w:type="dxa" w:w="2340"/>
            <w:shd w:fill="0D1B2A" w:val="clear"/>
            <w:tcMar>
              <w:top w:type="dxa" w:w="100"/>
              <w:left w:type="dxa" w:w="140"/>
              <w:bottom w:type="dxa" w:w="100"/>
              <w:right w:type="dxa" w:w="140"/>
            </w:tcMar>
          </w:tcPr>
          <w:p>
            <w:r>
              <w:rPr>
                <w:rFonts w:ascii="Arial" w:cs="Arial" w:eastAsia="Arial" w:hAnsi="Arial"/>
                <w:b/>
                <w:bCs/>
                <w:color w:val="FFFFFF"/>
                <w:sz w:val="20"/>
                <w:szCs w:val="20"/>
              </w:rPr>
              <w:t xml:space="preserve">Classification</w:t>
            </w:r>
          </w:p>
        </w:tc>
      </w:tr>
      <w:tr>
        <w:tc>
          <w:tcPr>
            <w:tcW w:type="dxa" w:w="2340"/>
            <w:shd w:fill="FFFFFF" w:val="clear"/>
            <w:tcMar>
              <w:top w:type="dxa" w:w="80"/>
              <w:left w:type="dxa" w:w="140"/>
              <w:bottom w:type="dxa" w:w="80"/>
              <w:right w:type="dxa" w:w="140"/>
            </w:tcMar>
          </w:tcPr>
          <w:p>
            <w:r>
              <w:rPr>
                <w:rFonts w:ascii="Arial" w:cs="Arial" w:eastAsia="Arial" w:hAnsi="Arial"/>
                <w:sz w:val="20"/>
                <w:szCs w:val="20"/>
              </w:rPr>
              <w:t xml:space="preserve">v2.0</w:t>
            </w:r>
          </w:p>
        </w:tc>
        <w:tc>
          <w:tcPr>
            <w:tcW w:type="dxa" w:w="2340"/>
            <w:shd w:fill="FFFFFF" w:val="clear"/>
            <w:tcMar>
              <w:top w:type="dxa" w:w="80"/>
              <w:left w:type="dxa" w:w="140"/>
              <w:bottom w:type="dxa" w:w="80"/>
              <w:right w:type="dxa" w:w="140"/>
            </w:tcMar>
          </w:tcPr>
          <w:p>
            <w:r>
              <w:rPr>
                <w:rFonts w:ascii="Arial" w:cs="Arial" w:eastAsia="Arial" w:hAnsi="Arial"/>
                <w:sz w:val="20"/>
                <w:szCs w:val="20"/>
              </w:rPr>
              <w:t xml:space="preserve">Draft – Internal Review</w:t>
            </w:r>
          </w:p>
        </w:tc>
        <w:tc>
          <w:tcPr>
            <w:tcW w:type="dxa" w:w="2340"/>
            <w:shd w:fill="FFFFFF" w:val="clear"/>
            <w:tcMar>
              <w:top w:type="dxa" w:w="80"/>
              <w:left w:type="dxa" w:w="140"/>
              <w:bottom w:type="dxa" w:w="80"/>
              <w:right w:type="dxa" w:w="140"/>
            </w:tcMar>
          </w:tcPr>
          <w:p>
            <w:r>
              <w:rPr>
                <w:rFonts w:ascii="Arial" w:cs="Arial" w:eastAsia="Arial" w:hAnsi="Arial"/>
                <w:sz w:val="20"/>
                <w:szCs w:val="20"/>
              </w:rPr>
              <w:t xml:space="preserve">March 2025</w:t>
            </w:r>
          </w:p>
        </w:tc>
        <w:tc>
          <w:tcPr>
            <w:tcW w:type="dxa" w:w="2340"/>
            <w:shd w:fill="FFFFFF" w:val="clear"/>
            <w:tcMar>
              <w:top w:type="dxa" w:w="80"/>
              <w:left w:type="dxa" w:w="140"/>
              <w:bottom w:type="dxa" w:w="80"/>
              <w:right w:type="dxa" w:w="140"/>
            </w:tcMar>
          </w:tcPr>
          <w:p>
            <w:r>
              <w:rPr>
                <w:rFonts w:ascii="Arial" w:cs="Arial" w:eastAsia="Arial" w:hAnsi="Arial"/>
                <w:sz w:val="20"/>
                <w:szCs w:val="20"/>
              </w:rPr>
              <w:t xml:space="preserve">Commercial Confidential</w:t>
            </w:r>
          </w:p>
        </w:tc>
      </w:tr>
    </w:tbl>
    <w:p>
      <w:pPr>
        <w:spacing w:after="60"/>
      </w:pPr>
      <w:r>
        <w:rPr>
          <w:sz w:val="22"/>
          <w:szCs w:val="22"/>
        </w:rPr>
        <w:t xml:space="preserve"> </w:t>
      </w:r>
    </w:p>
    <w:p>
      <w:pPr>
        <w:spacing w:after="60"/>
      </w:pPr>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0D1B2A" w:val="clear"/>
            <w:tcMar>
              <w:top w:type="dxa" w:w="100"/>
              <w:left w:type="dxa" w:w="140"/>
              <w:bottom w:type="dxa" w:w="100"/>
              <w:right w:type="dxa" w:w="140"/>
            </w:tcMar>
          </w:tcPr>
          <w:p>
            <w:r>
              <w:rPr>
                <w:rFonts w:ascii="Arial" w:cs="Arial" w:eastAsia="Arial" w:hAnsi="Arial"/>
                <w:b/>
                <w:bCs/>
                <w:color w:val="FFFFFF"/>
                <w:sz w:val="20"/>
                <w:szCs w:val="20"/>
              </w:rPr>
              <w:t xml:space="preserve">Document Owner</w:t>
            </w:r>
          </w:p>
        </w:tc>
        <w:tc>
          <w:tcPr>
            <w:tcW w:type="dxa" w:w="3120"/>
            <w:shd w:fill="0D1B2A" w:val="clear"/>
            <w:tcMar>
              <w:top w:type="dxa" w:w="100"/>
              <w:left w:type="dxa" w:w="140"/>
              <w:bottom w:type="dxa" w:w="100"/>
              <w:right w:type="dxa" w:w="140"/>
            </w:tcMar>
          </w:tcPr>
          <w:p>
            <w:r>
              <w:rPr>
                <w:rFonts w:ascii="Arial" w:cs="Arial" w:eastAsia="Arial" w:hAnsi="Arial"/>
                <w:b/>
                <w:bCs/>
                <w:color w:val="FFFFFF"/>
                <w:sz w:val="20"/>
                <w:szCs w:val="20"/>
              </w:rPr>
              <w:t xml:space="preserve">Product Sponsor</w:t>
            </w:r>
          </w:p>
        </w:tc>
        <w:tc>
          <w:tcPr>
            <w:tcW w:type="dxa" w:w="3120"/>
            <w:shd w:fill="0D1B2A" w:val="clear"/>
            <w:tcMar>
              <w:top w:type="dxa" w:w="100"/>
              <w:left w:type="dxa" w:w="140"/>
              <w:bottom w:type="dxa" w:w="100"/>
              <w:right w:type="dxa" w:w="140"/>
            </w:tcMar>
          </w:tcPr>
          <w:p>
            <w:r>
              <w:rPr>
                <w:rFonts w:ascii="Arial" w:cs="Arial" w:eastAsia="Arial" w:hAnsi="Arial"/>
                <w:b/>
                <w:bCs/>
                <w:color w:val="FFFFFF"/>
                <w:sz w:val="20"/>
                <w:szCs w:val="20"/>
              </w:rPr>
              <w:t xml:space="preserve">Primary Stakeholders</w:t>
            </w:r>
          </w:p>
        </w:tc>
      </w:tr>
      <w:tr>
        <w:tc>
          <w:tcPr>
            <w:tcW w:type="dxa" w:w="3120"/>
            <w:shd w:fill="FFFFFF" w:val="clear"/>
            <w:tcMar>
              <w:top w:type="dxa" w:w="80"/>
              <w:left w:type="dxa" w:w="140"/>
              <w:bottom w:type="dxa" w:w="80"/>
              <w:right w:type="dxa" w:w="140"/>
            </w:tcMar>
          </w:tcPr>
          <w:p>
            <w:r>
              <w:rPr>
                <w:rFonts w:ascii="Arial" w:cs="Arial" w:eastAsia="Arial" w:hAnsi="Arial"/>
                <w:sz w:val="20"/>
                <w:szCs w:val="20"/>
              </w:rPr>
              <w:t xml:space="preserve">Commercial Excellence</w:t>
            </w:r>
          </w:p>
        </w:tc>
        <w:tc>
          <w:tcPr>
            <w:tcW w:type="dxa" w:w="3120"/>
            <w:shd w:fill="FFFFFF" w:val="clear"/>
            <w:tcMar>
              <w:top w:type="dxa" w:w="80"/>
              <w:left w:type="dxa" w:w="140"/>
              <w:bottom w:type="dxa" w:w="80"/>
              <w:right w:type="dxa" w:w="140"/>
            </w:tcMar>
          </w:tcPr>
          <w:p>
            <w:r>
              <w:rPr>
                <w:rFonts w:ascii="Arial" w:cs="Arial" w:eastAsia="Arial" w:hAnsi="Arial"/>
                <w:sz w:val="20"/>
                <w:szCs w:val="20"/>
              </w:rPr>
              <w:t xml:space="preserve">Chief Commercial Officer</w:t>
            </w:r>
          </w:p>
        </w:tc>
        <w:tc>
          <w:tcPr>
            <w:tcW w:type="dxa" w:w="3120"/>
            <w:shd w:fill="FFFFFF" w:val="clear"/>
            <w:tcMar>
              <w:top w:type="dxa" w:w="80"/>
              <w:left w:type="dxa" w:w="140"/>
              <w:bottom w:type="dxa" w:w="80"/>
              <w:right w:type="dxa" w:w="140"/>
            </w:tcMar>
          </w:tcPr>
          <w:p>
            <w:r>
              <w:rPr>
                <w:rFonts w:ascii="Arial" w:cs="Arial" w:eastAsia="Arial" w:hAnsi="Arial"/>
                <w:sz w:val="20"/>
                <w:szCs w:val="20"/>
              </w:rPr>
              <w:t xml:space="preserve">ME Field Teams, DS Analytics, Commercial Ops</w:t>
            </w:r>
          </w:p>
        </w:tc>
      </w:tr>
    </w:tbl>
    <w:p>
      <w:r>
        <w:br w:type="page"/>
      </w:r>
    </w:p>
    <w:p>
      <w:pPr>
        <w:pStyle w:val="Heading1"/>
        <w:spacing w:after="160" w:before="400"/>
      </w:pPr>
      <w:r>
        <w:rPr>
          <w:rFonts w:ascii="Arial" w:cs="Arial" w:eastAsia="Arial" w:hAnsi="Arial"/>
          <w:b/>
          <w:bCs/>
          <w:color w:val="0D1B2A"/>
          <w:sz w:val="34"/>
          <w:szCs w:val="34"/>
        </w:rPr>
        <w:t xml:space="preserve">1. Executive Summary</w:t>
      </w:r>
    </w:p>
    <w:p>
      <w:pPr>
        <w:pBdr>
          <w:bottom w:val="single" w:color="00B482" w:sz="4"/>
        </w:pBdr>
        <w:spacing w:after="120" w:before="120"/>
      </w:pPr>
    </w:p>
    <w:p>
      <w:pPr>
        <w:spacing w:after="80" w:before="60"/>
      </w:pPr>
      <w:r>
        <w:rPr>
          <w:rFonts w:ascii="Arial" w:cs="Arial" w:eastAsia="Arial" w:hAnsi="Arial"/>
          <w:sz w:val="22"/>
          <w:szCs w:val="22"/>
        </w:rPr>
        <w:t xml:space="preserve">Pharma Action Builder (PAB) is a two-module commercial intelligence platform that closes the loop between data science modelling and field force execution in pharmaceutical commercial operations.</w:t>
      </w:r>
    </w:p>
    <w:p>
      <w:pPr>
        <w:spacing w:after="80" w:before="60"/>
      </w:pPr>
      <w:r>
        <w:rPr>
          <w:rFonts w:ascii="Arial" w:cs="Arial" w:eastAsia="Arial" w:hAnsi="Arial"/>
          <w:sz w:val="22"/>
          <w:szCs w:val="22"/>
        </w:rPr>
        <w:t xml:space="preserve">The platform consists of:</w:t>
      </w:r>
    </w:p>
    <w:p>
      <w:pPr>
        <w:pStyle w:val="ListParagraph"/>
        <w:numPr>
          <w:ilvl w:val="0"/>
          <w:numId w:val="2"/>
        </w:numPr>
        <w:spacing w:after="60"/>
      </w:pPr>
      <w:r>
        <w:rPr>
          <w:rFonts w:ascii="Arial" w:cs="Arial" w:eastAsia="Arial" w:hAnsi="Arial"/>
          <w:sz w:val="22"/>
          <w:szCs w:val="22"/>
        </w:rPr>
        <w:t xml:space="preserve">HCP Engagement Console (HEC) Module – A Next Best Action (NBA) dashboard providing field medical representatives with ML-generated weekly HCP engagement plans, tactic tracking, performance analytics, and territory visualisation. Every HCP in the territory receives a personalised omnichannel journey map based on their prescribing behaviour, digital affinity, channel responsiveness, and relationship depth.</w:t>
      </w:r>
    </w:p>
    <w:p>
      <w:pPr>
        <w:pStyle w:val="ListParagraph"/>
        <w:numPr>
          <w:ilvl w:val="0"/>
          <w:numId w:val="2"/>
        </w:numPr>
        <w:spacing w:after="60"/>
      </w:pPr>
      <w:r>
        <w:rPr>
          <w:rFonts w:ascii="Arial" w:cs="Arial" w:eastAsia="Arial" w:hAnsi="Arial"/>
          <w:sz w:val="22"/>
          <w:szCs w:val="22"/>
        </w:rPr>
        <w:t xml:space="preserve">Analytics Workbench (AWB) Module – A no-code AutoML environment enabling pharma analytics teams to source data from CRM, ERP, DWH, and BI systems, build and validate ML models (supervised and unsupervised), monitor model health in production, and deploy model outputs directly into the HCP Engagement Console — without engineering handoffs or lengthy integration cycles.</w:t>
      </w:r>
    </w:p>
    <w:p>
      <w:pPr>
        <w:spacing w:after="60"/>
      </w:pPr>
      <w:r>
        <w:rPr>
          <w:sz w:val="22"/>
          <w:szCs w:val="22"/>
        </w:rPr>
        <w:t xml:space="preserve"> </w:t>
      </w:r>
    </w:p>
    <w:p>
      <w:pPr>
        <w:spacing w:after="80" w:before="60"/>
      </w:pPr>
      <w:r>
        <w:rPr>
          <w:rFonts w:ascii="Arial" w:cs="Arial" w:eastAsia="Arial" w:hAnsi="Arial"/>
          <w:sz w:val="22"/>
          <w:szCs w:val="22"/>
        </w:rPr>
        <w:t xml:space="preserve">Together, these modules form a closed feedback loop: field rep tactic outcomes feed back into model training, creating a continuously improving recommendation engine that learns from real commercial execution.</w:t>
      </w:r>
    </w:p>
    <w:p>
      <w:pPr>
        <w:spacing w:after="60"/>
      </w:pPr>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shd w:fill="00B482" w:val="clear"/>
            <w:tcMar>
              <w:top w:type="dxa" w:w="120"/>
              <w:left w:type="dxa" w:w="80"/>
              <w:bottom w:type="dxa" w:w="120"/>
              <w:right w:type="dxa" w:w="80"/>
            </w:tcMar>
          </w:tcPr>
          <w:p>
            <w:pPr>
              <w:jc w:val="center"/>
            </w:pPr>
            <w:r>
              <w:rPr>
                <w:rFonts w:ascii="Arial" w:cs="Arial" w:eastAsia="Arial" w:hAnsi="Arial"/>
                <w:sz w:val="30"/>
                <w:szCs w:val="30"/>
              </w:rPr>
              <w:t xml:space="preserve">🎯</w:t>
            </w:r>
          </w:p>
        </w:tc>
        <w:tc>
          <w:tcPr>
            <w:tcW w:type="dxa" w:w="9120"/>
            <w:shd w:fill="00B482" w:val="clear"/>
            <w:tcMar>
              <w:top w:type="dxa" w:w="120"/>
              <w:left w:type="dxa" w:w="160"/>
              <w:bottom w:type="dxa" w:w="120"/>
              <w:right w:type="dxa" w:w="120"/>
            </w:tcMar>
          </w:tcPr>
          <w:p>
            <w:r>
              <w:rPr>
                <w:rFonts w:ascii="Arial" w:cs="Arial" w:eastAsia="Arial" w:hAnsi="Arial"/>
                <w:color w:val="0D1B2A"/>
                <w:sz w:val="21"/>
                <w:szCs w:val="21"/>
              </w:rPr>
              <w:t xml:space="preserve">Strategic Intent: Enable pharmaceutical field forces to move from generic, schedule-based HCP engagement to personalised, evidence-based omnichannel orchestration — increasing HCP satisfaction, tactic completion rates, and ultimately prescribing behaviour.</w:t>
            </w:r>
          </w:p>
        </w:tc>
      </w:tr>
    </w:tbl>
    <w:p>
      <w:r>
        <w:br w:type="page"/>
      </w:r>
    </w:p>
    <w:p>
      <w:pPr>
        <w:pStyle w:val="Heading1"/>
        <w:spacing w:after="160" w:before="400"/>
      </w:pPr>
      <w:r>
        <w:rPr>
          <w:rFonts w:ascii="Arial" w:cs="Arial" w:eastAsia="Arial" w:hAnsi="Arial"/>
          <w:b/>
          <w:bCs/>
          <w:color w:val="0D1B2A"/>
          <w:sz w:val="34"/>
          <w:szCs w:val="34"/>
        </w:rPr>
        <w:t xml:space="preserve">2. Problem Statement</w:t>
      </w:r>
    </w:p>
    <w:p>
      <w:pPr>
        <w:pBdr>
          <w:bottom w:val="single" w:color="00B482" w:sz="4"/>
        </w:pBdr>
        <w:spacing w:after="120" w:before="120"/>
      </w:pPr>
    </w:p>
    <w:p>
      <w:pPr>
        <w:pStyle w:val="Heading2"/>
        <w:spacing w:after="120" w:before="280"/>
      </w:pPr>
      <w:r>
        <w:rPr>
          <w:rFonts w:ascii="Arial" w:cs="Arial" w:eastAsia="Arial" w:hAnsi="Arial"/>
          <w:b/>
          <w:bCs/>
          <w:color w:val="1E3348"/>
          <w:sz w:val="27"/>
          <w:szCs w:val="27"/>
        </w:rPr>
        <w:t xml:space="preserve">2.1 The Fragmented Commercial Intelligence Landscape</w:t>
      </w:r>
    </w:p>
    <w:p>
      <w:pPr>
        <w:spacing w:after="80" w:before="60"/>
      </w:pPr>
      <w:r>
        <w:rPr>
          <w:rFonts w:ascii="Arial" w:cs="Arial" w:eastAsia="Arial" w:hAnsi="Arial"/>
          <w:sz w:val="22"/>
          <w:szCs w:val="22"/>
        </w:rPr>
        <w:t xml:space="preserve">Pharmaceutical commercial organisations generate enormous volumes of HCP interaction data across CRM systems, data warehouses, BI tools, and ERP platforms. This data is almost universally siloed. Sales representatives operate from call plans that were designed weeks prior, using aggregated field inputs rather than real-time signals from this data.</w:t>
      </w:r>
    </w:p>
    <w:p>
      <w:pPr>
        <w:spacing w:after="60"/>
      </w:pPr>
      <w:r>
        <w:rPr>
          <w:sz w:val="22"/>
          <w:szCs w:val="22"/>
        </w:rPr>
        <w:t xml:space="preserve"> </w:t>
      </w:r>
    </w:p>
    <w:p>
      <w:pPr>
        <w:pStyle w:val="Heading2"/>
        <w:spacing w:after="120" w:before="280"/>
      </w:pPr>
      <w:r>
        <w:rPr>
          <w:rFonts w:ascii="Arial" w:cs="Arial" w:eastAsia="Arial" w:hAnsi="Arial"/>
          <w:b/>
          <w:bCs/>
          <w:color w:val="1E3348"/>
          <w:sz w:val="27"/>
          <w:szCs w:val="27"/>
        </w:rPr>
        <w:t xml:space="preserve">2.2 The Model Operationalisation Gap</w:t>
      </w:r>
    </w:p>
    <w:p>
      <w:pPr>
        <w:spacing w:after="80" w:before="60"/>
      </w:pPr>
      <w:r>
        <w:rPr>
          <w:rFonts w:ascii="Arial" w:cs="Arial" w:eastAsia="Arial" w:hAnsi="Arial"/>
          <w:sz w:val="22"/>
          <w:szCs w:val="22"/>
        </w:rPr>
        <w:t xml:space="preserve">Commercial analytics teams routinely build sophisticated predictive models — HCP propensity to prescribe, next best action classifiers, channel preference models, segmentation algorithms. These models rarely reach production. The barriers are significant:</w:t>
      </w:r>
    </w:p>
    <w:p>
      <w:pPr>
        <w:pStyle w:val="ListParagraph"/>
        <w:numPr>
          <w:ilvl w:val="0"/>
          <w:numId w:val="2"/>
        </w:numPr>
        <w:spacing w:after="60"/>
      </w:pPr>
      <w:r>
        <w:rPr>
          <w:rFonts w:ascii="Arial" w:cs="Arial" w:eastAsia="Arial" w:hAnsi="Arial"/>
          <w:sz w:val="22"/>
          <w:szCs w:val="22"/>
        </w:rPr>
        <w:t xml:space="preserve">No native deployment pathway from analytics environment to field-facing systems</w:t>
      </w:r>
    </w:p>
    <w:p>
      <w:pPr>
        <w:pStyle w:val="ListParagraph"/>
        <w:numPr>
          <w:ilvl w:val="0"/>
          <w:numId w:val="2"/>
        </w:numPr>
        <w:spacing w:after="60"/>
      </w:pPr>
      <w:r>
        <w:rPr>
          <w:rFonts w:ascii="Arial" w:cs="Arial" w:eastAsia="Arial" w:hAnsi="Arial"/>
          <w:sz w:val="22"/>
          <w:szCs w:val="22"/>
        </w:rPr>
        <w:t xml:space="preserve">Model outputs require translation by engineers who are typically not aligned to commercial timelines</w:t>
      </w:r>
    </w:p>
    <w:p>
      <w:pPr>
        <w:pStyle w:val="ListParagraph"/>
        <w:numPr>
          <w:ilvl w:val="0"/>
          <w:numId w:val="2"/>
        </w:numPr>
        <w:spacing w:after="60"/>
      </w:pPr>
      <w:r>
        <w:rPr>
          <w:rFonts w:ascii="Arial" w:cs="Arial" w:eastAsia="Arial" w:hAnsi="Arial"/>
          <w:sz w:val="22"/>
          <w:szCs w:val="22"/>
        </w:rPr>
        <w:t xml:space="preserve">Field teams lack the context to interpret or act on model recommendations without explainability layers</w:t>
      </w:r>
    </w:p>
    <w:p>
      <w:pPr>
        <w:pStyle w:val="ListParagraph"/>
        <w:numPr>
          <w:ilvl w:val="0"/>
          <w:numId w:val="2"/>
        </w:numPr>
        <w:spacing w:after="60"/>
      </w:pPr>
      <w:r>
        <w:rPr>
          <w:rFonts w:ascii="Arial" w:cs="Arial" w:eastAsia="Arial" w:hAnsi="Arial"/>
          <w:sz w:val="22"/>
          <w:szCs w:val="22"/>
        </w:rPr>
        <w:t xml:space="preserve">Model drift is undetected due to absence of governance and monitoring infrastructure</w:t>
      </w:r>
    </w:p>
    <w:p>
      <w:pPr>
        <w:spacing w:after="60"/>
      </w:pPr>
      <w:r>
        <w:rPr>
          <w:sz w:val="22"/>
          <w:szCs w:val="22"/>
        </w:rPr>
        <w:t xml:space="preserve"> </w:t>
      </w:r>
    </w:p>
    <w:p>
      <w:pPr>
        <w:pStyle w:val="Heading2"/>
        <w:spacing w:after="120" w:before="280"/>
      </w:pPr>
      <w:r>
        <w:rPr>
          <w:rFonts w:ascii="Arial" w:cs="Arial" w:eastAsia="Arial" w:hAnsi="Arial"/>
          <w:b/>
          <w:bCs/>
          <w:color w:val="1E3348"/>
          <w:sz w:val="27"/>
          <w:szCs w:val="27"/>
        </w:rPr>
        <w:t xml:space="preserve">2.3 The Field Execution Blind Spot</w:t>
      </w:r>
    </w:p>
    <w:p>
      <w:pPr>
        <w:spacing w:after="80" w:before="60"/>
      </w:pPr>
      <w:r>
        <w:rPr>
          <w:rFonts w:ascii="Arial" w:cs="Arial" w:eastAsia="Arial" w:hAnsi="Arial"/>
          <w:sz w:val="22"/>
          <w:szCs w:val="22"/>
        </w:rPr>
        <w:t xml:space="preserve">Field medical representatives (FMRs) have no mechanism to understand which combination of tactics — email frequency, CLM sessions, face-to-face calls, 1:1 meetings — is most likely to maintain or improve a specific HCP relationship. Tactic plans are standardised across HCP segments rather than personalised to individual HCP signals.</w:t>
      </w:r>
    </w:p>
    <w:p>
      <w:pPr>
        <w:spacing w:after="60"/>
      </w:pPr>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shd w:fill="F59E0B" w:val="clear"/>
            <w:tcMar>
              <w:top w:type="dxa" w:w="120"/>
              <w:left w:type="dxa" w:w="80"/>
              <w:bottom w:type="dxa" w:w="120"/>
              <w:right w:type="dxa" w:w="80"/>
            </w:tcMar>
          </w:tcPr>
          <w:p>
            <w:pPr>
              <w:jc w:val="center"/>
            </w:pPr>
            <w:r>
              <w:rPr>
                <w:rFonts w:ascii="Arial" w:cs="Arial" w:eastAsia="Arial" w:hAnsi="Arial"/>
                <w:sz w:val="30"/>
                <w:szCs w:val="30"/>
              </w:rPr>
              <w:t xml:space="preserve">⚠</w:t>
            </w:r>
          </w:p>
        </w:tc>
        <w:tc>
          <w:tcPr>
            <w:tcW w:type="dxa" w:w="9120"/>
            <w:shd w:fill="F59E0B" w:val="clear"/>
            <w:tcMar>
              <w:top w:type="dxa" w:w="120"/>
              <w:left w:type="dxa" w:w="160"/>
              <w:bottom w:type="dxa" w:w="120"/>
              <w:right w:type="dxa" w:w="120"/>
            </w:tcMar>
          </w:tcPr>
          <w:p>
            <w:r>
              <w:rPr>
                <w:rFonts w:ascii="Arial" w:cs="Arial" w:eastAsia="Arial" w:hAnsi="Arial"/>
                <w:color w:val="0D1B2A"/>
                <w:sz w:val="21"/>
                <w:szCs w:val="21"/>
              </w:rPr>
              <w:t xml:space="preserve">Estimated commercial impact: A 5% improvement in field force tactic optimisation translates to $150–250M in incremental revenue per year for a mid-sized pharmaceutical organisation with 2,000+ field representatives.</w:t>
            </w:r>
          </w:p>
        </w:tc>
      </w:tr>
    </w:tbl>
    <w:p>
      <w:r>
        <w:br w:type="page"/>
      </w:r>
    </w:p>
    <w:p>
      <w:pPr>
        <w:pStyle w:val="Heading1"/>
        <w:spacing w:after="160" w:before="400"/>
      </w:pPr>
      <w:r>
        <w:rPr>
          <w:rFonts w:ascii="Arial" w:cs="Arial" w:eastAsia="Arial" w:hAnsi="Arial"/>
          <w:b/>
          <w:bCs/>
          <w:color w:val="0D1B2A"/>
          <w:sz w:val="34"/>
          <w:szCs w:val="34"/>
        </w:rPr>
        <w:t xml:space="preserve">3. User Personas &amp; Role Matrix</w:t>
      </w:r>
    </w:p>
    <w:p>
      <w:pPr>
        <w:pBdr>
          <w:bottom w:val="single" w:color="00B482" w:sz="4"/>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rPr>
          <w:tblHeader/>
        </w:trPr>
        <w:tc>
          <w:tcPr>
            <w:tcW w:type="dxa" w:w="2000"/>
            <w:shd w:fill="0D1B2A"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2500"/>
            <w:shd w:fill="0D1B2A" w:val="clear"/>
            <w:tcMar>
              <w:top w:type="dxa" w:w="100"/>
              <w:left w:type="dxa" w:w="140"/>
              <w:bottom w:type="dxa" w:w="100"/>
              <w:right w:type="dxa" w:w="140"/>
            </w:tcMar>
          </w:tcPr>
          <w:p>
            <w:r>
              <w:rPr>
                <w:rFonts w:ascii="Arial" w:cs="Arial" w:eastAsia="Arial" w:hAnsi="Arial"/>
                <w:b/>
                <w:bCs/>
                <w:color w:val="FFFFFF"/>
                <w:sz w:val="20"/>
                <w:szCs w:val="20"/>
              </w:rPr>
              <w:t xml:space="preserve">Goals</w:t>
            </w:r>
          </w:p>
        </w:tc>
        <w:tc>
          <w:tcPr>
            <w:tcW w:type="dxa" w:w="2500"/>
            <w:shd w:fill="0D1B2A" w:val="clear"/>
            <w:tcMar>
              <w:top w:type="dxa" w:w="100"/>
              <w:left w:type="dxa" w:w="140"/>
              <w:bottom w:type="dxa" w:w="100"/>
              <w:right w:type="dxa" w:w="140"/>
            </w:tcMar>
          </w:tcPr>
          <w:p>
            <w:r>
              <w:rPr>
                <w:rFonts w:ascii="Arial" w:cs="Arial" w:eastAsia="Arial" w:hAnsi="Arial"/>
                <w:b/>
                <w:bCs/>
                <w:color w:val="FFFFFF"/>
                <w:sz w:val="20"/>
                <w:szCs w:val="20"/>
              </w:rPr>
              <w:t xml:space="preserve">Pain Points</w:t>
            </w:r>
          </w:p>
        </w:tc>
        <w:tc>
          <w:tcPr>
            <w:tcW w:type="dxa" w:w="2360"/>
            <w:shd w:fill="0D1B2A" w:val="clear"/>
            <w:tcMar>
              <w:top w:type="dxa" w:w="100"/>
              <w:left w:type="dxa" w:w="140"/>
              <w:bottom w:type="dxa" w:w="100"/>
              <w:right w:type="dxa" w:w="140"/>
            </w:tcMar>
          </w:tcPr>
          <w:p>
            <w:r>
              <w:rPr>
                <w:rFonts w:ascii="Arial" w:cs="Arial" w:eastAsia="Arial" w:hAnsi="Arial"/>
                <w:b/>
                <w:bCs/>
                <w:color w:val="FFFFFF"/>
                <w:sz w:val="20"/>
                <w:szCs w:val="20"/>
              </w:rPr>
              <w:t xml:space="preserve">Success Metric</w:t>
            </w:r>
          </w:p>
        </w:tc>
      </w:tr>
      <w:tr>
        <w:tc>
          <w:tcPr>
            <w:tcW w:type="dxa" w:w="2000"/>
            <w:shd w:fill="FFFFFF" w:val="clear"/>
            <w:tcMar>
              <w:top w:type="dxa" w:w="80"/>
              <w:left w:type="dxa" w:w="140"/>
              <w:bottom w:type="dxa" w:w="80"/>
              <w:right w:type="dxa" w:w="140"/>
            </w:tcMar>
          </w:tcPr>
          <w:p>
            <w:r>
              <w:rPr>
                <w:rFonts w:ascii="Arial" w:cs="Arial" w:eastAsia="Arial" w:hAnsi="Arial"/>
                <w:sz w:val="20"/>
                <w:szCs w:val="20"/>
              </w:rPr>
              <w:t xml:space="preserve">Field Medical Rep (ME)</w:t>
            </w:r>
          </w:p>
        </w:tc>
        <w:tc>
          <w:tcPr>
            <w:tcW w:type="dxa" w:w="2500"/>
            <w:shd w:fill="FFFFFF" w:val="clear"/>
            <w:tcMar>
              <w:top w:type="dxa" w:w="80"/>
              <w:left w:type="dxa" w:w="140"/>
              <w:bottom w:type="dxa" w:w="80"/>
              <w:right w:type="dxa" w:w="140"/>
            </w:tcMar>
          </w:tcPr>
          <w:p>
            <w:r>
              <w:rPr>
                <w:rFonts w:ascii="Arial" w:cs="Arial" w:eastAsia="Arial" w:hAnsi="Arial"/>
                <w:sz w:val="20"/>
                <w:szCs w:val="20"/>
              </w:rPr>
              <w:t xml:space="preserve">Complete weekly NBA tactic plan. Maximise HCP engagement quality. Maintain prescription momentum.</w:t>
            </w:r>
          </w:p>
        </w:tc>
        <w:tc>
          <w:tcPr>
            <w:tcW w:type="dxa" w:w="2500"/>
            <w:shd w:fill="FFFFFF" w:val="clear"/>
            <w:tcMar>
              <w:top w:type="dxa" w:w="80"/>
              <w:left w:type="dxa" w:w="140"/>
              <w:bottom w:type="dxa" w:w="80"/>
              <w:right w:type="dxa" w:w="140"/>
            </w:tcMar>
          </w:tcPr>
          <w:p>
            <w:r>
              <w:rPr>
                <w:rFonts w:ascii="Arial" w:cs="Arial" w:eastAsia="Arial" w:hAnsi="Arial"/>
                <w:sz w:val="20"/>
                <w:szCs w:val="20"/>
              </w:rPr>
              <w:t xml:space="preserve">Generic call plans. No personalised guidance. No real-time feedback loop.</w:t>
            </w:r>
          </w:p>
        </w:tc>
        <w:tc>
          <w:tcPr>
            <w:tcW w:type="dxa" w:w="2360"/>
            <w:shd w:fill="FFFFFF" w:val="clear"/>
            <w:tcMar>
              <w:top w:type="dxa" w:w="80"/>
              <w:left w:type="dxa" w:w="140"/>
              <w:bottom w:type="dxa" w:w="80"/>
              <w:right w:type="dxa" w:w="140"/>
            </w:tcMar>
          </w:tcPr>
          <w:p>
            <w:r>
              <w:rPr>
                <w:rFonts w:ascii="Arial" w:cs="Arial" w:eastAsia="Arial" w:hAnsi="Arial"/>
                <w:sz w:val="20"/>
                <w:szCs w:val="20"/>
              </w:rPr>
              <w:t xml:space="preserve">NBA adherence rate &gt; 75%. Tactic completion rate &gt; 80%.</w:t>
            </w:r>
          </w:p>
        </w:tc>
      </w:tr>
      <w:tr>
        <w:tc>
          <w:tcPr>
            <w:tcW w:type="dxa" w:w="2000"/>
            <w:shd w:fill="F8FAFC" w:val="clear"/>
            <w:tcMar>
              <w:top w:type="dxa" w:w="80"/>
              <w:left w:type="dxa" w:w="140"/>
              <w:bottom w:type="dxa" w:w="80"/>
              <w:right w:type="dxa" w:w="140"/>
            </w:tcMar>
          </w:tcPr>
          <w:p>
            <w:r>
              <w:rPr>
                <w:rFonts w:ascii="Arial" w:cs="Arial" w:eastAsia="Arial" w:hAnsi="Arial"/>
                <w:sz w:val="20"/>
                <w:szCs w:val="20"/>
              </w:rPr>
              <w:t xml:space="preserve">Commercial Analytics DS</w:t>
            </w:r>
          </w:p>
        </w:tc>
        <w:tc>
          <w:tcPr>
            <w:tcW w:type="dxa" w:w="2500"/>
            <w:shd w:fill="F8FAFC" w:val="clear"/>
            <w:tcMar>
              <w:top w:type="dxa" w:w="80"/>
              <w:left w:type="dxa" w:w="140"/>
              <w:bottom w:type="dxa" w:w="80"/>
              <w:right w:type="dxa" w:w="140"/>
            </w:tcMar>
          </w:tcPr>
          <w:p>
            <w:r>
              <w:rPr>
                <w:rFonts w:ascii="Arial" w:cs="Arial" w:eastAsia="Arial" w:hAnsi="Arial"/>
                <w:sz w:val="20"/>
                <w:szCs w:val="20"/>
              </w:rPr>
              <w:t xml:space="preserve">Build, validate and deploy HCP models rapidly. Ensure model outputs are operationalised in field systems.</w:t>
            </w:r>
          </w:p>
        </w:tc>
        <w:tc>
          <w:tcPr>
            <w:tcW w:type="dxa" w:w="2500"/>
            <w:shd w:fill="F8FAFC" w:val="clear"/>
            <w:tcMar>
              <w:top w:type="dxa" w:w="80"/>
              <w:left w:type="dxa" w:w="140"/>
              <w:bottom w:type="dxa" w:w="80"/>
              <w:right w:type="dxa" w:w="140"/>
            </w:tcMar>
          </w:tcPr>
          <w:p>
            <w:r>
              <w:rPr>
                <w:rFonts w:ascii="Arial" w:cs="Arial" w:eastAsia="Arial" w:hAnsi="Arial"/>
                <w:sz w:val="20"/>
                <w:szCs w:val="20"/>
              </w:rPr>
              <w:t xml:space="preserve">Long engineering handoff cycles. Models never deployed. No monitoring layer.</w:t>
            </w:r>
          </w:p>
        </w:tc>
        <w:tc>
          <w:tcPr>
            <w:tcW w:type="dxa" w:w="2360"/>
            <w:shd w:fill="F8FAFC" w:val="clear"/>
            <w:tcMar>
              <w:top w:type="dxa" w:w="80"/>
              <w:left w:type="dxa" w:w="140"/>
              <w:bottom w:type="dxa" w:w="80"/>
              <w:right w:type="dxa" w:w="140"/>
            </w:tcMar>
          </w:tcPr>
          <w:p>
            <w:r>
              <w:rPr>
                <w:rFonts w:ascii="Arial" w:cs="Arial" w:eastAsia="Arial" w:hAnsi="Arial"/>
                <w:sz w:val="20"/>
                <w:szCs w:val="20"/>
              </w:rPr>
              <w:t xml:space="preserve">Model-to-production in &lt; 4 hrs. Zero unmonitored production models.</w:t>
            </w:r>
          </w:p>
        </w:tc>
      </w:tr>
      <w:tr>
        <w:tc>
          <w:tcPr>
            <w:tcW w:type="dxa" w:w="2000"/>
            <w:shd w:fill="FFFFFF" w:val="clear"/>
            <w:tcMar>
              <w:top w:type="dxa" w:w="80"/>
              <w:left w:type="dxa" w:w="140"/>
              <w:bottom w:type="dxa" w:w="80"/>
              <w:right w:type="dxa" w:w="140"/>
            </w:tcMar>
          </w:tcPr>
          <w:p>
            <w:r>
              <w:rPr>
                <w:rFonts w:ascii="Arial" w:cs="Arial" w:eastAsia="Arial" w:hAnsi="Arial"/>
                <w:sz w:val="20"/>
                <w:szCs w:val="20"/>
              </w:rPr>
              <w:t xml:space="preserve">Commercial Excellence Manager</w:t>
            </w:r>
          </w:p>
        </w:tc>
        <w:tc>
          <w:tcPr>
            <w:tcW w:type="dxa" w:w="2500"/>
            <w:shd w:fill="FFFFFF" w:val="clear"/>
            <w:tcMar>
              <w:top w:type="dxa" w:w="80"/>
              <w:left w:type="dxa" w:w="140"/>
              <w:bottom w:type="dxa" w:w="80"/>
              <w:right w:type="dxa" w:w="140"/>
            </w:tcMar>
          </w:tcPr>
          <w:p>
            <w:r>
              <w:rPr>
                <w:rFonts w:ascii="Arial" w:cs="Arial" w:eastAsia="Arial" w:hAnsi="Arial"/>
                <w:sz w:val="20"/>
                <w:szCs w:val="20"/>
              </w:rPr>
              <w:t xml:space="preserve">Territory heat map intelligence. Campaign ROI tracking. NBA programme governance.</w:t>
            </w:r>
          </w:p>
        </w:tc>
        <w:tc>
          <w:tcPr>
            <w:tcW w:type="dxa" w:w="2500"/>
            <w:shd w:fill="FFFFFF" w:val="clear"/>
            <w:tcMar>
              <w:top w:type="dxa" w:w="80"/>
              <w:left w:type="dxa" w:w="140"/>
              <w:bottom w:type="dxa" w:w="80"/>
              <w:right w:type="dxa" w:w="140"/>
            </w:tcMar>
          </w:tcPr>
          <w:p>
            <w:r>
              <w:rPr>
                <w:rFonts w:ascii="Arial" w:cs="Arial" w:eastAsia="Arial" w:hAnsi="Arial"/>
                <w:sz w:val="20"/>
                <w:szCs w:val="20"/>
              </w:rPr>
              <w:t xml:space="preserve">Fragmented reporting. No territory-level tactic effectiveness data.</w:t>
            </w:r>
          </w:p>
        </w:tc>
        <w:tc>
          <w:tcPr>
            <w:tcW w:type="dxa" w:w="2360"/>
            <w:shd w:fill="FFFFFF" w:val="clear"/>
            <w:tcMar>
              <w:top w:type="dxa" w:w="80"/>
              <w:left w:type="dxa" w:w="140"/>
              <w:bottom w:type="dxa" w:w="80"/>
              <w:right w:type="dxa" w:w="140"/>
            </w:tcMar>
          </w:tcPr>
          <w:p>
            <w:r>
              <w:rPr>
                <w:rFonts w:ascii="Arial" w:cs="Arial" w:eastAsia="Arial" w:hAnsi="Arial"/>
                <w:sz w:val="20"/>
                <w:szCs w:val="20"/>
              </w:rPr>
              <w:t xml:space="preserve">Territory NBA compliance dashboard. Revenue attribution by tactic.</w:t>
            </w:r>
          </w:p>
        </w:tc>
      </w:tr>
      <w:tr>
        <w:tc>
          <w:tcPr>
            <w:tcW w:type="dxa" w:w="2000"/>
            <w:shd w:fill="F8FAFC" w:val="clear"/>
            <w:tcMar>
              <w:top w:type="dxa" w:w="80"/>
              <w:left w:type="dxa" w:w="140"/>
              <w:bottom w:type="dxa" w:w="80"/>
              <w:right w:type="dxa" w:w="140"/>
            </w:tcMar>
          </w:tcPr>
          <w:p>
            <w:r>
              <w:rPr>
                <w:rFonts w:ascii="Arial" w:cs="Arial" w:eastAsia="Arial" w:hAnsi="Arial"/>
                <w:sz w:val="20"/>
                <w:szCs w:val="20"/>
              </w:rPr>
              <w:t xml:space="preserve">Marketing Ops / Brand Manager</w:t>
            </w:r>
          </w:p>
        </w:tc>
        <w:tc>
          <w:tcPr>
            <w:tcW w:type="dxa" w:w="2500"/>
            <w:shd w:fill="F8FAFC" w:val="clear"/>
            <w:tcMar>
              <w:top w:type="dxa" w:w="80"/>
              <w:left w:type="dxa" w:w="140"/>
              <w:bottom w:type="dxa" w:w="80"/>
              <w:right w:type="dxa" w:w="140"/>
            </w:tcMar>
          </w:tcPr>
          <w:p>
            <w:r>
              <w:rPr>
                <w:rFonts w:ascii="Arial" w:cs="Arial" w:eastAsia="Arial" w:hAnsi="Arial"/>
                <w:sz w:val="20"/>
                <w:szCs w:val="20"/>
              </w:rPr>
              <w:t xml:space="preserve">Ensure brand messaging reaches right HCPs via right channels. Manage multi-product tactic mix.</w:t>
            </w:r>
          </w:p>
        </w:tc>
        <w:tc>
          <w:tcPr>
            <w:tcW w:type="dxa" w:w="2500"/>
            <w:shd w:fill="F8FAFC" w:val="clear"/>
            <w:tcMar>
              <w:top w:type="dxa" w:w="80"/>
              <w:left w:type="dxa" w:w="140"/>
              <w:bottom w:type="dxa" w:w="80"/>
              <w:right w:type="dxa" w:w="140"/>
            </w:tcMar>
          </w:tcPr>
          <w:p>
            <w:r>
              <w:rPr>
                <w:rFonts w:ascii="Arial" w:cs="Arial" w:eastAsia="Arial" w:hAnsi="Arial"/>
                <w:sz w:val="20"/>
                <w:szCs w:val="20"/>
              </w:rPr>
              <w:t xml:space="preserve">No per-product HCP filtering. Cannot simulate tactic-channel mix outcomes.</w:t>
            </w:r>
          </w:p>
        </w:tc>
        <w:tc>
          <w:tcPr>
            <w:tcW w:type="dxa" w:w="2360"/>
            <w:shd w:fill="F8FAFC" w:val="clear"/>
            <w:tcMar>
              <w:top w:type="dxa" w:w="80"/>
              <w:left w:type="dxa" w:w="140"/>
              <w:bottom w:type="dxa" w:w="80"/>
              <w:right w:type="dxa" w:w="140"/>
            </w:tcMar>
          </w:tcPr>
          <w:p>
            <w:r>
              <w:rPr>
                <w:rFonts w:ascii="Arial" w:cs="Arial" w:eastAsia="Arial" w:hAnsi="Arial"/>
                <w:sz w:val="20"/>
                <w:szCs w:val="20"/>
              </w:rPr>
              <w:t xml:space="preserve">Per-product HCP coverage rate. Channel efficiency score.</w:t>
            </w:r>
          </w:p>
        </w:tc>
      </w:tr>
    </w:tbl>
    <w:p>
      <w:r>
        <w:br w:type="page"/>
      </w:r>
    </w:p>
    <w:p>
      <w:pPr>
        <w:pStyle w:val="Heading1"/>
        <w:spacing w:after="160" w:before="400"/>
      </w:pPr>
      <w:r>
        <w:rPr>
          <w:rFonts w:ascii="Arial" w:cs="Arial" w:eastAsia="Arial" w:hAnsi="Arial"/>
          <w:b/>
          <w:bCs/>
          <w:color w:val="0D1B2A"/>
          <w:sz w:val="34"/>
          <w:szCs w:val="34"/>
        </w:rPr>
        <w:t xml:space="preserve">4. HCP Engagement Console Module — Feature Specification</w:t>
      </w:r>
    </w:p>
    <w:p>
      <w:pPr>
        <w:pBdr>
          <w:bottom w:val="single" w:color="00B482" w:sz="4"/>
        </w:pBdr>
        <w:spacing w:after="120" w:before="120"/>
      </w:pPr>
    </w:p>
    <w:p>
      <w:pPr>
        <w:pStyle w:val="Heading2"/>
        <w:spacing w:after="120" w:before="280"/>
      </w:pPr>
      <w:r>
        <w:rPr>
          <w:rFonts w:ascii="Arial" w:cs="Arial" w:eastAsia="Arial" w:hAnsi="Arial"/>
          <w:b/>
          <w:bCs/>
          <w:color w:val="1E3348"/>
          <w:sz w:val="27"/>
          <w:szCs w:val="27"/>
        </w:rPr>
        <w:t xml:space="preserve">4.1 Model Portal &amp; Authentication</w:t>
      </w:r>
    </w:p>
    <w:p>
      <w:pPr>
        <w:pStyle w:val="ListParagraph"/>
        <w:numPr>
          <w:ilvl w:val="0"/>
          <w:numId w:val="2"/>
        </w:numPr>
        <w:spacing w:after="60"/>
      </w:pPr>
      <w:r>
        <w:rPr>
          <w:rFonts w:ascii="Arial" w:cs="Arial" w:eastAsia="Arial" w:hAnsi="Arial"/>
          <w:sz w:val="22"/>
          <w:szCs w:val="22"/>
        </w:rPr>
        <w:t xml:space="preserve">Role-based portal landing page presenting HCP Engagement Console and Analytics Workbench access paths</w:t>
      </w:r>
    </w:p>
    <w:p>
      <w:pPr>
        <w:pStyle w:val="ListParagraph"/>
        <w:numPr>
          <w:ilvl w:val="0"/>
          <w:numId w:val="2"/>
        </w:numPr>
        <w:spacing w:after="60"/>
      </w:pPr>
      <w:r>
        <w:rPr>
          <w:rFonts w:ascii="Arial" w:cs="Arial" w:eastAsia="Arial" w:hAnsi="Arial"/>
          <w:sz w:val="22"/>
          <w:szCs w:val="22"/>
        </w:rPr>
        <w:t xml:space="preserve">Standard SSO integration with email/password fallback</w:t>
      </w:r>
    </w:p>
    <w:p>
      <w:pPr>
        <w:pStyle w:val="ListParagraph"/>
        <w:numPr>
          <w:ilvl w:val="0"/>
          <w:numId w:val="2"/>
        </w:numPr>
        <w:spacing w:after="60"/>
      </w:pPr>
      <w:r>
        <w:rPr>
          <w:rFonts w:ascii="Arial" w:cs="Arial" w:eastAsia="Arial" w:hAnsi="Arial"/>
          <w:sz w:val="22"/>
          <w:szCs w:val="22"/>
        </w:rPr>
        <w:t xml:space="preserve">Remember Me session persistence. Password reset and new account registration flow</w:t>
      </w:r>
    </w:p>
    <w:p>
      <w:pPr>
        <w:spacing w:after="60"/>
      </w:pPr>
      <w:r>
        <w:rPr>
          <w:sz w:val="22"/>
          <w:szCs w:val="22"/>
        </w:rPr>
        <w:t xml:space="preserve"> </w:t>
      </w:r>
    </w:p>
    <w:p>
      <w:pPr>
        <w:pStyle w:val="Heading2"/>
        <w:spacing w:after="120" w:before="280"/>
      </w:pPr>
      <w:r>
        <w:rPr>
          <w:rFonts w:ascii="Arial" w:cs="Arial" w:eastAsia="Arial" w:hAnsi="Arial"/>
          <w:b/>
          <w:bCs/>
          <w:color w:val="1E3348"/>
          <w:sz w:val="27"/>
          <w:szCs w:val="27"/>
        </w:rPr>
        <w:t xml:space="preserve">4.2 Overview Dashboard</w:t>
      </w:r>
    </w:p>
    <w:p>
      <w:pPr>
        <w:spacing w:after="80" w:before="60"/>
      </w:pPr>
      <w:r>
        <w:rPr>
          <w:rFonts w:ascii="Arial" w:cs="Arial" w:eastAsia="Arial" w:hAnsi="Arial"/>
          <w:sz w:val="22"/>
          <w:szCs w:val="22"/>
        </w:rPr>
        <w:t xml:space="preserve">The Overview is the primary weekly command centre for field representatives. It aggregates tactic performance, upcoming actions, and HCP engagement status into a single, actionable view.</w:t>
      </w:r>
    </w:p>
    <w:p>
      <w:pPr>
        <w:pStyle w:val="Heading3"/>
        <w:spacing w:after="80" w:before="200"/>
      </w:pPr>
      <w:r>
        <w:rPr>
          <w:rFonts w:ascii="Arial" w:cs="Arial" w:eastAsia="Arial" w:hAnsi="Arial"/>
          <w:b/>
          <w:bCs/>
          <w:color w:val="1A5276"/>
          <w:sz w:val="22"/>
          <w:szCs w:val="22"/>
        </w:rPr>
        <w:t xml:space="preserve">4.2.1 Weekly KPI Tactic Cards</w:t>
      </w:r>
    </w:p>
    <w:p>
      <w:pPr>
        <w:pStyle w:val="ListParagraph"/>
        <w:numPr>
          <w:ilvl w:val="0"/>
          <w:numId w:val="2"/>
        </w:numPr>
        <w:spacing w:after="60"/>
      </w:pPr>
      <w:r>
        <w:rPr>
          <w:rFonts w:ascii="Arial" w:cs="Arial" w:eastAsia="Arial" w:hAnsi="Arial"/>
          <w:sz w:val="22"/>
          <w:szCs w:val="22"/>
        </w:rPr>
        <w:t xml:space="preserve">Four tactic KPI cards: Emails, Sales Calls, CLM (Closed Loop Marketing) Sessions, 1:1 Meetings</w:t>
      </w:r>
    </w:p>
    <w:p>
      <w:pPr>
        <w:pStyle w:val="ListParagraph"/>
        <w:numPr>
          <w:ilvl w:val="0"/>
          <w:numId w:val="2"/>
        </w:numPr>
        <w:spacing w:after="60"/>
      </w:pPr>
      <w:r>
        <w:rPr>
          <w:rFonts w:ascii="Arial" w:cs="Arial" w:eastAsia="Arial" w:hAnsi="Arial"/>
          <w:sz w:val="22"/>
          <w:szCs w:val="22"/>
        </w:rPr>
        <w:t xml:space="preserve">Each card displays: completion count vs. target, percentage completion, progress bar with colour-coded status (Green ≥75%, Amber 50–74%, Red &lt;50%), and week-on-week delta</w:t>
      </w:r>
    </w:p>
    <w:p>
      <w:pPr>
        <w:pStyle w:val="ListParagraph"/>
        <w:numPr>
          <w:ilvl w:val="0"/>
          <w:numId w:val="2"/>
        </w:numPr>
        <w:spacing w:after="60"/>
      </w:pPr>
      <w:r>
        <w:rPr>
          <w:rFonts w:ascii="Arial" w:cs="Arial" w:eastAsia="Arial" w:hAnsi="Arial"/>
          <w:sz w:val="22"/>
          <w:szCs w:val="22"/>
        </w:rPr>
        <w:t xml:space="preserve">Time filter: Last 7 Days / Last 30 Days / This Quarter</w:t>
      </w:r>
    </w:p>
    <w:p>
      <w:pPr>
        <w:pStyle w:val="Heading3"/>
        <w:spacing w:after="80" w:before="200"/>
      </w:pPr>
      <w:r>
        <w:rPr>
          <w:rFonts w:ascii="Arial" w:cs="Arial" w:eastAsia="Arial" w:hAnsi="Arial"/>
          <w:b/>
          <w:bCs/>
          <w:color w:val="1A5276"/>
          <w:sz w:val="22"/>
          <w:szCs w:val="22"/>
        </w:rPr>
        <w:t xml:space="preserve">4.2.2 Completed Tactics Summary</w:t>
      </w:r>
    </w:p>
    <w:p>
      <w:pPr>
        <w:pStyle w:val="ListParagraph"/>
        <w:numPr>
          <w:ilvl w:val="0"/>
          <w:numId w:val="2"/>
        </w:numPr>
        <w:spacing w:after="60"/>
      </w:pPr>
      <w:r>
        <w:rPr>
          <w:rFonts w:ascii="Arial" w:cs="Arial" w:eastAsia="Arial" w:hAnsi="Arial"/>
          <w:sz w:val="22"/>
          <w:szCs w:val="22"/>
        </w:rPr>
        <w:t xml:space="preserve">Per-tactic progress bars showing running completion against weekly targets</w:t>
      </w:r>
    </w:p>
    <w:p>
      <w:pPr>
        <w:pStyle w:val="ListParagraph"/>
        <w:numPr>
          <w:ilvl w:val="0"/>
          <w:numId w:val="2"/>
        </w:numPr>
        <w:spacing w:after="60"/>
      </w:pPr>
      <w:r>
        <w:rPr>
          <w:rFonts w:ascii="Arial" w:cs="Arial" w:eastAsia="Arial" w:hAnsi="Arial"/>
          <w:sz w:val="22"/>
          <w:szCs w:val="22"/>
        </w:rPr>
        <w:t xml:space="preserve">Dropdown filter for time period comparison</w:t>
      </w:r>
    </w:p>
    <w:p>
      <w:pPr>
        <w:pStyle w:val="Heading3"/>
        <w:spacing w:after="80" w:before="200"/>
      </w:pPr>
      <w:r>
        <w:rPr>
          <w:rFonts w:ascii="Arial" w:cs="Arial" w:eastAsia="Arial" w:hAnsi="Arial"/>
          <w:b/>
          <w:bCs/>
          <w:color w:val="1A5276"/>
          <w:sz w:val="22"/>
          <w:szCs w:val="22"/>
        </w:rPr>
        <w:t xml:space="preserve">4.2.3 Upcoming Tactics Donut Chart</w:t>
      </w:r>
    </w:p>
    <w:p>
      <w:pPr>
        <w:pStyle w:val="ListParagraph"/>
        <w:numPr>
          <w:ilvl w:val="0"/>
          <w:numId w:val="2"/>
        </w:numPr>
        <w:spacing w:after="60"/>
      </w:pPr>
      <w:r>
        <w:rPr>
          <w:rFonts w:ascii="Arial" w:cs="Arial" w:eastAsia="Arial" w:hAnsi="Arial"/>
          <w:sz w:val="22"/>
          <w:szCs w:val="22"/>
        </w:rPr>
        <w:t xml:space="preserve">Donut chart showing the remaining tactic distribution for the current week</w:t>
      </w:r>
    </w:p>
    <w:p>
      <w:pPr>
        <w:pStyle w:val="ListParagraph"/>
        <w:numPr>
          <w:ilvl w:val="0"/>
          <w:numId w:val="2"/>
        </w:numPr>
        <w:spacing w:after="60"/>
      </w:pPr>
      <w:r>
        <w:rPr>
          <w:rFonts w:ascii="Arial" w:cs="Arial" w:eastAsia="Arial" w:hAnsi="Arial"/>
          <w:sz w:val="22"/>
          <w:szCs w:val="22"/>
        </w:rPr>
        <w:t xml:space="preserve">Breakdown legend: Emails, Calls, CLM, 1:1 remaining counts</w:t>
      </w:r>
    </w:p>
    <w:p>
      <w:pPr>
        <w:pStyle w:val="Heading3"/>
        <w:spacing w:after="80" w:before="200"/>
      </w:pPr>
      <w:r>
        <w:rPr>
          <w:rFonts w:ascii="Arial" w:cs="Arial" w:eastAsia="Arial" w:hAnsi="Arial"/>
          <w:b/>
          <w:bCs/>
          <w:color w:val="1A5276"/>
          <w:sz w:val="22"/>
          <w:szCs w:val="22"/>
        </w:rPr>
        <w:t xml:space="preserve">4.2.4 Current Week / Last Week HCP Tables</w:t>
      </w:r>
    </w:p>
    <w:p>
      <w:pPr>
        <w:pStyle w:val="ListParagraph"/>
        <w:numPr>
          <w:ilvl w:val="0"/>
          <w:numId w:val="2"/>
        </w:numPr>
        <w:spacing w:after="60"/>
      </w:pPr>
      <w:r>
        <w:rPr>
          <w:rFonts w:ascii="Arial" w:cs="Arial" w:eastAsia="Arial" w:hAnsi="Arial"/>
          <w:sz w:val="22"/>
          <w:szCs w:val="22"/>
        </w:rPr>
        <w:t xml:space="preserve">Side-by-side tables: Current Week and Last Week HCP interaction rows</w:t>
      </w:r>
    </w:p>
    <w:p>
      <w:pPr>
        <w:pStyle w:val="ListParagraph"/>
        <w:numPr>
          <w:ilvl w:val="0"/>
          <w:numId w:val="2"/>
        </w:numPr>
        <w:spacing w:after="60"/>
      </w:pPr>
      <w:r>
        <w:rPr>
          <w:rFonts w:ascii="Arial" w:cs="Arial" w:eastAsia="Arial" w:hAnsi="Arial"/>
          <w:sz w:val="22"/>
          <w:szCs w:val="22"/>
        </w:rPr>
        <w:t xml:space="preserve">Each row: Date, HCP name with avatar and affiliation count, Tactic status badges (Emails count, Calls count, CLM count)</w:t>
      </w:r>
    </w:p>
    <w:p>
      <w:pPr>
        <w:pStyle w:val="ListParagraph"/>
        <w:numPr>
          <w:ilvl w:val="0"/>
          <w:numId w:val="2"/>
        </w:numPr>
        <w:spacing w:after="60"/>
      </w:pPr>
      <w:r>
        <w:rPr>
          <w:rFonts w:ascii="Arial" w:cs="Arial" w:eastAsia="Arial" w:hAnsi="Arial"/>
          <w:sz w:val="22"/>
          <w:szCs w:val="22"/>
        </w:rPr>
        <w:t xml:space="preserve">Clickable rows navigate to HCP Statics detail view</w:t>
      </w:r>
    </w:p>
    <w:p>
      <w:pPr>
        <w:spacing w:after="60"/>
      </w:pPr>
      <w:r>
        <w:rPr>
          <w:sz w:val="22"/>
          <w:szCs w:val="22"/>
        </w:rPr>
        <w:t xml:space="preserve"> </w:t>
      </w:r>
    </w:p>
    <w:p>
      <w:pPr>
        <w:pStyle w:val="Heading2"/>
        <w:spacing w:after="120" w:before="280"/>
      </w:pPr>
      <w:r>
        <w:rPr>
          <w:rFonts w:ascii="Arial" w:cs="Arial" w:eastAsia="Arial" w:hAnsi="Arial"/>
          <w:b/>
          <w:bCs/>
          <w:color w:val="1E3348"/>
          <w:sz w:val="27"/>
          <w:szCs w:val="27"/>
        </w:rPr>
        <w:t xml:space="preserve">4.3 HCP Status Dashboard</w:t>
      </w:r>
    </w:p>
    <w:p>
      <w:pPr>
        <w:spacing w:after="80" w:before="60"/>
      </w:pPr>
      <w:r>
        <w:rPr>
          <w:rFonts w:ascii="Arial" w:cs="Arial" w:eastAsia="Arial" w:hAnsi="Arial"/>
          <w:sz w:val="22"/>
          <w:szCs w:val="22"/>
        </w:rPr>
        <w:t xml:space="preserve">A comprehensive tracking view of all HCPs in the representative's territory with individual tactic completion indicators.</w:t>
      </w:r>
    </w:p>
    <w:p>
      <w:pPr>
        <w:pStyle w:val="Heading3"/>
        <w:spacing w:after="80" w:before="200"/>
      </w:pPr>
      <w:r>
        <w:rPr>
          <w:rFonts w:ascii="Arial" w:cs="Arial" w:eastAsia="Arial" w:hAnsi="Arial"/>
          <w:b/>
          <w:bCs/>
          <w:color w:val="1A5276"/>
          <w:sz w:val="22"/>
          <w:szCs w:val="22"/>
        </w:rPr>
        <w:t xml:space="preserve">4.3.1 Columns</w:t>
      </w:r>
    </w:p>
    <w:p>
      <w:pPr>
        <w:pStyle w:val="ListParagraph"/>
        <w:numPr>
          <w:ilvl w:val="0"/>
          <w:numId w:val="2"/>
        </w:numPr>
        <w:spacing w:after="60"/>
      </w:pPr>
      <w:r>
        <w:rPr>
          <w:rFonts w:ascii="Arial" w:cs="Arial" w:eastAsia="Arial" w:hAnsi="Arial"/>
          <w:sz w:val="22"/>
          <w:szCs w:val="22"/>
        </w:rPr>
        <w:t xml:space="preserve">Date, HCP Name with segmentation label (Champion / Loyalist / Growth / At-Risk), City, Zip Code, Specialty, Product, Emails (dot matrix: filled = completed), Calls (dot matrix), CLM (dot matrix), 1:1 (dot matrix), NBA Status (On Track / At Risk / Monitor)</w:t>
      </w:r>
    </w:p>
    <w:p>
      <w:pPr>
        <w:pStyle w:val="Heading3"/>
        <w:spacing w:after="80" w:before="200"/>
      </w:pPr>
      <w:r>
        <w:rPr>
          <w:rFonts w:ascii="Arial" w:cs="Arial" w:eastAsia="Arial" w:hAnsi="Arial"/>
          <w:b/>
          <w:bCs/>
          <w:color w:val="1A5276"/>
          <w:sz w:val="22"/>
          <w:szCs w:val="22"/>
        </w:rPr>
        <w:t xml:space="preserve">4.3.2 Dot Matrix Indicator</w:t>
      </w:r>
    </w:p>
    <w:p>
      <w:pPr>
        <w:pStyle w:val="ListParagraph"/>
        <w:numPr>
          <w:ilvl w:val="0"/>
          <w:numId w:val="2"/>
        </w:numPr>
        <w:spacing w:after="60"/>
      </w:pPr>
      <w:r>
        <w:rPr>
          <w:rFonts w:ascii="Arial" w:cs="Arial" w:eastAsia="Arial" w:hAnsi="Arial"/>
          <w:sz w:val="22"/>
          <w:szCs w:val="22"/>
        </w:rPr>
        <w:t xml:space="preserve">Each tactic shown as a count badge (e.g. 3/5) followed by colour-coded dots: filled teal = completed, empty grey = remaining</w:t>
      </w:r>
    </w:p>
    <w:p>
      <w:pPr>
        <w:pStyle w:val="ListParagraph"/>
        <w:numPr>
          <w:ilvl w:val="0"/>
          <w:numId w:val="2"/>
        </w:numPr>
        <w:spacing w:after="60"/>
      </w:pPr>
      <w:r>
        <w:rPr>
          <w:rFonts w:ascii="Arial" w:cs="Arial" w:eastAsia="Arial" w:hAnsi="Arial"/>
          <w:sz w:val="22"/>
          <w:szCs w:val="22"/>
        </w:rPr>
        <w:t xml:space="preserve">Provides immediate visual scan of engagement completeness per HCP</w:t>
      </w:r>
    </w:p>
    <w:p>
      <w:pPr>
        <w:spacing w:after="60"/>
      </w:pPr>
      <w:r>
        <w:rPr>
          <w:sz w:val="22"/>
          <w:szCs w:val="22"/>
        </w:rPr>
        <w:t xml:space="preserve"> </w:t>
      </w:r>
    </w:p>
    <w:p>
      <w:pPr>
        <w:pStyle w:val="Heading2"/>
        <w:spacing w:after="120" w:before="280"/>
      </w:pPr>
      <w:r>
        <w:rPr>
          <w:rFonts w:ascii="Arial" w:cs="Arial" w:eastAsia="Arial" w:hAnsi="Arial"/>
          <w:b/>
          <w:bCs/>
          <w:color w:val="1E3348"/>
          <w:sz w:val="27"/>
          <w:szCs w:val="27"/>
        </w:rPr>
        <w:t xml:space="preserve">4.4 HCP Statics — Individual Profile</w:t>
      </w:r>
    </w:p>
    <w:p>
      <w:pPr>
        <w:spacing w:after="80" w:before="60"/>
      </w:pPr>
      <w:r>
        <w:rPr>
          <w:rFonts w:ascii="Arial" w:cs="Arial" w:eastAsia="Arial" w:hAnsi="Arial"/>
          <w:sz w:val="22"/>
          <w:szCs w:val="22"/>
        </w:rPr>
        <w:t xml:space="preserve">Clicking any HCP row opens the full HCP Statics view — a 360° profile of the HCP with engagement intelligence, revenue tracking, and journey map management.</w:t>
      </w:r>
    </w:p>
    <w:p>
      <w:pPr>
        <w:pStyle w:val="Heading3"/>
        <w:spacing w:after="80" w:before="200"/>
      </w:pPr>
      <w:r>
        <w:rPr>
          <w:rFonts w:ascii="Arial" w:cs="Arial" w:eastAsia="Arial" w:hAnsi="Arial"/>
          <w:b/>
          <w:bCs/>
          <w:color w:val="1A5276"/>
          <w:sz w:val="22"/>
          <w:szCs w:val="22"/>
        </w:rPr>
        <w:t xml:space="preserve">4.4.1 Profile Card</w:t>
      </w:r>
    </w:p>
    <w:p>
      <w:pPr>
        <w:pStyle w:val="ListParagraph"/>
        <w:numPr>
          <w:ilvl w:val="0"/>
          <w:numId w:val="2"/>
        </w:numPr>
        <w:spacing w:after="60"/>
      </w:pPr>
      <w:r>
        <w:rPr>
          <w:rFonts w:ascii="Arial" w:cs="Arial" w:eastAsia="Arial" w:hAnsi="Arial"/>
          <w:sz w:val="22"/>
          <w:szCs w:val="22"/>
        </w:rPr>
        <w:t xml:space="preserve">HCP name, specialty, segment (Champion/Loyalist/Growth/At-Risk), priority (High/Medium/Low)</w:t>
      </w:r>
    </w:p>
    <w:p>
      <w:pPr>
        <w:pStyle w:val="ListParagraph"/>
        <w:numPr>
          <w:ilvl w:val="0"/>
          <w:numId w:val="2"/>
        </w:numPr>
        <w:spacing w:after="60"/>
      </w:pPr>
      <w:r>
        <w:rPr>
          <w:rFonts w:ascii="Arial" w:cs="Arial" w:eastAsia="Arial" w:hAnsi="Arial"/>
          <w:sz w:val="22"/>
          <w:szCs w:val="22"/>
        </w:rPr>
        <w:t xml:space="preserve">Experience (years), Relationship Duration, Drug Affiliation, Territory City/State/Zip</w:t>
      </w:r>
    </w:p>
    <w:p>
      <w:pPr>
        <w:pStyle w:val="ListParagraph"/>
        <w:numPr>
          <w:ilvl w:val="0"/>
          <w:numId w:val="2"/>
        </w:numPr>
        <w:spacing w:after="60"/>
      </w:pPr>
      <w:r>
        <w:rPr>
          <w:rFonts w:ascii="Arial" w:cs="Arial" w:eastAsia="Arial" w:hAnsi="Arial"/>
          <w:sz w:val="22"/>
          <w:szCs w:val="22"/>
        </w:rPr>
        <w:t xml:space="preserve">Digital Affinity Score — percentage donut chart, colour-coded: teal ≥80%, amber 60–79%, red &lt;60%</w:t>
      </w:r>
    </w:p>
    <w:p>
      <w:pPr>
        <w:pStyle w:val="ListParagraph"/>
        <w:numPr>
          <w:ilvl w:val="0"/>
          <w:numId w:val="2"/>
        </w:numPr>
        <w:spacing w:after="60"/>
      </w:pPr>
      <w:r>
        <w:rPr>
          <w:rFonts w:ascii="Arial" w:cs="Arial" w:eastAsia="Arial" w:hAnsi="Arial"/>
          <w:sz w:val="22"/>
          <w:szCs w:val="22"/>
        </w:rPr>
        <w:t xml:space="preserve">HCP Affiliations — stacked avatar group with total affiliation count</w:t>
      </w:r>
    </w:p>
    <w:p>
      <w:pPr>
        <w:pStyle w:val="ListParagraph"/>
        <w:numPr>
          <w:ilvl w:val="0"/>
          <w:numId w:val="2"/>
        </w:numPr>
        <w:spacing w:after="60"/>
      </w:pPr>
      <w:r>
        <w:rPr>
          <w:rFonts w:ascii="Arial" w:cs="Arial" w:eastAsia="Arial" w:hAnsi="Arial"/>
          <w:sz w:val="22"/>
          <w:szCs w:val="22"/>
        </w:rPr>
        <w:t xml:space="preserve">NBA Recommendation callout — ML-generated plain language guidance for the next interaction</w:t>
      </w:r>
    </w:p>
    <w:p>
      <w:pPr>
        <w:pStyle w:val="Heading3"/>
        <w:spacing w:after="80" w:before="200"/>
      </w:pPr>
      <w:r>
        <w:rPr>
          <w:rFonts w:ascii="Arial" w:cs="Arial" w:eastAsia="Arial" w:hAnsi="Arial"/>
          <w:b/>
          <w:bCs/>
          <w:color w:val="1A5276"/>
          <w:sz w:val="22"/>
          <w:szCs w:val="22"/>
        </w:rPr>
        <w:t xml:space="preserve">4.4.2 HCP Territory Map</w:t>
      </w:r>
    </w:p>
    <w:p>
      <w:pPr>
        <w:pStyle w:val="ListParagraph"/>
        <w:numPr>
          <w:ilvl w:val="0"/>
          <w:numId w:val="2"/>
        </w:numPr>
        <w:spacing w:after="60"/>
      </w:pPr>
      <w:r>
        <w:rPr>
          <w:rFonts w:ascii="Arial" w:cs="Arial" w:eastAsia="Arial" w:hAnsi="Arial"/>
          <w:sz w:val="22"/>
          <w:szCs w:val="22"/>
        </w:rPr>
        <w:t xml:space="preserve">Geographic map centred on the HCP's territory showing surrounding HCP markers</w:t>
      </w:r>
    </w:p>
    <w:p>
      <w:pPr>
        <w:pStyle w:val="ListParagraph"/>
        <w:numPr>
          <w:ilvl w:val="0"/>
          <w:numId w:val="2"/>
        </w:numPr>
        <w:spacing w:after="60"/>
      </w:pPr>
      <w:r>
        <w:rPr>
          <w:rFonts w:ascii="Arial" w:cs="Arial" w:eastAsia="Arial" w:hAnsi="Arial"/>
          <w:sz w:val="22"/>
          <w:szCs w:val="22"/>
        </w:rPr>
        <w:t xml:space="preserve">Colour-coded pins: Primary HCP (teal), Active (green), Monitor (amber), Inactive (grey)</w:t>
      </w:r>
    </w:p>
    <w:p>
      <w:pPr>
        <w:pStyle w:val="ListParagraph"/>
        <w:numPr>
          <w:ilvl w:val="0"/>
          <w:numId w:val="2"/>
        </w:numPr>
        <w:spacing w:after="60"/>
      </w:pPr>
      <w:r>
        <w:rPr>
          <w:rFonts w:ascii="Arial" w:cs="Arial" w:eastAsia="Arial" w:hAnsi="Arial"/>
          <w:sz w:val="22"/>
          <w:szCs w:val="22"/>
        </w:rPr>
        <w:t xml:space="preserve">Hover tooltip shows HCP name and proximity distance</w:t>
      </w:r>
    </w:p>
    <w:p>
      <w:pPr>
        <w:pStyle w:val="ListParagraph"/>
        <w:numPr>
          <w:ilvl w:val="0"/>
          <w:numId w:val="2"/>
        </w:numPr>
        <w:spacing w:after="60"/>
      </w:pPr>
      <w:r>
        <w:rPr>
          <w:rFonts w:ascii="Arial" w:cs="Arial" w:eastAsia="Arial" w:hAnsi="Arial"/>
          <w:sz w:val="22"/>
          <w:szCs w:val="22"/>
        </w:rPr>
        <w:t xml:space="preserve">'Full View' expands to territory-wide map</w:t>
      </w:r>
    </w:p>
    <w:p>
      <w:pPr>
        <w:pStyle w:val="Heading3"/>
        <w:spacing w:after="80" w:before="200"/>
      </w:pPr>
      <w:r>
        <w:rPr>
          <w:rFonts w:ascii="Arial" w:cs="Arial" w:eastAsia="Arial" w:hAnsi="Arial"/>
          <w:b/>
          <w:bCs/>
          <w:color w:val="1A5276"/>
          <w:sz w:val="22"/>
          <w:szCs w:val="22"/>
        </w:rPr>
        <w:t xml:space="preserve">4.4.3 Revenue Metrics</w:t>
      </w:r>
    </w:p>
    <w:p>
      <w:pPr>
        <w:pStyle w:val="ListParagraph"/>
        <w:numPr>
          <w:ilvl w:val="0"/>
          <w:numId w:val="2"/>
        </w:numPr>
        <w:spacing w:after="60"/>
      </w:pPr>
      <w:r>
        <w:rPr>
          <w:rFonts w:ascii="Arial" w:cs="Arial" w:eastAsia="Arial" w:hAnsi="Arial"/>
          <w:sz w:val="22"/>
          <w:szCs w:val="22"/>
        </w:rPr>
        <w:t xml:space="preserve">Three KPI stats: Total Revenue (with YoY growth %), Last Year Revenue, Last Quarter Revenue</w:t>
      </w:r>
    </w:p>
    <w:p>
      <w:pPr>
        <w:pStyle w:val="ListParagraph"/>
        <w:numPr>
          <w:ilvl w:val="0"/>
          <w:numId w:val="2"/>
        </w:numPr>
        <w:spacing w:after="60"/>
      </w:pPr>
      <w:r>
        <w:rPr>
          <w:rFonts w:ascii="Arial" w:cs="Arial" w:eastAsia="Arial" w:hAnsi="Arial"/>
          <w:sz w:val="22"/>
          <w:szCs w:val="22"/>
        </w:rPr>
        <w:t xml:space="preserve">Time filter: Yearly / Quarterly / Weekly</w:t>
      </w:r>
    </w:p>
    <w:p>
      <w:pPr>
        <w:pStyle w:val="ListParagraph"/>
        <w:numPr>
          <w:ilvl w:val="0"/>
          <w:numId w:val="2"/>
        </w:numPr>
        <w:spacing w:after="60"/>
      </w:pPr>
      <w:r>
        <w:rPr>
          <w:rFonts w:ascii="Arial" w:cs="Arial" w:eastAsia="Arial" w:hAnsi="Arial"/>
          <w:sz w:val="22"/>
          <w:szCs w:val="22"/>
        </w:rPr>
        <w:t xml:space="preserve">Monthly bar chart — current month highlighted in teal, past months in blue, future in grey</w:t>
      </w:r>
    </w:p>
    <w:p>
      <w:pPr>
        <w:pStyle w:val="Heading3"/>
        <w:spacing w:after="80" w:before="200"/>
      </w:pPr>
      <w:r>
        <w:rPr>
          <w:rFonts w:ascii="Arial" w:cs="Arial" w:eastAsia="Arial" w:hAnsi="Arial"/>
          <w:b/>
          <w:bCs/>
          <w:color w:val="1A5276"/>
          <w:sz w:val="22"/>
          <w:szCs w:val="22"/>
        </w:rPr>
        <w:t xml:space="preserve">4.4.4 Ongoing Journey Map</w:t>
      </w:r>
    </w:p>
    <w:p>
      <w:pPr>
        <w:pStyle w:val="ListParagraph"/>
        <w:numPr>
          <w:ilvl w:val="0"/>
          <w:numId w:val="2"/>
        </w:numPr>
        <w:spacing w:after="60"/>
      </w:pPr>
      <w:r>
        <w:rPr>
          <w:rFonts w:ascii="Arial" w:cs="Arial" w:eastAsia="Arial" w:hAnsi="Arial"/>
          <w:sz w:val="22"/>
          <w:szCs w:val="22"/>
        </w:rPr>
        <w:t xml:space="preserve">Visual timeline of the current NBA tactic sequence: nodes for Email → CLM → 1:1 → Call → 1:1 (order ML-determined)</w:t>
      </w:r>
    </w:p>
    <w:p>
      <w:pPr>
        <w:pStyle w:val="ListParagraph"/>
        <w:numPr>
          <w:ilvl w:val="0"/>
          <w:numId w:val="2"/>
        </w:numPr>
        <w:spacing w:after="60"/>
      </w:pPr>
      <w:r>
        <w:rPr>
          <w:rFonts w:ascii="Arial" w:cs="Arial" w:eastAsia="Arial" w:hAnsi="Arial"/>
          <w:sz w:val="22"/>
          <w:szCs w:val="22"/>
        </w:rPr>
        <w:t xml:space="preserve">Node states: Completed (teal border + ✓ badge), Pending (amber badge), Upcoming (grey badge)</w:t>
      </w:r>
    </w:p>
    <w:p>
      <w:pPr>
        <w:pStyle w:val="ListParagraph"/>
        <w:numPr>
          <w:ilvl w:val="0"/>
          <w:numId w:val="2"/>
        </w:numPr>
        <w:spacing w:after="60"/>
      </w:pPr>
      <w:r>
        <w:rPr>
          <w:rFonts w:ascii="Arial" w:cs="Arial" w:eastAsia="Arial" w:hAnsi="Arial"/>
          <w:sz w:val="22"/>
          <w:szCs w:val="22"/>
        </w:rPr>
        <w:t xml:space="preserve">Journey actions: Integrate (CRM/ERP/Workflow/Source), Filter, Add Tactic, Edit</w:t>
      </w:r>
    </w:p>
    <w:p>
      <w:pPr>
        <w:pStyle w:val="ListParagraph"/>
        <w:numPr>
          <w:ilvl w:val="0"/>
          <w:numId w:val="2"/>
        </w:numPr>
        <w:spacing w:after="60"/>
      </w:pPr>
      <w:r>
        <w:rPr>
          <w:rFonts w:ascii="Arial" w:cs="Arial" w:eastAsia="Arial" w:hAnsi="Arial"/>
          <w:sz w:val="22"/>
          <w:szCs w:val="22"/>
        </w:rPr>
        <w:t xml:space="preserve">Integrate dropdown: 'Integrate with CRM', 'Add to Workflow', 'Sync to ERP', 'Export Source'</w:t>
      </w:r>
    </w:p>
    <w:p>
      <w:pPr>
        <w:pStyle w:val="Heading3"/>
        <w:spacing w:after="80" w:before="200"/>
      </w:pPr>
      <w:r>
        <w:rPr>
          <w:rFonts w:ascii="Arial" w:cs="Arial" w:eastAsia="Arial" w:hAnsi="Arial"/>
          <w:b/>
          <w:bCs/>
          <w:color w:val="1A5276"/>
          <w:sz w:val="22"/>
          <w:szCs w:val="22"/>
        </w:rPr>
        <w:t xml:space="preserve">4.4.5 Tactic Comparison Tables</w:t>
      </w:r>
    </w:p>
    <w:p>
      <w:pPr>
        <w:pStyle w:val="ListParagraph"/>
        <w:numPr>
          <w:ilvl w:val="0"/>
          <w:numId w:val="2"/>
        </w:numPr>
        <w:spacing w:after="60"/>
      </w:pPr>
      <w:r>
        <w:rPr>
          <w:rFonts w:ascii="Arial" w:cs="Arial" w:eastAsia="Arial" w:hAnsi="Arial"/>
          <w:sz w:val="22"/>
          <w:szCs w:val="22"/>
        </w:rPr>
        <w:t xml:space="preserve">Current Week Tactics table: Tactic 1 (Emails + count), Tactic 2 (Calls + count), Tactic 3 (CLM + count), Tactic 4 (1:1 + count), Sales (dash if current)</w:t>
      </w:r>
    </w:p>
    <w:p>
      <w:pPr>
        <w:pStyle w:val="ListParagraph"/>
        <w:numPr>
          <w:ilvl w:val="0"/>
          <w:numId w:val="2"/>
        </w:numPr>
        <w:spacing w:after="60"/>
      </w:pPr>
      <w:r>
        <w:rPr>
          <w:rFonts w:ascii="Arial" w:cs="Arial" w:eastAsia="Arial" w:hAnsi="Arial"/>
          <w:sz w:val="22"/>
          <w:szCs w:val="22"/>
        </w:rPr>
        <w:t xml:space="preserve">Last Week Tactics table: Same structure with actual revenue generated ($) in Sales column</w:t>
      </w:r>
    </w:p>
    <w:p>
      <w:pPr>
        <w:spacing w:after="60"/>
      </w:pPr>
      <w:r>
        <w:rPr>
          <w:sz w:val="22"/>
          <w:szCs w:val="22"/>
        </w:rPr>
        <w:t xml:space="preserve"> </w:t>
      </w:r>
    </w:p>
    <w:p>
      <w:pPr>
        <w:pStyle w:val="Heading2"/>
        <w:spacing w:after="120" w:before="280"/>
      </w:pPr>
      <w:r>
        <w:rPr>
          <w:rFonts w:ascii="Arial" w:cs="Arial" w:eastAsia="Arial" w:hAnsi="Arial"/>
          <w:b/>
          <w:bCs/>
          <w:color w:val="1E3348"/>
          <w:sz w:val="27"/>
          <w:szCs w:val="27"/>
        </w:rPr>
        <w:t xml:space="preserve">4.5 Performance &amp; Target Module</w:t>
      </w:r>
    </w:p>
    <w:p>
      <w:pPr>
        <w:spacing w:after="80" w:before="60"/>
      </w:pPr>
      <w:r>
        <w:rPr>
          <w:rFonts w:ascii="Arial" w:cs="Arial" w:eastAsia="Arial" w:hAnsi="Arial"/>
          <w:sz w:val="22"/>
          <w:szCs w:val="22"/>
        </w:rPr>
        <w:t xml:space="preserve">A searchable, filterable, downloadable directory of all HCPs in the representative's territory with commercial context.</w:t>
      </w:r>
    </w:p>
    <w:p>
      <w:pPr>
        <w:pStyle w:val="ListParagraph"/>
        <w:numPr>
          <w:ilvl w:val="0"/>
          <w:numId w:val="2"/>
        </w:numPr>
        <w:spacing w:after="60"/>
      </w:pPr>
      <w:r>
        <w:rPr>
          <w:rFonts w:ascii="Arial" w:cs="Arial" w:eastAsia="Arial" w:hAnsi="Arial"/>
          <w:sz w:val="22"/>
          <w:szCs w:val="22"/>
        </w:rPr>
        <w:t xml:space="preserve">Columns: HCP (with avatar), City, State, Zip Code, Specialty tag, Product, Priority tag, Segment tag, NBA summary (truncated tooltip), View action</w:t>
      </w:r>
    </w:p>
    <w:p>
      <w:pPr>
        <w:pStyle w:val="ListParagraph"/>
        <w:numPr>
          <w:ilvl w:val="0"/>
          <w:numId w:val="2"/>
        </w:numPr>
        <w:spacing w:after="60"/>
      </w:pPr>
      <w:r>
        <w:rPr>
          <w:rFonts w:ascii="Arial" w:cs="Arial" w:eastAsia="Arial" w:hAnsi="Arial"/>
          <w:sz w:val="22"/>
          <w:szCs w:val="22"/>
        </w:rPr>
        <w:t xml:space="preserve">Search bar filtering by HCP name and specialty</w:t>
      </w:r>
    </w:p>
    <w:p>
      <w:pPr>
        <w:pStyle w:val="ListParagraph"/>
        <w:numPr>
          <w:ilvl w:val="0"/>
          <w:numId w:val="2"/>
        </w:numPr>
        <w:spacing w:after="60"/>
      </w:pPr>
      <w:r>
        <w:rPr>
          <w:rFonts w:ascii="Arial" w:cs="Arial" w:eastAsia="Arial" w:hAnsi="Arial"/>
          <w:sz w:val="22"/>
          <w:szCs w:val="22"/>
        </w:rPr>
        <w:t xml:space="preserve">Controls: Filter, Sort, Download (CSV/Excel), Share (link or export)</w:t>
      </w:r>
    </w:p>
    <w:p>
      <w:pPr>
        <w:pStyle w:val="ListParagraph"/>
        <w:numPr>
          <w:ilvl w:val="0"/>
          <w:numId w:val="2"/>
        </w:numPr>
        <w:spacing w:after="60"/>
      </w:pPr>
      <w:r>
        <w:rPr>
          <w:rFonts w:ascii="Arial" w:cs="Arial" w:eastAsia="Arial" w:hAnsi="Arial"/>
          <w:sz w:val="22"/>
          <w:szCs w:val="22"/>
        </w:rPr>
        <w:t xml:space="preserve">Clickable View → opens HCP Statics detail view</w:t>
      </w:r>
    </w:p>
    <w:p>
      <w:pPr>
        <w:spacing w:after="60"/>
      </w:pPr>
      <w:r>
        <w:rPr>
          <w:sz w:val="22"/>
          <w:szCs w:val="22"/>
        </w:rPr>
        <w:t xml:space="preserve"> </w:t>
      </w:r>
    </w:p>
    <w:p>
      <w:pPr>
        <w:pStyle w:val="Heading2"/>
        <w:spacing w:after="120" w:before="280"/>
      </w:pPr>
      <w:r>
        <w:rPr>
          <w:rFonts w:ascii="Arial" w:cs="Arial" w:eastAsia="Arial" w:hAnsi="Arial"/>
          <w:b/>
          <w:bCs/>
          <w:color w:val="1E3348"/>
          <w:sz w:val="27"/>
          <w:szCs w:val="27"/>
        </w:rPr>
        <w:t xml:space="preserve">4.6 Heat Map &amp; Metrics — Territory Intelligence</w:t>
      </w:r>
    </w:p>
    <w:p>
      <w:pPr>
        <w:spacing w:after="80" w:before="60"/>
      </w:pPr>
      <w:r>
        <w:rPr>
          <w:rFonts w:ascii="Arial" w:cs="Arial" w:eastAsia="Arial" w:hAnsi="Arial"/>
          <w:sz w:val="22"/>
          <w:szCs w:val="22"/>
        </w:rPr>
        <w:t xml:space="preserve">An interactive territory visualisation tool for understanding tactic effectiveness across geographic areas.</w:t>
      </w:r>
    </w:p>
    <w:p>
      <w:pPr>
        <w:pStyle w:val="ListParagraph"/>
        <w:numPr>
          <w:ilvl w:val="0"/>
          <w:numId w:val="2"/>
        </w:numPr>
        <w:spacing w:after="60"/>
      </w:pPr>
      <w:r>
        <w:rPr>
          <w:rFonts w:ascii="Arial" w:cs="Arial" w:eastAsia="Arial" w:hAnsi="Arial"/>
          <w:sz w:val="22"/>
          <w:szCs w:val="22"/>
        </w:rPr>
        <w:t xml:space="preserve">Drag (or click) tactic panel — Emails, Calls, CLM, 1-on-1, Social Media — onto the US territory map</w:t>
      </w:r>
    </w:p>
    <w:p>
      <w:pPr>
        <w:pStyle w:val="ListParagraph"/>
        <w:numPr>
          <w:ilvl w:val="0"/>
          <w:numId w:val="2"/>
        </w:numPr>
        <w:spacing w:after="60"/>
      </w:pPr>
      <w:r>
        <w:rPr>
          <w:rFonts w:ascii="Arial" w:cs="Arial" w:eastAsia="Arial" w:hAnsi="Arial"/>
          <w:sz w:val="22"/>
          <w:szCs w:val="22"/>
        </w:rPr>
        <w:t xml:space="preserve">Map updates to a choropleth view: state/region circles sized by HCP count, coloured by tactic responsiveness (Green = High, Amber = Moderate, Red = Low)</w:t>
      </w:r>
    </w:p>
    <w:p>
      <w:pPr>
        <w:pStyle w:val="ListParagraph"/>
        <w:numPr>
          <w:ilvl w:val="0"/>
          <w:numId w:val="2"/>
        </w:numPr>
        <w:spacing w:after="60"/>
      </w:pPr>
      <w:r>
        <w:rPr>
          <w:rFonts w:ascii="Arial" w:cs="Arial" w:eastAsia="Arial" w:hAnsi="Arial"/>
          <w:sz w:val="22"/>
          <w:szCs w:val="22"/>
        </w:rPr>
        <w:t xml:space="preserve">Report panel: Total HCP count with breakdown by responsiveness tier (Red/Amber/Green) and tactic effectiveness progress bar</w:t>
      </w:r>
    </w:p>
    <w:p>
      <w:pPr>
        <w:pStyle w:val="ListParagraph"/>
        <w:numPr>
          <w:ilvl w:val="0"/>
          <w:numId w:val="2"/>
        </w:numPr>
        <w:spacing w:after="60"/>
      </w:pPr>
      <w:r>
        <w:rPr>
          <w:rFonts w:ascii="Arial" w:cs="Arial" w:eastAsia="Arial" w:hAnsi="Arial"/>
          <w:sz w:val="22"/>
          <w:szCs w:val="22"/>
        </w:rPr>
        <w:t xml:space="preserve">Map controls: Filter, Download, Share</w:t>
      </w:r>
    </w:p>
    <w:p>
      <w:r>
        <w:br w:type="page"/>
      </w:r>
    </w:p>
    <w:p>
      <w:pPr>
        <w:pStyle w:val="Heading1"/>
        <w:spacing w:after="160" w:before="400"/>
      </w:pPr>
      <w:r>
        <w:rPr>
          <w:rFonts w:ascii="Arial" w:cs="Arial" w:eastAsia="Arial" w:hAnsi="Arial"/>
          <w:b/>
          <w:bCs/>
          <w:color w:val="0D1B2A"/>
          <w:sz w:val="34"/>
          <w:szCs w:val="34"/>
        </w:rPr>
        <w:t xml:space="preserve">5. Analytics Workbench Module — Feature Specification</w:t>
      </w:r>
    </w:p>
    <w:p>
      <w:pPr>
        <w:pBdr>
          <w:bottom w:val="single" w:color="00B482" w:sz="4"/>
        </w:pBdr>
        <w:spacing w:after="120" w:before="120"/>
      </w:pPr>
    </w:p>
    <w:p>
      <w:pPr>
        <w:pStyle w:val="Heading2"/>
        <w:spacing w:after="120" w:before="280"/>
      </w:pPr>
      <w:r>
        <w:rPr>
          <w:rFonts w:ascii="Arial" w:cs="Arial" w:eastAsia="Arial" w:hAnsi="Arial"/>
          <w:b/>
          <w:bCs/>
          <w:color w:val="1E3348"/>
          <w:sz w:val="27"/>
          <w:szCs w:val="27"/>
        </w:rPr>
        <w:t xml:space="preserve">5.1 Create Model Panel</w:t>
      </w:r>
    </w:p>
    <w:p>
      <w:pPr>
        <w:pStyle w:val="Heading3"/>
        <w:spacing w:after="80" w:before="200"/>
      </w:pPr>
      <w:r>
        <w:rPr>
          <w:rFonts w:ascii="Arial" w:cs="Arial" w:eastAsia="Arial" w:hAnsi="Arial"/>
          <w:b/>
          <w:bCs/>
          <w:color w:val="1A5276"/>
          <w:sz w:val="22"/>
          <w:szCs w:val="22"/>
        </w:rPr>
        <w:t xml:space="preserve">5.1.1 Use Case Definition</w:t>
      </w:r>
    </w:p>
    <w:p>
      <w:pPr>
        <w:pStyle w:val="ListParagraph"/>
        <w:numPr>
          <w:ilvl w:val="0"/>
          <w:numId w:val="2"/>
        </w:numPr>
        <w:spacing w:after="60"/>
      </w:pPr>
      <w:r>
        <w:rPr>
          <w:rFonts w:ascii="Arial" w:cs="Arial" w:eastAsia="Arial" w:hAnsi="Arial"/>
          <w:sz w:val="22"/>
          <w:szCs w:val="22"/>
        </w:rPr>
        <w:t xml:space="preserve">Free-text use case description field — captures the business objective for the model (e.g. 'Predict HCP next best action for Drug X in Q2 2025')</w:t>
      </w:r>
    </w:p>
    <w:p>
      <w:pPr>
        <w:pStyle w:val="ListParagraph"/>
        <w:numPr>
          <w:ilvl w:val="0"/>
          <w:numId w:val="2"/>
        </w:numPr>
        <w:spacing w:after="60"/>
      </w:pPr>
      <w:r>
        <w:rPr>
          <w:rFonts w:ascii="Arial" w:cs="Arial" w:eastAsia="Arial" w:hAnsi="Arial"/>
          <w:sz w:val="22"/>
          <w:szCs w:val="22"/>
        </w:rPr>
        <w:t xml:space="preserve">Stakeholders &amp; Department selector — tags the model to a business sponsor (Commercial Excellence / Marketing Operations / Sales Analytics / Medical Affairs / Market Access)</w:t>
      </w:r>
    </w:p>
    <w:p>
      <w:pPr>
        <w:pStyle w:val="ListParagraph"/>
        <w:numPr>
          <w:ilvl w:val="0"/>
          <w:numId w:val="2"/>
        </w:numPr>
        <w:spacing w:after="60"/>
      </w:pPr>
      <w:r>
        <w:rPr>
          <w:rFonts w:ascii="Arial" w:cs="Arial" w:eastAsia="Arial" w:hAnsi="Arial"/>
          <w:sz w:val="22"/>
          <w:szCs w:val="22"/>
        </w:rPr>
        <w:t xml:space="preserve">'Get Data' button — triggers a data pull from configured source connections based on the use case context</w:t>
      </w:r>
    </w:p>
    <w:p>
      <w:pPr>
        <w:pStyle w:val="Heading3"/>
        <w:spacing w:after="80" w:before="200"/>
      </w:pPr>
      <w:r>
        <w:rPr>
          <w:rFonts w:ascii="Arial" w:cs="Arial" w:eastAsia="Arial" w:hAnsi="Arial"/>
          <w:b/>
          <w:bCs/>
          <w:color w:val="1A5276"/>
          <w:sz w:val="22"/>
          <w:szCs w:val="22"/>
        </w:rPr>
        <w:t xml:space="preserve">5.1.2 Data Source &amp; Selection</w:t>
      </w:r>
    </w:p>
    <w:p>
      <w:pPr>
        <w:pStyle w:val="ListParagraph"/>
        <w:numPr>
          <w:ilvl w:val="0"/>
          <w:numId w:val="2"/>
        </w:numPr>
        <w:spacing w:after="60"/>
      </w:pPr>
      <w:r>
        <w:rPr>
          <w:rFonts w:ascii="Arial" w:cs="Arial" w:eastAsia="Arial" w:hAnsi="Arial"/>
          <w:sz w:val="22"/>
          <w:szCs w:val="22"/>
        </w:rPr>
        <w:t xml:space="preserve">Source selector panel — four pre-configured data source types: CRM, ERP, DWH, BI</w:t>
      </w:r>
    </w:p>
    <w:p>
      <w:pPr>
        <w:pStyle w:val="ListParagraph"/>
        <w:numPr>
          <w:ilvl w:val="0"/>
          <w:numId w:val="2"/>
        </w:numPr>
        <w:spacing w:after="60"/>
      </w:pPr>
      <w:r>
        <w:rPr>
          <w:rFonts w:ascii="Arial" w:cs="Arial" w:eastAsia="Arial" w:hAnsi="Arial"/>
          <w:sz w:val="22"/>
          <w:szCs w:val="22"/>
        </w:rPr>
        <w:t xml:space="preserve">Each source exposes available dataset checkboxes (e.g. CRM: Sales_Drug X, Marketing Spend_Drug X, HCP_Drug X, Email Engagement_Drug X)</w:t>
      </w:r>
    </w:p>
    <w:p>
      <w:pPr>
        <w:pStyle w:val="ListParagraph"/>
        <w:numPr>
          <w:ilvl w:val="0"/>
          <w:numId w:val="2"/>
        </w:numPr>
        <w:spacing w:after="60"/>
      </w:pPr>
      <w:r>
        <w:rPr>
          <w:rFonts w:ascii="Arial" w:cs="Arial" w:eastAsia="Arial" w:hAnsi="Arial"/>
          <w:sz w:val="22"/>
          <w:szCs w:val="22"/>
        </w:rPr>
        <w:t xml:space="preserve">Added Data panel — shows currently selected datasets with individual remove controls</w:t>
      </w:r>
    </w:p>
    <w:p>
      <w:pPr>
        <w:pStyle w:val="ListParagraph"/>
        <w:numPr>
          <w:ilvl w:val="0"/>
          <w:numId w:val="2"/>
        </w:numPr>
        <w:spacing w:after="60"/>
      </w:pPr>
      <w:r>
        <w:rPr>
          <w:rFonts w:ascii="Arial" w:cs="Arial" w:eastAsia="Arial" w:hAnsi="Arial"/>
          <w:sz w:val="22"/>
          <w:szCs w:val="22"/>
        </w:rPr>
        <w:t xml:space="preserve">Temporal granularity selector — Day / Week / Month / Quarter</w:t>
      </w:r>
    </w:p>
    <w:p>
      <w:pPr>
        <w:pStyle w:val="ListParagraph"/>
        <w:numPr>
          <w:ilvl w:val="0"/>
          <w:numId w:val="2"/>
        </w:numPr>
        <w:spacing w:after="60"/>
      </w:pPr>
      <w:r>
        <w:rPr>
          <w:rFonts w:ascii="Arial" w:cs="Arial" w:eastAsia="Arial" w:hAnsi="Arial"/>
          <w:sz w:val="22"/>
          <w:szCs w:val="22"/>
        </w:rPr>
        <w:t xml:space="preserve">'Run Data' trigger — loads and previews the combined dataset in the Data Presence List</w:t>
      </w:r>
    </w:p>
    <w:p>
      <w:pPr>
        <w:pStyle w:val="Heading3"/>
        <w:spacing w:after="80" w:before="200"/>
      </w:pPr>
      <w:r>
        <w:rPr>
          <w:rFonts w:ascii="Arial" w:cs="Arial" w:eastAsia="Arial" w:hAnsi="Arial"/>
          <w:b/>
          <w:bCs/>
          <w:color w:val="1A5276"/>
          <w:sz w:val="22"/>
          <w:szCs w:val="22"/>
        </w:rPr>
        <w:t xml:space="preserve">5.1.3 Data Presence List</w:t>
      </w:r>
    </w:p>
    <w:p>
      <w:pPr>
        <w:pStyle w:val="ListParagraph"/>
        <w:numPr>
          <w:ilvl w:val="0"/>
          <w:numId w:val="2"/>
        </w:numPr>
        <w:spacing w:after="60"/>
      </w:pPr>
      <w:r>
        <w:rPr>
          <w:rFonts w:ascii="Arial" w:cs="Arial" w:eastAsia="Arial" w:hAnsi="Arial"/>
          <w:sz w:val="22"/>
          <w:szCs w:val="22"/>
        </w:rPr>
        <w:t xml:space="preserve">Tabular preview of the combined dataset: #, HCP Name, Drug, Sales Value (scripts), Sales Calls, Marketing Spend, Sample Drop Cost</w:t>
      </w:r>
    </w:p>
    <w:p>
      <w:pPr>
        <w:pStyle w:val="ListParagraph"/>
        <w:numPr>
          <w:ilvl w:val="0"/>
          <w:numId w:val="2"/>
        </w:numPr>
        <w:spacing w:after="60"/>
      </w:pPr>
      <w:r>
        <w:rPr>
          <w:rFonts w:ascii="Arial" w:cs="Arial" w:eastAsia="Arial" w:hAnsi="Arial"/>
          <w:sz w:val="22"/>
          <w:szCs w:val="22"/>
        </w:rPr>
        <w:t xml:space="preserve">Alternating row shading for readability. Scrollable for large datasets</w:t>
      </w:r>
    </w:p>
    <w:p>
      <w:pPr>
        <w:pStyle w:val="Heading3"/>
        <w:spacing w:after="80" w:before="200"/>
      </w:pPr>
      <w:r>
        <w:rPr>
          <w:rFonts w:ascii="Arial" w:cs="Arial" w:eastAsia="Arial" w:hAnsi="Arial"/>
          <w:b/>
          <w:bCs/>
          <w:color w:val="1A5276"/>
          <w:sz w:val="22"/>
          <w:szCs w:val="22"/>
        </w:rPr>
        <w:t xml:space="preserve">5.1.4 Feature Extraction</w:t>
      </w:r>
    </w:p>
    <w:p>
      <w:pPr>
        <w:pStyle w:val="ListParagraph"/>
        <w:numPr>
          <w:ilvl w:val="0"/>
          <w:numId w:val="2"/>
        </w:numPr>
        <w:spacing w:after="60"/>
      </w:pPr>
      <w:r>
        <w:rPr>
          <w:rFonts w:ascii="Arial" w:cs="Arial" w:eastAsia="Arial" w:hAnsi="Arial"/>
          <w:sz w:val="22"/>
          <w:szCs w:val="22"/>
        </w:rPr>
        <w:t xml:space="preserve">Independent Variables — multi-select dropdown: Sales Call Frequency, Email Open Rate, CLM Engagement Score, Marketing Spend, Sample Drop Count, Digital Affinity Index, Specialty Alignment, Territory Coverage %, KOL Affiliation Score, Cycle Time</w:t>
      </w:r>
    </w:p>
    <w:p>
      <w:pPr>
        <w:pStyle w:val="ListParagraph"/>
        <w:numPr>
          <w:ilvl w:val="0"/>
          <w:numId w:val="2"/>
        </w:numPr>
        <w:spacing w:after="60"/>
      </w:pPr>
      <w:r>
        <w:rPr>
          <w:rFonts w:ascii="Arial" w:cs="Arial" w:eastAsia="Arial" w:hAnsi="Arial"/>
          <w:sz w:val="22"/>
          <w:szCs w:val="22"/>
        </w:rPr>
        <w:t xml:space="preserve">Target Variable — single-select: Sales Value (Scripts), HCP Response Rate, Prescribing Volume, Revenue per HCP, Engagement Score</w:t>
      </w:r>
    </w:p>
    <w:p>
      <w:pPr>
        <w:pStyle w:val="ListParagraph"/>
        <w:numPr>
          <w:ilvl w:val="0"/>
          <w:numId w:val="2"/>
        </w:numPr>
        <w:spacing w:after="60"/>
      </w:pPr>
      <w:r>
        <w:rPr>
          <w:rFonts w:ascii="Arial" w:cs="Arial" w:eastAsia="Arial" w:hAnsi="Arial"/>
          <w:sz w:val="22"/>
          <w:szCs w:val="22"/>
        </w:rPr>
        <w:t xml:space="preserve">Co-variates — optional control variables: Territory Region, Specialty, Drug Product, Rep Tenure, HCP Tier</w:t>
      </w:r>
    </w:p>
    <w:p>
      <w:pPr>
        <w:pStyle w:val="ListParagraph"/>
        <w:numPr>
          <w:ilvl w:val="0"/>
          <w:numId w:val="2"/>
        </w:numPr>
        <w:spacing w:after="60"/>
      </w:pPr>
      <w:r>
        <w:rPr>
          <w:rFonts w:ascii="Arial" w:cs="Arial" w:eastAsia="Arial" w:hAnsi="Arial"/>
          <w:sz w:val="22"/>
          <w:szCs w:val="22"/>
        </w:rPr>
        <w:t xml:space="preserve">'Create Model' button — generates a Model ID (e.g. #190810) and initialises training configuration</w:t>
      </w:r>
    </w:p>
    <w:p>
      <w:pPr>
        <w:pStyle w:val="Heading3"/>
        <w:spacing w:after="80" w:before="200"/>
      </w:pPr>
      <w:r>
        <w:rPr>
          <w:rFonts w:ascii="Arial" w:cs="Arial" w:eastAsia="Arial" w:hAnsi="Arial"/>
          <w:b/>
          <w:bCs/>
          <w:color w:val="1A5276"/>
          <w:sz w:val="22"/>
          <w:szCs w:val="22"/>
        </w:rPr>
        <w:t xml:space="preserve">5.1.5 Model Configuration</w:t>
      </w:r>
    </w:p>
    <w:p>
      <w:pPr>
        <w:pStyle w:val="ListParagraph"/>
        <w:numPr>
          <w:ilvl w:val="0"/>
          <w:numId w:val="2"/>
        </w:numPr>
        <w:spacing w:after="60"/>
      </w:pPr>
      <w:r>
        <w:rPr>
          <w:rFonts w:ascii="Arial" w:cs="Arial" w:eastAsia="Arial" w:hAnsi="Arial"/>
          <w:sz w:val="22"/>
          <w:szCs w:val="22"/>
        </w:rPr>
        <w:t xml:space="preserve">Model Family toggle — Supervised or Unsupervised (changes available algorithm list)</w:t>
      </w:r>
    </w:p>
    <w:p>
      <w:pPr>
        <w:pStyle w:val="ListParagraph"/>
        <w:numPr>
          <w:ilvl w:val="0"/>
          <w:numId w:val="2"/>
        </w:numPr>
        <w:spacing w:after="60"/>
      </w:pPr>
      <w:r>
        <w:rPr>
          <w:rFonts w:ascii="Arial" w:cs="Arial" w:eastAsia="Arial" w:hAnsi="Arial"/>
          <w:sz w:val="22"/>
          <w:szCs w:val="22"/>
        </w:rPr>
        <w:t xml:space="preserve">Algorithm selector — Supervised: XGBoost, Random Forest, Deep Neural Network (DNN), Gradient Boosted Regression; Unsupervised: K-Means Clustering, Factorization Machines, DBSCAN, Hierarchical Clustering</w:t>
      </w:r>
    </w:p>
    <w:p>
      <w:pPr>
        <w:pStyle w:val="ListParagraph"/>
        <w:numPr>
          <w:ilvl w:val="0"/>
          <w:numId w:val="2"/>
        </w:numPr>
        <w:spacing w:after="60"/>
      </w:pPr>
      <w:r>
        <w:rPr>
          <w:rFonts w:ascii="Arial" w:cs="Arial" w:eastAsia="Arial" w:hAnsi="Arial"/>
          <w:sz w:val="22"/>
          <w:szCs w:val="22"/>
        </w:rPr>
        <w:t xml:space="preserve">Train/Test split — manual entry fields (e.g. 80/20)</w:t>
      </w:r>
    </w:p>
    <w:p>
      <w:pPr>
        <w:pStyle w:val="ListParagraph"/>
        <w:numPr>
          <w:ilvl w:val="0"/>
          <w:numId w:val="2"/>
        </w:numPr>
        <w:spacing w:after="60"/>
      </w:pPr>
      <w:r>
        <w:rPr>
          <w:rFonts w:ascii="Arial" w:cs="Arial" w:eastAsia="Arial" w:hAnsi="Arial"/>
          <w:sz w:val="22"/>
          <w:szCs w:val="22"/>
        </w:rPr>
        <w:t xml:space="preserve">'Get Result' button — triggers model training with real-time progress indicator and status updates</w:t>
      </w:r>
    </w:p>
    <w:p>
      <w:pPr>
        <w:pStyle w:val="ListParagraph"/>
        <w:numPr>
          <w:ilvl w:val="0"/>
          <w:numId w:val="2"/>
        </w:numPr>
        <w:spacing w:after="60"/>
      </w:pPr>
      <w:r>
        <w:rPr>
          <w:rFonts w:ascii="Arial" w:cs="Arial" w:eastAsia="Arial" w:hAnsi="Arial"/>
          <w:sz w:val="22"/>
          <w:szCs w:val="22"/>
        </w:rPr>
        <w:t xml:space="preserve">Results displayed inline: Accuracy %, Model ID, Status (Staging/Production), and direct link to Monitoring panel</w:t>
      </w:r>
    </w:p>
    <w:p>
      <w:pPr>
        <w:spacing w:after="60"/>
      </w:pPr>
      <w:r>
        <w:rPr>
          <w:sz w:val="22"/>
          <w:szCs w:val="22"/>
        </w:rPr>
        <w:t xml:space="preserve"> </w:t>
      </w:r>
    </w:p>
    <w:p>
      <w:pPr>
        <w:pStyle w:val="Heading2"/>
        <w:spacing w:after="120" w:before="280"/>
      </w:pPr>
      <w:r>
        <w:rPr>
          <w:rFonts w:ascii="Arial" w:cs="Arial" w:eastAsia="Arial" w:hAnsi="Arial"/>
          <w:b/>
          <w:bCs/>
          <w:color w:val="1E3348"/>
          <w:sz w:val="27"/>
          <w:szCs w:val="27"/>
        </w:rPr>
        <w:t xml:space="preserve">5.2 Monitoring Panel — Model Governance</w:t>
      </w:r>
    </w:p>
    <w:p>
      <w:pPr>
        <w:spacing w:after="80" w:before="60"/>
      </w:pPr>
      <w:r>
        <w:rPr>
          <w:rFonts w:ascii="Arial" w:cs="Arial" w:eastAsia="Arial" w:hAnsi="Arial"/>
          <w:sz w:val="22"/>
          <w:szCs w:val="22"/>
        </w:rPr>
        <w:t xml:space="preserve">The Monitoring panel provides a full governance view of all deployed and staged models, with tools for ongoing management and optimisation.</w:t>
      </w:r>
    </w:p>
    <w:p>
      <w:pPr>
        <w:pStyle w:val="Heading3"/>
        <w:spacing w:after="80" w:before="200"/>
      </w:pPr>
      <w:r>
        <w:rPr>
          <w:rFonts w:ascii="Arial" w:cs="Arial" w:eastAsia="Arial" w:hAnsi="Arial"/>
          <w:b/>
          <w:bCs/>
          <w:color w:val="1A5276"/>
          <w:sz w:val="22"/>
          <w:szCs w:val="22"/>
        </w:rPr>
        <w:t xml:space="preserve">5.2.1 Model Identity &amp; Status Header</w:t>
      </w:r>
    </w:p>
    <w:p>
      <w:pPr>
        <w:pStyle w:val="ListParagraph"/>
        <w:numPr>
          <w:ilvl w:val="0"/>
          <w:numId w:val="2"/>
        </w:numPr>
        <w:spacing w:after="60"/>
      </w:pPr>
      <w:r>
        <w:rPr>
          <w:rFonts w:ascii="Arial" w:cs="Arial" w:eastAsia="Arial" w:hAnsi="Arial"/>
          <w:sz w:val="22"/>
          <w:szCs w:val="22"/>
        </w:rPr>
        <w:t xml:space="preserve">Model ID, Model Name, Status tag (Production / Staging), Algorithm, Use Case, Creation Date</w:t>
      </w:r>
    </w:p>
    <w:p>
      <w:pPr>
        <w:pStyle w:val="ListParagraph"/>
        <w:numPr>
          <w:ilvl w:val="0"/>
          <w:numId w:val="2"/>
        </w:numPr>
        <w:spacing w:after="60"/>
      </w:pPr>
      <w:r>
        <w:rPr>
          <w:rFonts w:ascii="Arial" w:cs="Arial" w:eastAsia="Arial" w:hAnsi="Arial"/>
          <w:sz w:val="22"/>
          <w:szCs w:val="22"/>
        </w:rPr>
        <w:t xml:space="preserve">Quick action buttons: Ingest (load new data), Deploy (push to HCP Engagement Console), Replace (swap production model)</w:t>
      </w:r>
    </w:p>
    <w:p>
      <w:pPr>
        <w:pStyle w:val="Heading3"/>
        <w:spacing w:after="80" w:before="200"/>
      </w:pPr>
      <w:r>
        <w:rPr>
          <w:rFonts w:ascii="Arial" w:cs="Arial" w:eastAsia="Arial" w:hAnsi="Arial"/>
          <w:b/>
          <w:bCs/>
          <w:color w:val="1A5276"/>
          <w:sz w:val="22"/>
          <w:szCs w:val="22"/>
        </w:rPr>
        <w:t xml:space="preserve">5.2.2 Model Health Metrics</w:t>
      </w:r>
    </w:p>
    <w:p>
      <w:pPr>
        <w:pStyle w:val="ListParagraph"/>
        <w:numPr>
          <w:ilvl w:val="0"/>
          <w:numId w:val="2"/>
        </w:numPr>
        <w:spacing w:after="60"/>
      </w:pPr>
      <w:r>
        <w:rPr>
          <w:rFonts w:ascii="Arial" w:cs="Arial" w:eastAsia="Arial" w:hAnsi="Arial"/>
          <w:sz w:val="22"/>
          <w:szCs w:val="22"/>
        </w:rPr>
        <w:t xml:space="preserve">Vulnerability Score — percentage risk of model degradation or data drift (progress bar, colour-coded: Green &lt;15%, Amber 15–25%, Red &gt;25%)</w:t>
      </w:r>
    </w:p>
    <w:p>
      <w:pPr>
        <w:pStyle w:val="ListParagraph"/>
        <w:numPr>
          <w:ilvl w:val="0"/>
          <w:numId w:val="2"/>
        </w:numPr>
        <w:spacing w:after="60"/>
      </w:pPr>
      <w:r>
        <w:rPr>
          <w:rFonts w:ascii="Arial" w:cs="Arial" w:eastAsia="Arial" w:hAnsi="Arial"/>
          <w:sz w:val="22"/>
          <w:szCs w:val="22"/>
        </w:rPr>
        <w:t xml:space="preserve">False Negative Rate (FN) — proportion of true positive outcomes missed by the model</w:t>
      </w:r>
    </w:p>
    <w:p>
      <w:pPr>
        <w:pStyle w:val="ListParagraph"/>
        <w:numPr>
          <w:ilvl w:val="0"/>
          <w:numId w:val="2"/>
        </w:numPr>
        <w:spacing w:after="60"/>
      </w:pPr>
      <w:r>
        <w:rPr>
          <w:rFonts w:ascii="Arial" w:cs="Arial" w:eastAsia="Arial" w:hAnsi="Arial"/>
          <w:sz w:val="22"/>
          <w:szCs w:val="22"/>
        </w:rPr>
        <w:t xml:space="preserve">False Positive Rate (FP) — proportion of negative outcomes incorrectly classified as positive</w:t>
      </w:r>
    </w:p>
    <w:p>
      <w:pPr>
        <w:pStyle w:val="ListParagraph"/>
        <w:numPr>
          <w:ilvl w:val="0"/>
          <w:numId w:val="2"/>
        </w:numPr>
        <w:spacing w:after="60"/>
      </w:pPr>
      <w:r>
        <w:rPr>
          <w:rFonts w:ascii="Arial" w:cs="Arial" w:eastAsia="Arial" w:hAnsi="Arial"/>
          <w:sz w:val="22"/>
          <w:szCs w:val="22"/>
        </w:rPr>
        <w:t xml:space="preserve">Data Split — current train/test ratio in use</w:t>
      </w:r>
    </w:p>
    <w:p>
      <w:pPr>
        <w:pStyle w:val="Heading3"/>
        <w:spacing w:after="80" w:before="200"/>
      </w:pPr>
      <w:r>
        <w:rPr>
          <w:rFonts w:ascii="Arial" w:cs="Arial" w:eastAsia="Arial" w:hAnsi="Arial"/>
          <w:b/>
          <w:bCs/>
          <w:color w:val="1A5276"/>
          <w:sz w:val="22"/>
          <w:szCs w:val="22"/>
        </w:rPr>
        <w:t xml:space="preserve">5.2.3 Confusion Matrix</w:t>
      </w:r>
    </w:p>
    <w:p>
      <w:pPr>
        <w:pStyle w:val="ListParagraph"/>
        <w:numPr>
          <w:ilvl w:val="0"/>
          <w:numId w:val="2"/>
        </w:numPr>
        <w:spacing w:after="60"/>
      </w:pPr>
      <w:r>
        <w:rPr>
          <w:rFonts w:ascii="Arial" w:cs="Arial" w:eastAsia="Arial" w:hAnsi="Arial"/>
          <w:sz w:val="22"/>
          <w:szCs w:val="22"/>
        </w:rPr>
        <w:t xml:space="preserve">2×2 confusion matrix displaying True Positive (TP), False Positive (FP), False Negative (FN), True Negative (TN)</w:t>
      </w:r>
    </w:p>
    <w:p>
      <w:pPr>
        <w:pStyle w:val="ListParagraph"/>
        <w:numPr>
          <w:ilvl w:val="0"/>
          <w:numId w:val="2"/>
        </w:numPr>
        <w:spacing w:after="60"/>
      </w:pPr>
      <w:r>
        <w:rPr>
          <w:rFonts w:ascii="Arial" w:cs="Arial" w:eastAsia="Arial" w:hAnsi="Arial"/>
          <w:sz w:val="22"/>
          <w:szCs w:val="22"/>
        </w:rPr>
        <w:t xml:space="preserve">Supporting metrics: Precision, Recall, F1 Score</w:t>
      </w:r>
    </w:p>
    <w:p>
      <w:pPr>
        <w:pStyle w:val="ListParagraph"/>
        <w:numPr>
          <w:ilvl w:val="0"/>
          <w:numId w:val="2"/>
        </w:numPr>
        <w:spacing w:after="60"/>
      </w:pPr>
      <w:r>
        <w:rPr>
          <w:rFonts w:ascii="Arial" w:cs="Arial" w:eastAsia="Arial" w:hAnsi="Arial"/>
          <w:sz w:val="22"/>
          <w:szCs w:val="22"/>
        </w:rPr>
        <w:t xml:space="preserve">Colour-coded values: TP/TN = green, FP/FN = red/amber</w:t>
      </w:r>
    </w:p>
    <w:p>
      <w:pPr>
        <w:pStyle w:val="Heading3"/>
        <w:spacing w:after="80" w:before="200"/>
      </w:pPr>
      <w:r>
        <w:rPr>
          <w:rFonts w:ascii="Arial" w:cs="Arial" w:eastAsia="Arial" w:hAnsi="Arial"/>
          <w:b/>
          <w:bCs/>
          <w:color w:val="1A5276"/>
          <w:sz w:val="22"/>
          <w:szCs w:val="22"/>
        </w:rPr>
        <w:t xml:space="preserve">5.2.4 Accuracy Gauge</w:t>
      </w:r>
    </w:p>
    <w:p>
      <w:pPr>
        <w:pStyle w:val="ListParagraph"/>
        <w:numPr>
          <w:ilvl w:val="0"/>
          <w:numId w:val="2"/>
        </w:numPr>
        <w:spacing w:after="60"/>
      </w:pPr>
      <w:r>
        <w:rPr>
          <w:rFonts w:ascii="Arial" w:cs="Arial" w:eastAsia="Arial" w:hAnsi="Arial"/>
          <w:sz w:val="22"/>
          <w:szCs w:val="22"/>
        </w:rPr>
        <w:t xml:space="preserve">Circular donut gauge displaying overall model accuracy as a percentage</w:t>
      </w:r>
    </w:p>
    <w:p>
      <w:pPr>
        <w:pStyle w:val="ListParagraph"/>
        <w:numPr>
          <w:ilvl w:val="0"/>
          <w:numId w:val="2"/>
        </w:numPr>
        <w:spacing w:after="60"/>
      </w:pPr>
      <w:r>
        <w:rPr>
          <w:rFonts w:ascii="Arial" w:cs="Arial" w:eastAsia="Arial" w:hAnsi="Arial"/>
          <w:sz w:val="22"/>
          <w:szCs w:val="22"/>
        </w:rPr>
        <w:t xml:space="preserve">Colour coded: Green ≥75% (Acceptable), Amber 65–74% (Review Required), Red &lt;65% (Retrain Required)</w:t>
      </w:r>
    </w:p>
    <w:p>
      <w:pPr>
        <w:pStyle w:val="Heading3"/>
        <w:spacing w:after="80" w:before="200"/>
      </w:pPr>
      <w:r>
        <w:rPr>
          <w:rFonts w:ascii="Arial" w:cs="Arial" w:eastAsia="Arial" w:hAnsi="Arial"/>
          <w:b/>
          <w:bCs/>
          <w:color w:val="1A5276"/>
          <w:sz w:val="22"/>
          <w:szCs w:val="22"/>
        </w:rPr>
        <w:t xml:space="preserve">5.2.5 Model Significance Output</w:t>
      </w:r>
    </w:p>
    <w:p>
      <w:pPr>
        <w:pStyle w:val="ListParagraph"/>
        <w:numPr>
          <w:ilvl w:val="0"/>
          <w:numId w:val="2"/>
        </w:numPr>
        <w:spacing w:after="60"/>
      </w:pPr>
      <w:r>
        <w:rPr>
          <w:rFonts w:ascii="Arial" w:cs="Arial" w:eastAsia="Arial" w:hAnsi="Arial"/>
          <w:sz w:val="22"/>
          <w:szCs w:val="22"/>
        </w:rPr>
        <w:t xml:space="preserve">Tabular view of all model features: Feature Name, Co-efficient (positive = positive impact, negative = negative), p-value (statistical significance), Follow indicator (priority dot: teal = high priority, amber = moderate, grey = low)</w:t>
      </w:r>
    </w:p>
    <w:p>
      <w:pPr>
        <w:pStyle w:val="ListParagraph"/>
        <w:numPr>
          <w:ilvl w:val="0"/>
          <w:numId w:val="2"/>
        </w:numPr>
        <w:spacing w:after="60"/>
      </w:pPr>
      <w:r>
        <w:rPr>
          <w:rFonts w:ascii="Arial" w:cs="Arial" w:eastAsia="Arial" w:hAnsi="Arial"/>
          <w:sz w:val="22"/>
          <w:szCs w:val="22"/>
        </w:rPr>
        <w:t xml:space="preserve">Enables data scientists and commercial managers to understand which variables are driving predictions</w:t>
      </w:r>
    </w:p>
    <w:p>
      <w:pPr>
        <w:pStyle w:val="Heading3"/>
        <w:spacing w:after="80" w:before="200"/>
      </w:pPr>
      <w:r>
        <w:rPr>
          <w:rFonts w:ascii="Arial" w:cs="Arial" w:eastAsia="Arial" w:hAnsi="Arial"/>
          <w:b/>
          <w:bCs/>
          <w:color w:val="1A5276"/>
          <w:sz w:val="22"/>
          <w:szCs w:val="22"/>
        </w:rPr>
        <w:t xml:space="preserve">5.2.6 Focus On Recommendations</w:t>
      </w:r>
    </w:p>
    <w:p>
      <w:pPr>
        <w:pStyle w:val="ListParagraph"/>
        <w:numPr>
          <w:ilvl w:val="0"/>
          <w:numId w:val="2"/>
        </w:numPr>
        <w:spacing w:after="60"/>
      </w:pPr>
      <w:r>
        <w:rPr>
          <w:rFonts w:ascii="Arial" w:cs="Arial" w:eastAsia="Arial" w:hAnsi="Arial"/>
          <w:sz w:val="22"/>
          <w:szCs w:val="22"/>
        </w:rPr>
        <w:t xml:space="preserve">ML-generated plain language recommendation identifying the highest-leverage features for field execution improvement</w:t>
      </w:r>
    </w:p>
    <w:p>
      <w:pPr>
        <w:pStyle w:val="ListParagraph"/>
        <w:numPr>
          <w:ilvl w:val="0"/>
          <w:numId w:val="2"/>
        </w:numPr>
        <w:spacing w:after="60"/>
      </w:pPr>
      <w:r>
        <w:rPr>
          <w:rFonts w:ascii="Arial" w:cs="Arial" w:eastAsia="Arial" w:hAnsi="Arial"/>
          <w:sz w:val="22"/>
          <w:szCs w:val="22"/>
        </w:rPr>
        <w:t xml:space="preserve">e.g. 'Prioritise Email Open Rate and Digital Affinity Index — both show strong positive coefficients (p &lt; 0.01). Reducing cycle time between sales calls is estimated to improve conversion by 12–18%.'</w:t>
      </w:r>
    </w:p>
    <w:p>
      <w:pPr>
        <w:pStyle w:val="Heading3"/>
        <w:spacing w:after="80" w:before="200"/>
      </w:pPr>
      <w:r>
        <w:rPr>
          <w:rFonts w:ascii="Arial" w:cs="Arial" w:eastAsia="Arial" w:hAnsi="Arial"/>
          <w:b/>
          <w:bCs/>
          <w:color w:val="1A5276"/>
          <w:sz w:val="22"/>
          <w:szCs w:val="22"/>
        </w:rPr>
        <w:t xml:space="preserve">5.2.7 Tweak Panel</w:t>
      </w:r>
    </w:p>
    <w:p>
      <w:pPr>
        <w:pStyle w:val="ListParagraph"/>
        <w:numPr>
          <w:ilvl w:val="0"/>
          <w:numId w:val="2"/>
        </w:numPr>
        <w:spacing w:after="60"/>
      </w:pPr>
      <w:r>
        <w:rPr>
          <w:rFonts w:ascii="Arial" w:cs="Arial" w:eastAsia="Arial" w:hAnsi="Arial"/>
          <w:sz w:val="22"/>
          <w:szCs w:val="22"/>
        </w:rPr>
        <w:t xml:space="preserve">Inline hyperparameter adjustment: Test %, Train %, DATA volume, Ratio, Independent Variables (re-select), Target Variable (re-select), Co-variates</w:t>
      </w:r>
    </w:p>
    <w:p>
      <w:pPr>
        <w:pStyle w:val="ListParagraph"/>
        <w:numPr>
          <w:ilvl w:val="0"/>
          <w:numId w:val="2"/>
        </w:numPr>
        <w:spacing w:after="60"/>
      </w:pPr>
      <w:r>
        <w:rPr>
          <w:rFonts w:ascii="Arial" w:cs="Arial" w:eastAsia="Arial" w:hAnsi="Arial"/>
          <w:sz w:val="22"/>
          <w:szCs w:val="22"/>
        </w:rPr>
        <w:t xml:space="preserve">'Update' button triggers model re-training and refreshes all Monitoring metrics inline</w:t>
      </w:r>
    </w:p>
    <w:p>
      <w:pPr>
        <w:spacing w:after="60"/>
      </w:pPr>
      <w:r>
        <w:rPr>
          <w:sz w:val="22"/>
          <w:szCs w:val="22"/>
        </w:rPr>
        <w:t xml:space="preserve"> </w:t>
      </w:r>
    </w:p>
    <w:p>
      <w:pPr>
        <w:pStyle w:val="Heading2"/>
        <w:spacing w:after="120" w:before="280"/>
      </w:pPr>
      <w:r>
        <w:rPr>
          <w:rFonts w:ascii="Arial" w:cs="Arial" w:eastAsia="Arial" w:hAnsi="Arial"/>
          <w:b/>
          <w:bCs/>
          <w:color w:val="1E3348"/>
          <w:sz w:val="27"/>
          <w:szCs w:val="27"/>
        </w:rPr>
        <w:t xml:space="preserve">5.3 Recommendation Engine — Model Library</w:t>
      </w:r>
    </w:p>
    <w:p>
      <w:pPr>
        <w:spacing w:after="80" w:before="60"/>
      </w:pPr>
      <w:r>
        <w:rPr>
          <w:rFonts w:ascii="Arial" w:cs="Arial" w:eastAsia="Arial" w:hAnsi="Arial"/>
          <w:sz w:val="22"/>
          <w:szCs w:val="22"/>
        </w:rPr>
        <w:t xml:space="preserve">A curated library of six ML algorithm families pre-configured for pharma commercial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shd w:fill="0D1B2A" w:val="clear"/>
            <w:tcMar>
              <w:top w:type="dxa" w:w="100"/>
              <w:left w:type="dxa" w:w="140"/>
              <w:bottom w:type="dxa" w:w="100"/>
              <w:right w:type="dxa" w:w="140"/>
            </w:tcMar>
          </w:tcPr>
          <w:p>
            <w:r>
              <w:rPr>
                <w:rFonts w:ascii="Arial" w:cs="Arial" w:eastAsia="Arial" w:hAnsi="Arial"/>
                <w:b/>
                <w:bCs/>
                <w:color w:val="FFFFFF"/>
                <w:sz w:val="20"/>
                <w:szCs w:val="20"/>
              </w:rPr>
              <w:t xml:space="preserve">Algorithm</w:t>
            </w:r>
          </w:p>
        </w:tc>
        <w:tc>
          <w:tcPr>
            <w:tcW w:type="dxa" w:w="1600"/>
            <w:shd w:fill="0D1B2A" w:val="clear"/>
            <w:tcMar>
              <w:top w:type="dxa" w:w="100"/>
              <w:left w:type="dxa" w:w="140"/>
              <w:bottom w:type="dxa" w:w="100"/>
              <w:right w:type="dxa" w:w="140"/>
            </w:tcMar>
          </w:tcPr>
          <w:p>
            <w:r>
              <w:rPr>
                <w:rFonts w:ascii="Arial" w:cs="Arial" w:eastAsia="Arial" w:hAnsi="Arial"/>
                <w:b/>
                <w:bCs/>
                <w:color w:val="FFFFFF"/>
                <w:sz w:val="20"/>
                <w:szCs w:val="20"/>
              </w:rPr>
              <w:t xml:space="preserve">Best For</w:t>
            </w:r>
          </w:p>
        </w:tc>
        <w:tc>
          <w:tcPr>
            <w:tcW w:type="dxa" w:w="5760"/>
            <w:shd w:fill="0D1B2A" w:val="clear"/>
            <w:tcMar>
              <w:top w:type="dxa" w:w="100"/>
              <w:left w:type="dxa" w:w="140"/>
              <w:bottom w:type="dxa" w:w="100"/>
              <w:right w:type="dxa" w:w="140"/>
            </w:tcMar>
          </w:tcPr>
          <w:p>
            <w:r>
              <w:rPr>
                <w:rFonts w:ascii="Arial" w:cs="Arial" w:eastAsia="Arial" w:hAnsi="Arial"/>
                <w:b/>
                <w:bCs/>
                <w:color w:val="FFFFFF"/>
                <w:sz w:val="20"/>
                <w:szCs w:val="20"/>
              </w:rPr>
              <w:t xml:space="preserve">Pharma Use Case</w:t>
            </w:r>
          </w:p>
        </w:tc>
      </w:tr>
      <w:tr>
        <w:tc>
          <w:tcPr>
            <w:tcW w:type="dxa" w:w="2000"/>
            <w:shd w:fill="FFFFFF" w:val="clear"/>
            <w:tcMar>
              <w:top w:type="dxa" w:w="80"/>
              <w:left w:type="dxa" w:w="140"/>
              <w:bottom w:type="dxa" w:w="80"/>
              <w:right w:type="dxa" w:w="140"/>
            </w:tcMar>
          </w:tcPr>
          <w:p>
            <w:r>
              <w:rPr>
                <w:rFonts w:ascii="Arial" w:cs="Arial" w:eastAsia="Arial" w:hAnsi="Arial"/>
                <w:sz w:val="20"/>
                <w:szCs w:val="20"/>
              </w:rPr>
              <w:t xml:space="preserve">XGBoost</w:t>
            </w:r>
          </w:p>
        </w:tc>
        <w:tc>
          <w:tcPr>
            <w:tcW w:type="dxa" w:w="1600"/>
            <w:shd w:fill="FFFFFF" w:val="clear"/>
            <w:tcMar>
              <w:top w:type="dxa" w:w="80"/>
              <w:left w:type="dxa" w:w="140"/>
              <w:bottom w:type="dxa" w:w="80"/>
              <w:right w:type="dxa" w:w="140"/>
            </w:tcMar>
          </w:tcPr>
          <w:p>
            <w:r>
              <w:rPr>
                <w:rFonts w:ascii="Arial" w:cs="Arial" w:eastAsia="Arial" w:hAnsi="Arial"/>
                <w:sz w:val="20"/>
                <w:szCs w:val="20"/>
              </w:rPr>
              <w:t xml:space="preserve">Structured HCP data</w:t>
            </w:r>
          </w:p>
        </w:tc>
        <w:tc>
          <w:tcPr>
            <w:tcW w:type="dxa" w:w="5760"/>
            <w:shd w:fill="FFFFFF" w:val="clear"/>
            <w:tcMar>
              <w:top w:type="dxa" w:w="80"/>
              <w:left w:type="dxa" w:w="140"/>
              <w:bottom w:type="dxa" w:w="80"/>
              <w:right w:type="dxa" w:w="140"/>
            </w:tcMar>
          </w:tcPr>
          <w:p>
            <w:r>
              <w:rPr>
                <w:rFonts w:ascii="Arial" w:cs="Arial" w:eastAsia="Arial" w:hAnsi="Arial"/>
                <w:sz w:val="20"/>
                <w:szCs w:val="20"/>
              </w:rPr>
              <w:t xml:space="preserve">HCP propensity to prescribe scoring. Fast training. High accuracy on tabular datasets with CRM features.</w:t>
            </w:r>
          </w:p>
        </w:tc>
      </w:tr>
      <w:tr>
        <w:tc>
          <w:tcPr>
            <w:tcW w:type="dxa" w:w="2000"/>
            <w:shd w:fill="F8FAFC" w:val="clear"/>
            <w:tcMar>
              <w:top w:type="dxa" w:w="80"/>
              <w:left w:type="dxa" w:w="140"/>
              <w:bottom w:type="dxa" w:w="80"/>
              <w:right w:type="dxa" w:w="140"/>
            </w:tcMar>
          </w:tcPr>
          <w:p>
            <w:r>
              <w:rPr>
                <w:rFonts w:ascii="Arial" w:cs="Arial" w:eastAsia="Arial" w:hAnsi="Arial"/>
                <w:sz w:val="20"/>
                <w:szCs w:val="20"/>
              </w:rPr>
              <w:t xml:space="preserve">Random Forest</w:t>
            </w:r>
          </w:p>
        </w:tc>
        <w:tc>
          <w:tcPr>
            <w:tcW w:type="dxa" w:w="1600"/>
            <w:shd w:fill="F8FAFC" w:val="clear"/>
            <w:tcMar>
              <w:top w:type="dxa" w:w="80"/>
              <w:left w:type="dxa" w:w="140"/>
              <w:bottom w:type="dxa" w:w="80"/>
              <w:right w:type="dxa" w:w="140"/>
            </w:tcMar>
          </w:tcPr>
          <w:p>
            <w:r>
              <w:rPr>
                <w:rFonts w:ascii="Arial" w:cs="Arial" w:eastAsia="Arial" w:hAnsi="Arial"/>
                <w:sz w:val="20"/>
                <w:szCs w:val="20"/>
              </w:rPr>
              <w:t xml:space="preserve">Large, complex datasets</w:t>
            </w:r>
          </w:p>
        </w:tc>
        <w:tc>
          <w:tcPr>
            <w:tcW w:type="dxa" w:w="5760"/>
            <w:shd w:fill="F8FAFC" w:val="clear"/>
            <w:tcMar>
              <w:top w:type="dxa" w:w="80"/>
              <w:left w:type="dxa" w:w="140"/>
              <w:bottom w:type="dxa" w:w="80"/>
              <w:right w:type="dxa" w:w="140"/>
            </w:tcMar>
          </w:tcPr>
          <w:p>
            <w:r>
              <w:rPr>
                <w:rFonts w:ascii="Arial" w:cs="Arial" w:eastAsia="Arial" w:hAnsi="Arial"/>
                <w:sz w:val="20"/>
                <w:szCs w:val="20"/>
              </w:rPr>
              <w:t xml:space="preserve">HCP segmentation (Champion/Loyalist/Growth/At-Risk). Handles non-linear relationships and correlated features.</w:t>
            </w:r>
          </w:p>
        </w:tc>
      </w:tr>
      <w:tr>
        <w:tc>
          <w:tcPr>
            <w:tcW w:type="dxa" w:w="2000"/>
            <w:shd w:fill="FFFFFF" w:val="clear"/>
            <w:tcMar>
              <w:top w:type="dxa" w:w="80"/>
              <w:left w:type="dxa" w:w="140"/>
              <w:bottom w:type="dxa" w:w="80"/>
              <w:right w:type="dxa" w:w="140"/>
            </w:tcMar>
          </w:tcPr>
          <w:p>
            <w:r>
              <w:rPr>
                <w:rFonts w:ascii="Arial" w:cs="Arial" w:eastAsia="Arial" w:hAnsi="Arial"/>
                <w:sz w:val="20"/>
                <w:szCs w:val="20"/>
              </w:rPr>
              <w:t xml:space="preserve">Deep Neural Network</w:t>
            </w:r>
          </w:p>
        </w:tc>
        <w:tc>
          <w:tcPr>
            <w:tcW w:type="dxa" w:w="1600"/>
            <w:shd w:fill="FFFFFF" w:val="clear"/>
            <w:tcMar>
              <w:top w:type="dxa" w:w="80"/>
              <w:left w:type="dxa" w:w="140"/>
              <w:bottom w:type="dxa" w:w="80"/>
              <w:right w:type="dxa" w:w="140"/>
            </w:tcMar>
          </w:tcPr>
          <w:p>
            <w:r>
              <w:rPr>
                <w:rFonts w:ascii="Arial" w:cs="Arial" w:eastAsia="Arial" w:hAnsi="Arial"/>
                <w:sz w:val="20"/>
                <w:szCs w:val="20"/>
              </w:rPr>
              <w:t xml:space="preserve">Multi-channel patterns</w:t>
            </w:r>
          </w:p>
        </w:tc>
        <w:tc>
          <w:tcPr>
            <w:tcW w:type="dxa" w:w="5760"/>
            <w:shd w:fill="FFFFFF" w:val="clear"/>
            <w:tcMar>
              <w:top w:type="dxa" w:w="80"/>
              <w:left w:type="dxa" w:w="140"/>
              <w:bottom w:type="dxa" w:w="80"/>
              <w:right w:type="dxa" w:w="140"/>
            </w:tcMar>
          </w:tcPr>
          <w:p>
            <w:r>
              <w:rPr>
                <w:rFonts w:ascii="Arial" w:cs="Arial" w:eastAsia="Arial" w:hAnsi="Arial"/>
                <w:sz w:val="20"/>
                <w:szCs w:val="20"/>
              </w:rPr>
              <w:t xml:space="preserve">Omnichannel engagement modelling. Captures complex interaction patterns across email, call, CLM, and 1:1 touchpoints.</w:t>
            </w:r>
          </w:p>
        </w:tc>
      </w:tr>
      <w:tr>
        <w:tc>
          <w:tcPr>
            <w:tcW w:type="dxa" w:w="2000"/>
            <w:shd w:fill="F8FAFC" w:val="clear"/>
            <w:tcMar>
              <w:top w:type="dxa" w:w="80"/>
              <w:left w:type="dxa" w:w="140"/>
              <w:bottom w:type="dxa" w:w="80"/>
              <w:right w:type="dxa" w:w="140"/>
            </w:tcMar>
          </w:tcPr>
          <w:p>
            <w:r>
              <w:rPr>
                <w:rFonts w:ascii="Arial" w:cs="Arial" w:eastAsia="Arial" w:hAnsi="Arial"/>
                <w:sz w:val="20"/>
                <w:szCs w:val="20"/>
              </w:rPr>
              <w:t xml:space="preserve">Recurrent Neural Networks</w:t>
            </w:r>
          </w:p>
        </w:tc>
        <w:tc>
          <w:tcPr>
            <w:tcW w:type="dxa" w:w="1600"/>
            <w:shd w:fill="F8FAFC" w:val="clear"/>
            <w:tcMar>
              <w:top w:type="dxa" w:w="80"/>
              <w:left w:type="dxa" w:w="140"/>
              <w:bottom w:type="dxa" w:w="80"/>
              <w:right w:type="dxa" w:w="140"/>
            </w:tcMar>
          </w:tcPr>
          <w:p>
            <w:r>
              <w:rPr>
                <w:rFonts w:ascii="Arial" w:cs="Arial" w:eastAsia="Arial" w:hAnsi="Arial"/>
                <w:sz w:val="20"/>
                <w:szCs w:val="20"/>
              </w:rPr>
              <w:t xml:space="preserve">Sequential &amp; time-series</w:t>
            </w:r>
          </w:p>
        </w:tc>
        <w:tc>
          <w:tcPr>
            <w:tcW w:type="dxa" w:w="5760"/>
            <w:shd w:fill="F8FAFC" w:val="clear"/>
            <w:tcMar>
              <w:top w:type="dxa" w:w="80"/>
              <w:left w:type="dxa" w:w="140"/>
              <w:bottom w:type="dxa" w:w="80"/>
              <w:right w:type="dxa" w:w="140"/>
            </w:tcMar>
          </w:tcPr>
          <w:p>
            <w:r>
              <w:rPr>
                <w:rFonts w:ascii="Arial" w:cs="Arial" w:eastAsia="Arial" w:hAnsi="Arial"/>
                <w:sz w:val="20"/>
                <w:szCs w:val="20"/>
              </w:rPr>
              <w:t xml:space="preserve">HCP journey sequence modelling. Prescribing trend forecasting. Temporal tactic pattern recognition.</w:t>
            </w:r>
          </w:p>
        </w:tc>
      </w:tr>
      <w:tr>
        <w:tc>
          <w:tcPr>
            <w:tcW w:type="dxa" w:w="2000"/>
            <w:shd w:fill="FFFFFF" w:val="clear"/>
            <w:tcMar>
              <w:top w:type="dxa" w:w="80"/>
              <w:left w:type="dxa" w:w="140"/>
              <w:bottom w:type="dxa" w:w="80"/>
              <w:right w:type="dxa" w:w="140"/>
            </w:tcMar>
          </w:tcPr>
          <w:p>
            <w:r>
              <w:rPr>
                <w:rFonts w:ascii="Arial" w:cs="Arial" w:eastAsia="Arial" w:hAnsi="Arial"/>
                <w:sz w:val="20"/>
                <w:szCs w:val="20"/>
              </w:rPr>
              <w:t xml:space="preserve">Markov Decision Process</w:t>
            </w:r>
          </w:p>
        </w:tc>
        <w:tc>
          <w:tcPr>
            <w:tcW w:type="dxa" w:w="1600"/>
            <w:shd w:fill="FFFFFF" w:val="clear"/>
            <w:tcMar>
              <w:top w:type="dxa" w:w="80"/>
              <w:left w:type="dxa" w:w="140"/>
              <w:bottom w:type="dxa" w:w="80"/>
              <w:right w:type="dxa" w:w="140"/>
            </w:tcMar>
          </w:tcPr>
          <w:p>
            <w:r>
              <w:rPr>
                <w:rFonts w:ascii="Arial" w:cs="Arial" w:eastAsia="Arial" w:hAnsi="Arial"/>
                <w:sz w:val="20"/>
                <w:szCs w:val="20"/>
              </w:rPr>
              <w:t xml:space="preserve">Decision optimisation</w:t>
            </w:r>
          </w:p>
        </w:tc>
        <w:tc>
          <w:tcPr>
            <w:tcW w:type="dxa" w:w="5760"/>
            <w:shd w:fill="FFFFFF" w:val="clear"/>
            <w:tcMar>
              <w:top w:type="dxa" w:w="80"/>
              <w:left w:type="dxa" w:w="140"/>
              <w:bottom w:type="dxa" w:w="80"/>
              <w:right w:type="dxa" w:w="140"/>
            </w:tcMar>
          </w:tcPr>
          <w:p>
            <w:r>
              <w:rPr>
                <w:rFonts w:ascii="Arial" w:cs="Arial" w:eastAsia="Arial" w:hAnsi="Arial"/>
                <w:sz w:val="20"/>
                <w:szCs w:val="20"/>
              </w:rPr>
              <w:t xml:space="preserve">Optimal rep-HCP interaction sequence over time. Models the full HCP journey as decision states for NBA generation.</w:t>
            </w:r>
          </w:p>
        </w:tc>
      </w:tr>
      <w:tr>
        <w:tc>
          <w:tcPr>
            <w:tcW w:type="dxa" w:w="2000"/>
            <w:shd w:fill="F8FAFC" w:val="clear"/>
            <w:tcMar>
              <w:top w:type="dxa" w:w="80"/>
              <w:left w:type="dxa" w:w="140"/>
              <w:bottom w:type="dxa" w:w="80"/>
              <w:right w:type="dxa" w:w="140"/>
            </w:tcMar>
          </w:tcPr>
          <w:p>
            <w:r>
              <w:rPr>
                <w:rFonts w:ascii="Arial" w:cs="Arial" w:eastAsia="Arial" w:hAnsi="Arial"/>
                <w:sz w:val="20"/>
                <w:szCs w:val="20"/>
              </w:rPr>
              <w:t xml:space="preserve">Factorization Machines</w:t>
            </w:r>
          </w:p>
        </w:tc>
        <w:tc>
          <w:tcPr>
            <w:tcW w:type="dxa" w:w="1600"/>
            <w:shd w:fill="F8FAFC" w:val="clear"/>
            <w:tcMar>
              <w:top w:type="dxa" w:w="80"/>
              <w:left w:type="dxa" w:w="140"/>
              <w:bottom w:type="dxa" w:w="80"/>
              <w:right w:type="dxa" w:w="140"/>
            </w:tcMar>
          </w:tcPr>
          <w:p>
            <w:r>
              <w:rPr>
                <w:rFonts w:ascii="Arial" w:cs="Arial" w:eastAsia="Arial" w:hAnsi="Arial"/>
                <w:sz w:val="20"/>
                <w:szCs w:val="20"/>
              </w:rPr>
              <w:t xml:space="preserve">Sparse HCP data</w:t>
            </w:r>
          </w:p>
        </w:tc>
        <w:tc>
          <w:tcPr>
            <w:tcW w:type="dxa" w:w="5760"/>
            <w:shd w:fill="F8FAFC" w:val="clear"/>
            <w:tcMar>
              <w:top w:type="dxa" w:w="80"/>
              <w:left w:type="dxa" w:w="140"/>
              <w:bottom w:type="dxa" w:w="80"/>
              <w:right w:type="dxa" w:w="140"/>
            </w:tcMar>
          </w:tcPr>
          <w:p>
            <w:r>
              <w:rPr>
                <w:rFonts w:ascii="Arial" w:cs="Arial" w:eastAsia="Arial" w:hAnsi="Arial"/>
                <w:sz w:val="20"/>
                <w:szCs w:val="20"/>
              </w:rPr>
              <w:t xml:space="preserve">Recommendation where interaction history is limited. Cross-product HCP scoring with fragmented engagement records.</w:t>
            </w:r>
          </w:p>
        </w:tc>
      </w:tr>
    </w:tbl>
    <w:p>
      <w:r>
        <w:br w:type="page"/>
      </w:r>
    </w:p>
    <w:p>
      <w:pPr>
        <w:pStyle w:val="Heading1"/>
        <w:spacing w:after="160" w:before="400"/>
      </w:pPr>
      <w:r>
        <w:rPr>
          <w:rFonts w:ascii="Arial" w:cs="Arial" w:eastAsia="Arial" w:hAnsi="Arial"/>
          <w:b/>
          <w:bCs/>
          <w:color w:val="0D1B2A"/>
          <w:sz w:val="34"/>
          <w:szCs w:val="34"/>
        </w:rPr>
        <w:t xml:space="preserve">6. Data Architecture &amp; Integration</w:t>
      </w:r>
    </w:p>
    <w:p>
      <w:pPr>
        <w:pBdr>
          <w:bottom w:val="single" w:color="00B482" w:sz="4"/>
        </w:pBdr>
        <w:spacing w:after="120" w:before="120"/>
      </w:pPr>
    </w:p>
    <w:p>
      <w:pPr>
        <w:pStyle w:val="Heading2"/>
        <w:spacing w:after="120" w:before="280"/>
      </w:pPr>
      <w:r>
        <w:rPr>
          <w:rFonts w:ascii="Arial" w:cs="Arial" w:eastAsia="Arial" w:hAnsi="Arial"/>
          <w:b/>
          <w:bCs/>
          <w:color w:val="1E3348"/>
          <w:sz w:val="27"/>
          <w:szCs w:val="27"/>
        </w:rPr>
        <w:t xml:space="preserve">6.1 Data Source Connections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760"/>
        <w:gridCol w:w="2000"/>
      </w:tblGrid>
      <w:tr>
        <w:trPr>
          <w:tblHeader/>
        </w:trPr>
        <w:tc>
          <w:tcPr>
            <w:tcW w:type="dxa" w:w="1400"/>
            <w:shd w:fill="0D1B2A" w:val="clear"/>
            <w:tcMar>
              <w:top w:type="dxa" w:w="100"/>
              <w:left w:type="dxa" w:w="140"/>
              <w:bottom w:type="dxa" w:w="100"/>
              <w:right w:type="dxa" w:w="140"/>
            </w:tcMar>
          </w:tcPr>
          <w:p>
            <w:r>
              <w:rPr>
                <w:rFonts w:ascii="Arial" w:cs="Arial" w:eastAsia="Arial" w:hAnsi="Arial"/>
                <w:b/>
                <w:bCs/>
                <w:color w:val="FFFFFF"/>
                <w:sz w:val="20"/>
                <w:szCs w:val="20"/>
              </w:rPr>
              <w:t xml:space="preserve">System</w:t>
            </w:r>
          </w:p>
        </w:tc>
        <w:tc>
          <w:tcPr>
            <w:tcW w:type="dxa" w:w="3200"/>
            <w:shd w:fill="0D1B2A" w:val="clear"/>
            <w:tcMar>
              <w:top w:type="dxa" w:w="100"/>
              <w:left w:type="dxa" w:w="140"/>
              <w:bottom w:type="dxa" w:w="100"/>
              <w:right w:type="dxa" w:w="140"/>
            </w:tcMar>
          </w:tcPr>
          <w:p>
            <w:r>
              <w:rPr>
                <w:rFonts w:ascii="Arial" w:cs="Arial" w:eastAsia="Arial" w:hAnsi="Arial"/>
                <w:b/>
                <w:bCs/>
                <w:color w:val="FFFFFF"/>
                <w:sz w:val="20"/>
                <w:szCs w:val="20"/>
              </w:rPr>
              <w:t xml:space="preserve">Key Datasets</w:t>
            </w:r>
          </w:p>
        </w:tc>
        <w:tc>
          <w:tcPr>
            <w:tcW w:type="dxa" w:w="2760"/>
            <w:shd w:fill="0D1B2A" w:val="clear"/>
            <w:tcMar>
              <w:top w:type="dxa" w:w="100"/>
              <w:left w:type="dxa" w:w="140"/>
              <w:bottom w:type="dxa" w:w="100"/>
              <w:right w:type="dxa" w:w="140"/>
            </w:tcMar>
          </w:tcPr>
          <w:p>
            <w:r>
              <w:rPr>
                <w:rFonts w:ascii="Arial" w:cs="Arial" w:eastAsia="Arial" w:hAnsi="Arial"/>
                <w:b/>
                <w:bCs/>
                <w:color w:val="FFFFFF"/>
                <w:sz w:val="20"/>
                <w:szCs w:val="20"/>
              </w:rPr>
              <w:t xml:space="preserve">Integration Method</w:t>
            </w:r>
          </w:p>
        </w:tc>
        <w:tc>
          <w:tcPr>
            <w:tcW w:type="dxa" w:w="2000"/>
            <w:shd w:fill="0D1B2A"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1400"/>
            <w:shd w:fill="FFFFFF" w:val="clear"/>
            <w:tcMar>
              <w:top w:type="dxa" w:w="80"/>
              <w:left w:type="dxa" w:w="140"/>
              <w:bottom w:type="dxa" w:w="80"/>
              <w:right w:type="dxa" w:w="140"/>
            </w:tcMar>
          </w:tcPr>
          <w:p>
            <w:r>
              <w:rPr>
                <w:rFonts w:ascii="Arial" w:cs="Arial" w:eastAsia="Arial" w:hAnsi="Arial"/>
                <w:sz w:val="20"/>
                <w:szCs w:val="20"/>
              </w:rPr>
              <w:t xml:space="preserve">CRM</w:t>
            </w:r>
          </w:p>
        </w:tc>
        <w:tc>
          <w:tcPr>
            <w:tcW w:type="dxa" w:w="3200"/>
            <w:shd w:fill="FFFFFF" w:val="clear"/>
            <w:tcMar>
              <w:top w:type="dxa" w:w="80"/>
              <w:left w:type="dxa" w:w="140"/>
              <w:bottom w:type="dxa" w:w="80"/>
              <w:right w:type="dxa" w:w="140"/>
            </w:tcMar>
          </w:tcPr>
          <w:p>
            <w:r>
              <w:rPr>
                <w:rFonts w:ascii="Arial" w:cs="Arial" w:eastAsia="Arial" w:hAnsi="Arial"/>
                <w:sz w:val="20"/>
                <w:szCs w:val="20"/>
              </w:rPr>
              <w:t xml:space="preserve">HCP profiles, call records, email open rates, CLM events, sample activity, territory assignments</w:t>
            </w:r>
          </w:p>
        </w:tc>
        <w:tc>
          <w:tcPr>
            <w:tcW w:type="dxa" w:w="2760"/>
            <w:shd w:fill="FFFFFF" w:val="clear"/>
            <w:tcMar>
              <w:top w:type="dxa" w:w="80"/>
              <w:left w:type="dxa" w:w="140"/>
              <w:bottom w:type="dxa" w:w="80"/>
              <w:right w:type="dxa" w:w="140"/>
            </w:tcMar>
          </w:tcPr>
          <w:p>
            <w:r>
              <w:rPr>
                <w:rFonts w:ascii="Arial" w:cs="Arial" w:eastAsia="Arial" w:hAnsi="Arial"/>
                <w:sz w:val="20"/>
                <w:szCs w:val="20"/>
              </w:rPr>
              <w:t xml:space="preserve">REST API · Veeva Vault / Salesforce Health Cloud connector</w:t>
            </w:r>
          </w:p>
        </w:tc>
        <w:tc>
          <w:tcPr>
            <w:tcW w:type="dxa" w:w="2000"/>
            <w:shd w:fill="FFFFFF" w:val="clear"/>
            <w:tcMar>
              <w:top w:type="dxa" w:w="80"/>
              <w:left w:type="dxa" w:w="140"/>
              <w:bottom w:type="dxa" w:w="80"/>
              <w:right w:type="dxa" w:w="140"/>
            </w:tcMar>
          </w:tcPr>
          <w:p>
            <w:r>
              <w:rPr>
                <w:rFonts w:ascii="Arial" w:cs="Arial" w:eastAsia="Arial" w:hAnsi="Arial"/>
                <w:sz w:val="20"/>
                <w:szCs w:val="20"/>
              </w:rPr>
              <w:t xml:space="preserve">Primary source for HCP interaction data</w:t>
            </w:r>
          </w:p>
        </w:tc>
      </w:tr>
      <w:tr>
        <w:tc>
          <w:tcPr>
            <w:tcW w:type="dxa" w:w="1400"/>
            <w:shd w:fill="F8FAFC" w:val="clear"/>
            <w:tcMar>
              <w:top w:type="dxa" w:w="80"/>
              <w:left w:type="dxa" w:w="140"/>
              <w:bottom w:type="dxa" w:w="80"/>
              <w:right w:type="dxa" w:w="140"/>
            </w:tcMar>
          </w:tcPr>
          <w:p>
            <w:r>
              <w:rPr>
                <w:rFonts w:ascii="Arial" w:cs="Arial" w:eastAsia="Arial" w:hAnsi="Arial"/>
                <w:sz w:val="20"/>
                <w:szCs w:val="20"/>
              </w:rPr>
              <w:t xml:space="preserve">ERP</w:t>
            </w:r>
          </w:p>
        </w:tc>
        <w:tc>
          <w:tcPr>
            <w:tcW w:type="dxa" w:w="3200"/>
            <w:shd w:fill="F8FAFC" w:val="clear"/>
            <w:tcMar>
              <w:top w:type="dxa" w:w="80"/>
              <w:left w:type="dxa" w:w="140"/>
              <w:bottom w:type="dxa" w:w="80"/>
              <w:right w:type="dxa" w:w="140"/>
            </w:tcMar>
          </w:tcPr>
          <w:p>
            <w:r>
              <w:rPr>
                <w:rFonts w:ascii="Arial" w:cs="Arial" w:eastAsia="Arial" w:hAnsi="Arial"/>
                <w:sz w:val="20"/>
                <w:szCs w:val="20"/>
              </w:rPr>
              <w:t xml:space="preserve">Sample inventory, sales orders, supply chain data, cost analytics, manufacturing KPIs</w:t>
            </w:r>
          </w:p>
        </w:tc>
        <w:tc>
          <w:tcPr>
            <w:tcW w:type="dxa" w:w="2760"/>
            <w:shd w:fill="F8FAFC" w:val="clear"/>
            <w:tcMar>
              <w:top w:type="dxa" w:w="80"/>
              <w:left w:type="dxa" w:w="140"/>
              <w:bottom w:type="dxa" w:w="80"/>
              <w:right w:type="dxa" w:w="140"/>
            </w:tcMar>
          </w:tcPr>
          <w:p>
            <w:r>
              <w:rPr>
                <w:rFonts w:ascii="Arial" w:cs="Arial" w:eastAsia="Arial" w:hAnsi="Arial"/>
                <w:sz w:val="20"/>
                <w:szCs w:val="20"/>
              </w:rPr>
              <w:t xml:space="preserve">JDBC · SAP S/4HANA / Oracle connector</w:t>
            </w:r>
          </w:p>
        </w:tc>
        <w:tc>
          <w:tcPr>
            <w:tcW w:type="dxa" w:w="2000"/>
            <w:shd w:fill="F8FAFC" w:val="clear"/>
            <w:tcMar>
              <w:top w:type="dxa" w:w="80"/>
              <w:left w:type="dxa" w:w="140"/>
              <w:bottom w:type="dxa" w:w="80"/>
              <w:right w:type="dxa" w:w="140"/>
            </w:tcMar>
          </w:tcPr>
          <w:p>
            <w:r>
              <w:rPr>
                <w:rFonts w:ascii="Arial" w:cs="Arial" w:eastAsia="Arial" w:hAnsi="Arial"/>
                <w:sz w:val="20"/>
                <w:szCs w:val="20"/>
              </w:rPr>
              <w:t xml:space="preserve">Source for sample cost and supply data</w:t>
            </w:r>
          </w:p>
        </w:tc>
      </w:tr>
      <w:tr>
        <w:tc>
          <w:tcPr>
            <w:tcW w:type="dxa" w:w="1400"/>
            <w:shd w:fill="FFFFFF" w:val="clear"/>
            <w:tcMar>
              <w:top w:type="dxa" w:w="80"/>
              <w:left w:type="dxa" w:w="140"/>
              <w:bottom w:type="dxa" w:w="80"/>
              <w:right w:type="dxa" w:w="140"/>
            </w:tcMar>
          </w:tcPr>
          <w:p>
            <w:r>
              <w:rPr>
                <w:rFonts w:ascii="Arial" w:cs="Arial" w:eastAsia="Arial" w:hAnsi="Arial"/>
                <w:sz w:val="20"/>
                <w:szCs w:val="20"/>
              </w:rPr>
              <w:t xml:space="preserve">DWH</w:t>
            </w:r>
          </w:p>
        </w:tc>
        <w:tc>
          <w:tcPr>
            <w:tcW w:type="dxa" w:w="3200"/>
            <w:shd w:fill="FFFFFF" w:val="clear"/>
            <w:tcMar>
              <w:top w:type="dxa" w:w="80"/>
              <w:left w:type="dxa" w:w="140"/>
              <w:bottom w:type="dxa" w:w="80"/>
              <w:right w:type="dxa" w:w="140"/>
            </w:tcMar>
          </w:tcPr>
          <w:p>
            <w:r>
              <w:rPr>
                <w:rFonts w:ascii="Arial" w:cs="Arial" w:eastAsia="Arial" w:hAnsi="Arial"/>
                <w:sz w:val="20"/>
                <w:szCs w:val="20"/>
              </w:rPr>
              <w:t xml:space="preserve">Historical sales (2+ years), market share data, trend analysis, competitive intelligence, territory benchmarks</w:t>
            </w:r>
          </w:p>
        </w:tc>
        <w:tc>
          <w:tcPr>
            <w:tcW w:type="dxa" w:w="2760"/>
            <w:shd w:fill="FFFFFF" w:val="clear"/>
            <w:tcMar>
              <w:top w:type="dxa" w:w="80"/>
              <w:left w:type="dxa" w:w="140"/>
              <w:bottom w:type="dxa" w:w="80"/>
              <w:right w:type="dxa" w:w="140"/>
            </w:tcMar>
          </w:tcPr>
          <w:p>
            <w:r>
              <w:rPr>
                <w:rFonts w:ascii="Arial" w:cs="Arial" w:eastAsia="Arial" w:hAnsi="Arial"/>
                <w:sz w:val="20"/>
                <w:szCs w:val="20"/>
              </w:rPr>
              <w:t xml:space="preserve">SQL · Snowflake / BigQuery / Redshift</w:t>
            </w:r>
          </w:p>
        </w:tc>
        <w:tc>
          <w:tcPr>
            <w:tcW w:type="dxa" w:w="2000"/>
            <w:shd w:fill="FFFFFF" w:val="clear"/>
            <w:tcMar>
              <w:top w:type="dxa" w:w="80"/>
              <w:left w:type="dxa" w:w="140"/>
              <w:bottom w:type="dxa" w:w="80"/>
              <w:right w:type="dxa" w:w="140"/>
            </w:tcMar>
          </w:tcPr>
          <w:p>
            <w:r>
              <w:rPr>
                <w:rFonts w:ascii="Arial" w:cs="Arial" w:eastAsia="Arial" w:hAnsi="Arial"/>
                <w:sz w:val="20"/>
                <w:szCs w:val="20"/>
              </w:rPr>
              <w:t xml:space="preserve">Long-term modelling and baseline data</w:t>
            </w:r>
          </w:p>
        </w:tc>
      </w:tr>
      <w:tr>
        <w:tc>
          <w:tcPr>
            <w:tcW w:type="dxa" w:w="1400"/>
            <w:shd w:fill="F8FAFC" w:val="clear"/>
            <w:tcMar>
              <w:top w:type="dxa" w:w="80"/>
              <w:left w:type="dxa" w:w="140"/>
              <w:bottom w:type="dxa" w:w="80"/>
              <w:right w:type="dxa" w:w="140"/>
            </w:tcMar>
          </w:tcPr>
          <w:p>
            <w:r>
              <w:rPr>
                <w:rFonts w:ascii="Arial" w:cs="Arial" w:eastAsia="Arial" w:hAnsi="Arial"/>
                <w:sz w:val="20"/>
                <w:szCs w:val="20"/>
              </w:rPr>
              <w:t xml:space="preserve">BI</w:t>
            </w:r>
          </w:p>
        </w:tc>
        <w:tc>
          <w:tcPr>
            <w:tcW w:type="dxa" w:w="3200"/>
            <w:shd w:fill="F8FAFC" w:val="clear"/>
            <w:tcMar>
              <w:top w:type="dxa" w:w="80"/>
              <w:left w:type="dxa" w:w="140"/>
              <w:bottom w:type="dxa" w:w="80"/>
              <w:right w:type="dxa" w:w="140"/>
            </w:tcMar>
          </w:tcPr>
          <w:p>
            <w:r>
              <w:rPr>
                <w:rFonts w:ascii="Arial" w:cs="Arial" w:eastAsia="Arial" w:hAnsi="Arial"/>
                <w:sz w:val="20"/>
                <w:szCs w:val="20"/>
              </w:rPr>
              <w:t xml:space="preserve">Dashboard KPIs, campaign performance, field force metrics, ROI reports, regional comparisons</w:t>
            </w:r>
          </w:p>
        </w:tc>
        <w:tc>
          <w:tcPr>
            <w:tcW w:type="dxa" w:w="2760"/>
            <w:shd w:fill="F8FAFC" w:val="clear"/>
            <w:tcMar>
              <w:top w:type="dxa" w:w="80"/>
              <w:left w:type="dxa" w:w="140"/>
              <w:bottom w:type="dxa" w:w="80"/>
              <w:right w:type="dxa" w:w="140"/>
            </w:tcMar>
          </w:tcPr>
          <w:p>
            <w:r>
              <w:rPr>
                <w:rFonts w:ascii="Arial" w:cs="Arial" w:eastAsia="Arial" w:hAnsi="Arial"/>
                <w:sz w:val="20"/>
                <w:szCs w:val="20"/>
              </w:rPr>
              <w:t xml:space="preserve">Power BI API · Tableau REST · Qlik Sense</w:t>
            </w:r>
          </w:p>
        </w:tc>
        <w:tc>
          <w:tcPr>
            <w:tcW w:type="dxa" w:w="2000"/>
            <w:shd w:fill="F8FAFC" w:val="clear"/>
            <w:tcMar>
              <w:top w:type="dxa" w:w="80"/>
              <w:left w:type="dxa" w:w="140"/>
              <w:bottom w:type="dxa" w:w="80"/>
              <w:right w:type="dxa" w:w="140"/>
            </w:tcMar>
          </w:tcPr>
          <w:p>
            <w:r>
              <w:rPr>
                <w:rFonts w:ascii="Arial" w:cs="Arial" w:eastAsia="Arial" w:hAnsi="Arial"/>
                <w:sz w:val="20"/>
                <w:szCs w:val="20"/>
              </w:rPr>
              <w:t xml:space="preserve">Downstream reporting and executive dashboards</w:t>
            </w:r>
          </w:p>
        </w:tc>
      </w:tr>
    </w:tbl>
    <w:p>
      <w:pPr>
        <w:spacing w:after="60"/>
      </w:pPr>
      <w:r>
        <w:rPr>
          <w:sz w:val="22"/>
          <w:szCs w:val="22"/>
        </w:rPr>
        <w:t xml:space="preserve"> </w:t>
      </w:r>
    </w:p>
    <w:p>
      <w:pPr>
        <w:pStyle w:val="Heading2"/>
        <w:spacing w:after="120" w:before="280"/>
      </w:pPr>
      <w:r>
        <w:rPr>
          <w:rFonts w:ascii="Arial" w:cs="Arial" w:eastAsia="Arial" w:hAnsi="Arial"/>
          <w:b/>
          <w:bCs/>
          <w:color w:val="1E3348"/>
          <w:sz w:val="27"/>
          <w:szCs w:val="27"/>
        </w:rPr>
        <w:t xml:space="preserve">6.2 Output Integration</w:t>
      </w:r>
    </w:p>
    <w:p>
      <w:pPr>
        <w:pStyle w:val="ListParagraph"/>
        <w:numPr>
          <w:ilvl w:val="0"/>
          <w:numId w:val="2"/>
        </w:numPr>
        <w:spacing w:after="60"/>
      </w:pPr>
      <w:r>
        <w:rPr>
          <w:rFonts w:ascii="Arial" w:cs="Arial" w:eastAsia="Arial" w:hAnsi="Arial"/>
          <w:sz w:val="22"/>
          <w:szCs w:val="22"/>
        </w:rPr>
        <w:t xml:space="preserve">CRM Push — NBA journey maps deployed to Veeva CRM / Salesforce as structured call plan activities, maintaining rep workflow continuity</w:t>
      </w:r>
    </w:p>
    <w:p>
      <w:pPr>
        <w:pStyle w:val="ListParagraph"/>
        <w:numPr>
          <w:ilvl w:val="0"/>
          <w:numId w:val="2"/>
        </w:numPr>
        <w:spacing w:after="60"/>
      </w:pPr>
      <w:r>
        <w:rPr>
          <w:rFonts w:ascii="Arial" w:cs="Arial" w:eastAsia="Arial" w:hAnsi="Arial"/>
          <w:sz w:val="22"/>
          <w:szCs w:val="22"/>
        </w:rPr>
        <w:t xml:space="preserve">ERP Sync — Territory performance data written back to ERP for supply chain alignment and sample planning</w:t>
      </w:r>
    </w:p>
    <w:p>
      <w:pPr>
        <w:pStyle w:val="ListParagraph"/>
        <w:numPr>
          <w:ilvl w:val="0"/>
          <w:numId w:val="2"/>
        </w:numPr>
        <w:spacing w:after="60"/>
      </w:pPr>
      <w:r>
        <w:rPr>
          <w:rFonts w:ascii="Arial" w:cs="Arial" w:eastAsia="Arial" w:hAnsi="Arial"/>
          <w:sz w:val="22"/>
          <w:szCs w:val="22"/>
        </w:rPr>
        <w:t xml:space="preserve">Workflow Integration — Tactic sequences exported to workflow management platforms (Veeva Vault, Salesforce Flow)</w:t>
      </w:r>
    </w:p>
    <w:p>
      <w:pPr>
        <w:pStyle w:val="ListParagraph"/>
        <w:numPr>
          <w:ilvl w:val="0"/>
          <w:numId w:val="2"/>
        </w:numPr>
        <w:spacing w:after="60"/>
      </w:pPr>
      <w:r>
        <w:rPr>
          <w:rFonts w:ascii="Arial" w:cs="Arial" w:eastAsia="Arial" w:hAnsi="Arial"/>
          <w:sz w:val="22"/>
          <w:szCs w:val="22"/>
        </w:rPr>
        <w:t xml:space="preserve">BI Streaming — Model significance outputs and tactic performance metrics available via REST webhook for downstream BI dashboards</w:t>
      </w:r>
    </w:p>
    <w:p>
      <w:r>
        <w:br w:type="page"/>
      </w:r>
    </w:p>
    <w:p>
      <w:pPr>
        <w:pStyle w:val="Heading1"/>
        <w:spacing w:after="160" w:before="400"/>
      </w:pPr>
      <w:r>
        <w:rPr>
          <w:rFonts w:ascii="Arial" w:cs="Arial" w:eastAsia="Arial" w:hAnsi="Arial"/>
          <w:b/>
          <w:bCs/>
          <w:color w:val="0D1B2A"/>
          <w:sz w:val="34"/>
          <w:szCs w:val="34"/>
        </w:rPr>
        <w:t xml:space="preserve">7. Non-Functional Requirements</w:t>
      </w:r>
    </w:p>
    <w:p>
      <w:pPr>
        <w:pBdr>
          <w:bottom w:val="single" w:color="00B482" w:sz="4"/>
        </w:pBdr>
        <w:spacing w:after="120" w:before="120"/>
      </w:pPr>
    </w:p>
    <w:p>
      <w:pPr>
        <w:pStyle w:val="Heading2"/>
        <w:spacing w:after="120" w:before="280"/>
      </w:pPr>
      <w:r>
        <w:rPr>
          <w:rFonts w:ascii="Arial" w:cs="Arial" w:eastAsia="Arial" w:hAnsi="Arial"/>
          <w:b/>
          <w:bCs/>
          <w:color w:val="1E3348"/>
          <w:sz w:val="27"/>
          <w:szCs w:val="27"/>
        </w:rPr>
        <w:t xml:space="preserve">7.1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0D1B2A"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5760"/>
            <w:shd w:fill="0D1B2A" w:val="clear"/>
            <w:tcMar>
              <w:top w:type="dxa" w:w="100"/>
              <w:left w:type="dxa" w:w="140"/>
              <w:bottom w:type="dxa" w:w="100"/>
              <w:right w:type="dxa" w:w="140"/>
            </w:tcMar>
          </w:tcPr>
          <w:p>
            <w:r>
              <w:rPr>
                <w:rFonts w:ascii="Arial" w:cs="Arial" w:eastAsia="Arial" w:hAnsi="Arial"/>
                <w:b/>
                <w:bCs/>
                <w:color w:val="FFFFFF"/>
                <w:sz w:val="20"/>
                <w:szCs w:val="20"/>
              </w:rPr>
              <w:t xml:space="preserve">Target</w:t>
            </w:r>
          </w:p>
        </w:tc>
      </w:tr>
      <w:tr>
        <w:tc>
          <w:tcPr>
            <w:tcW w:type="dxa" w:w="3600"/>
            <w:shd w:fill="FFFFFF" w:val="clear"/>
            <w:tcMar>
              <w:top w:type="dxa" w:w="80"/>
              <w:left w:type="dxa" w:w="140"/>
              <w:bottom w:type="dxa" w:w="80"/>
              <w:right w:type="dxa" w:w="140"/>
            </w:tcMar>
          </w:tcPr>
          <w:p>
            <w:r>
              <w:rPr>
                <w:rFonts w:ascii="Arial" w:cs="Arial" w:eastAsia="Arial" w:hAnsi="Arial"/>
                <w:sz w:val="20"/>
                <w:szCs w:val="20"/>
              </w:rPr>
              <w:t xml:space="preserve">Dashboard load time (ME Overview)</w:t>
            </w:r>
          </w:p>
        </w:tc>
        <w:tc>
          <w:tcPr>
            <w:tcW w:type="dxa" w:w="5760"/>
            <w:shd w:fill="FFFFFF" w:val="clear"/>
            <w:tcMar>
              <w:top w:type="dxa" w:w="80"/>
              <w:left w:type="dxa" w:w="140"/>
              <w:bottom w:type="dxa" w:w="80"/>
              <w:right w:type="dxa" w:w="140"/>
            </w:tcMar>
          </w:tcPr>
          <w:p>
            <w:r>
              <w:rPr>
                <w:rFonts w:ascii="Arial" w:cs="Arial" w:eastAsia="Arial" w:hAnsi="Arial"/>
                <w:sz w:val="20"/>
                <w:szCs w:val="20"/>
              </w:rPr>
              <w:t xml:space="preserve">&lt; 2 seconds for territories up to 300 HCPs</w:t>
            </w:r>
          </w:p>
        </w:tc>
      </w:tr>
      <w:tr>
        <w:tc>
          <w:tcPr>
            <w:tcW w:type="dxa" w:w="3600"/>
            <w:shd w:fill="F8FAFC" w:val="clear"/>
            <w:tcMar>
              <w:top w:type="dxa" w:w="80"/>
              <w:left w:type="dxa" w:w="140"/>
              <w:bottom w:type="dxa" w:w="80"/>
              <w:right w:type="dxa" w:w="140"/>
            </w:tcMar>
          </w:tcPr>
          <w:p>
            <w:r>
              <w:rPr>
                <w:rFonts w:ascii="Arial" w:cs="Arial" w:eastAsia="Arial" w:hAnsi="Arial"/>
                <w:sz w:val="20"/>
                <w:szCs w:val="20"/>
              </w:rPr>
              <w:t xml:space="preserve">API response time (data fetch)</w:t>
            </w:r>
          </w:p>
        </w:tc>
        <w:tc>
          <w:tcPr>
            <w:tcW w:type="dxa" w:w="5760"/>
            <w:shd w:fill="F8FAFC" w:val="clear"/>
            <w:tcMar>
              <w:top w:type="dxa" w:w="80"/>
              <w:left w:type="dxa" w:w="140"/>
              <w:bottom w:type="dxa" w:w="80"/>
              <w:right w:type="dxa" w:w="140"/>
            </w:tcMar>
          </w:tcPr>
          <w:p>
            <w:r>
              <w:rPr>
                <w:rFonts w:ascii="Arial" w:cs="Arial" w:eastAsia="Arial" w:hAnsi="Arial"/>
                <w:sz w:val="20"/>
                <w:szCs w:val="20"/>
              </w:rPr>
              <w:t xml:space="preserve">&lt; 500ms (p95)</w:t>
            </w:r>
          </w:p>
        </w:tc>
      </w:tr>
      <w:tr>
        <w:tc>
          <w:tcPr>
            <w:tcW w:type="dxa" w:w="3600"/>
            <w:shd w:fill="FFFFFF" w:val="clear"/>
            <w:tcMar>
              <w:top w:type="dxa" w:w="80"/>
              <w:left w:type="dxa" w:w="140"/>
              <w:bottom w:type="dxa" w:w="80"/>
              <w:right w:type="dxa" w:w="140"/>
            </w:tcMar>
          </w:tcPr>
          <w:p>
            <w:r>
              <w:rPr>
                <w:rFonts w:ascii="Arial" w:cs="Arial" w:eastAsia="Arial" w:hAnsi="Arial"/>
                <w:sz w:val="20"/>
                <w:szCs w:val="20"/>
              </w:rPr>
              <w:t xml:space="preserve">Model training time (standard use case)</w:t>
            </w:r>
          </w:p>
        </w:tc>
        <w:tc>
          <w:tcPr>
            <w:tcW w:type="dxa" w:w="5760"/>
            <w:shd w:fill="FFFFFF" w:val="clear"/>
            <w:tcMar>
              <w:top w:type="dxa" w:w="80"/>
              <w:left w:type="dxa" w:w="140"/>
              <w:bottom w:type="dxa" w:w="80"/>
              <w:right w:type="dxa" w:w="140"/>
            </w:tcMar>
          </w:tcPr>
          <w:p>
            <w:r>
              <w:rPr>
                <w:rFonts w:ascii="Arial" w:cs="Arial" w:eastAsia="Arial" w:hAnsi="Arial"/>
                <w:sz w:val="20"/>
                <w:szCs w:val="20"/>
              </w:rPr>
              <w:t xml:space="preserve">&lt; 10 minutes for datasets up to 5M rows on standard GPU compute</w:t>
            </w:r>
          </w:p>
        </w:tc>
      </w:tr>
      <w:tr>
        <w:tc>
          <w:tcPr>
            <w:tcW w:type="dxa" w:w="3600"/>
            <w:shd w:fill="F8FAFC" w:val="clear"/>
            <w:tcMar>
              <w:top w:type="dxa" w:w="80"/>
              <w:left w:type="dxa" w:w="140"/>
              <w:bottom w:type="dxa" w:w="80"/>
              <w:right w:type="dxa" w:w="140"/>
            </w:tcMar>
          </w:tcPr>
          <w:p>
            <w:r>
              <w:rPr>
                <w:rFonts w:ascii="Arial" w:cs="Arial" w:eastAsia="Arial" w:hAnsi="Arial"/>
                <w:sz w:val="20"/>
                <w:szCs w:val="20"/>
              </w:rPr>
              <w:t xml:space="preserve">Model deployment to HCP Engagement Console</w:t>
            </w:r>
          </w:p>
        </w:tc>
        <w:tc>
          <w:tcPr>
            <w:tcW w:type="dxa" w:w="5760"/>
            <w:shd w:fill="F8FAFC" w:val="clear"/>
            <w:tcMar>
              <w:top w:type="dxa" w:w="80"/>
              <w:left w:type="dxa" w:w="140"/>
              <w:bottom w:type="dxa" w:w="80"/>
              <w:right w:type="dxa" w:w="140"/>
            </w:tcMar>
          </w:tcPr>
          <w:p>
            <w:r>
              <w:rPr>
                <w:rFonts w:ascii="Arial" w:cs="Arial" w:eastAsia="Arial" w:hAnsi="Arial"/>
                <w:sz w:val="20"/>
                <w:szCs w:val="20"/>
              </w:rPr>
              <w:t xml:space="preserve">&lt; 5 minutes from Analytics Workbench 'Deploy' action</w:t>
            </w:r>
          </w:p>
        </w:tc>
      </w:tr>
      <w:tr>
        <w:tc>
          <w:tcPr>
            <w:tcW w:type="dxa" w:w="3600"/>
            <w:shd w:fill="FFFFFF" w:val="clear"/>
            <w:tcMar>
              <w:top w:type="dxa" w:w="80"/>
              <w:left w:type="dxa" w:w="140"/>
              <w:bottom w:type="dxa" w:w="80"/>
              <w:right w:type="dxa" w:w="140"/>
            </w:tcMar>
          </w:tcPr>
          <w:p>
            <w:r>
              <w:rPr>
                <w:rFonts w:ascii="Arial" w:cs="Arial" w:eastAsia="Arial" w:hAnsi="Arial"/>
                <w:sz w:val="20"/>
                <w:szCs w:val="20"/>
              </w:rPr>
              <w:t xml:space="preserve">Heat map rendering (50-state choropleth)</w:t>
            </w:r>
          </w:p>
        </w:tc>
        <w:tc>
          <w:tcPr>
            <w:tcW w:type="dxa" w:w="5760"/>
            <w:shd w:fill="FFFFFF" w:val="clear"/>
            <w:tcMar>
              <w:top w:type="dxa" w:w="80"/>
              <w:left w:type="dxa" w:w="140"/>
              <w:bottom w:type="dxa" w:w="80"/>
              <w:right w:type="dxa" w:w="140"/>
            </w:tcMar>
          </w:tcPr>
          <w:p>
            <w:r>
              <w:rPr>
                <w:rFonts w:ascii="Arial" w:cs="Arial" w:eastAsia="Arial" w:hAnsi="Arial"/>
                <w:sz w:val="20"/>
                <w:szCs w:val="20"/>
              </w:rPr>
              <w:t xml:space="preserve">&lt; 3 seconds on standard broadband connection</w:t>
            </w:r>
          </w:p>
        </w:tc>
      </w:tr>
    </w:tbl>
    <w:p>
      <w:pPr>
        <w:spacing w:after="60"/>
      </w:pPr>
      <w:r>
        <w:rPr>
          <w:sz w:val="22"/>
          <w:szCs w:val="22"/>
        </w:rPr>
        <w:t xml:space="preserve"> </w:t>
      </w:r>
    </w:p>
    <w:p>
      <w:pPr>
        <w:pStyle w:val="Heading2"/>
        <w:spacing w:after="120" w:before="280"/>
      </w:pPr>
      <w:r>
        <w:rPr>
          <w:rFonts w:ascii="Arial" w:cs="Arial" w:eastAsia="Arial" w:hAnsi="Arial"/>
          <w:b/>
          <w:bCs/>
          <w:color w:val="1E3348"/>
          <w:sz w:val="27"/>
          <w:szCs w:val="27"/>
        </w:rPr>
        <w:t xml:space="preserve">7.2 Security &amp; Compliance</w:t>
      </w:r>
    </w:p>
    <w:p>
      <w:pPr>
        <w:pStyle w:val="ListParagraph"/>
        <w:numPr>
          <w:ilvl w:val="0"/>
          <w:numId w:val="2"/>
        </w:numPr>
        <w:spacing w:after="60"/>
      </w:pPr>
      <w:r>
        <w:rPr>
          <w:rFonts w:ascii="Arial" w:cs="Arial" w:eastAsia="Arial" w:hAnsi="Arial"/>
          <w:sz w:val="22"/>
          <w:szCs w:val="22"/>
        </w:rPr>
        <w:t xml:space="preserve">Role-based access control — ME users cannot access DS module; DS users cannot modify rep tactic records without Commercial Excellence approval</w:t>
      </w:r>
    </w:p>
    <w:p>
      <w:pPr>
        <w:pStyle w:val="ListParagraph"/>
        <w:numPr>
          <w:ilvl w:val="0"/>
          <w:numId w:val="2"/>
        </w:numPr>
        <w:spacing w:after="60"/>
      </w:pPr>
      <w:r>
        <w:rPr>
          <w:rFonts w:ascii="Arial" w:cs="Arial" w:eastAsia="Arial" w:hAnsi="Arial"/>
          <w:sz w:val="22"/>
          <w:szCs w:val="22"/>
        </w:rPr>
        <w:t xml:space="preserve">Data encryption — AES-256 at rest; TLS 1.3 in transit</w:t>
      </w:r>
    </w:p>
    <w:p>
      <w:pPr>
        <w:pStyle w:val="ListParagraph"/>
        <w:numPr>
          <w:ilvl w:val="0"/>
          <w:numId w:val="2"/>
        </w:numPr>
        <w:spacing w:after="60"/>
      </w:pPr>
      <w:r>
        <w:rPr>
          <w:rFonts w:ascii="Arial" w:cs="Arial" w:eastAsia="Arial" w:hAnsi="Arial"/>
          <w:sz w:val="22"/>
          <w:szCs w:val="22"/>
        </w:rPr>
        <w:t xml:space="preserve">Audit logging — All model deployments, data source accesses, and tactic plan modifications logged with timestamp, user ID, and IP</w:t>
      </w:r>
    </w:p>
    <w:p>
      <w:pPr>
        <w:pStyle w:val="ListParagraph"/>
        <w:numPr>
          <w:ilvl w:val="0"/>
          <w:numId w:val="2"/>
        </w:numPr>
        <w:spacing w:after="60"/>
      </w:pPr>
      <w:r>
        <w:rPr>
          <w:rFonts w:ascii="Arial" w:cs="Arial" w:eastAsia="Arial" w:hAnsi="Arial"/>
          <w:sz w:val="22"/>
          <w:szCs w:val="22"/>
        </w:rPr>
        <w:t xml:space="preserve">HIPAA-aligned data handling — HCP-identifiable information handled under PHI protocols; no patient data stored</w:t>
      </w:r>
    </w:p>
    <w:p>
      <w:pPr>
        <w:pStyle w:val="ListParagraph"/>
        <w:numPr>
          <w:ilvl w:val="0"/>
          <w:numId w:val="2"/>
        </w:numPr>
        <w:spacing w:after="60"/>
      </w:pPr>
      <w:r>
        <w:rPr>
          <w:rFonts w:ascii="Arial" w:cs="Arial" w:eastAsia="Arial" w:hAnsi="Arial"/>
          <w:sz w:val="22"/>
          <w:szCs w:val="22"/>
        </w:rPr>
        <w:t xml:space="preserve">MLR (Medical Legal Regulatory) tagging — Model-generated tactic recommendations flagged for MLR review gate before being surfaced to field teams in regulated markets</w:t>
      </w:r>
    </w:p>
    <w:p>
      <w:pPr>
        <w:spacing w:after="60"/>
      </w:pPr>
      <w:r>
        <w:rPr>
          <w:sz w:val="22"/>
          <w:szCs w:val="22"/>
        </w:rPr>
        <w:t xml:space="preserve"> </w:t>
      </w:r>
    </w:p>
    <w:p>
      <w:pPr>
        <w:pStyle w:val="Heading2"/>
        <w:spacing w:after="120" w:before="280"/>
      </w:pPr>
      <w:r>
        <w:rPr>
          <w:rFonts w:ascii="Arial" w:cs="Arial" w:eastAsia="Arial" w:hAnsi="Arial"/>
          <w:b/>
          <w:bCs/>
          <w:color w:val="1E3348"/>
          <w:sz w:val="27"/>
          <w:szCs w:val="27"/>
        </w:rPr>
        <w:t xml:space="preserve">7.3 Scalability</w:t>
      </w:r>
    </w:p>
    <w:p>
      <w:pPr>
        <w:pStyle w:val="ListParagraph"/>
        <w:numPr>
          <w:ilvl w:val="0"/>
          <w:numId w:val="2"/>
        </w:numPr>
        <w:spacing w:after="60"/>
      </w:pPr>
      <w:r>
        <w:rPr>
          <w:rFonts w:ascii="Arial" w:cs="Arial" w:eastAsia="Arial" w:hAnsi="Arial"/>
          <w:sz w:val="22"/>
          <w:szCs w:val="22"/>
        </w:rPr>
        <w:t xml:space="preserve">Support 10,000+ concurrent ME users globally across multi-tenant deployments</w:t>
      </w:r>
    </w:p>
    <w:p>
      <w:pPr>
        <w:pStyle w:val="ListParagraph"/>
        <w:numPr>
          <w:ilvl w:val="0"/>
          <w:numId w:val="2"/>
        </w:numPr>
        <w:spacing w:after="60"/>
      </w:pPr>
      <w:r>
        <w:rPr>
          <w:rFonts w:ascii="Arial" w:cs="Arial" w:eastAsia="Arial" w:hAnsi="Arial"/>
          <w:sz w:val="22"/>
          <w:szCs w:val="22"/>
        </w:rPr>
        <w:t xml:space="preserve">Horizontal scaling via Kubernetes for model training and serving layer</w:t>
      </w:r>
    </w:p>
    <w:p>
      <w:pPr>
        <w:pStyle w:val="ListParagraph"/>
        <w:numPr>
          <w:ilvl w:val="0"/>
          <w:numId w:val="2"/>
        </w:numPr>
        <w:spacing w:after="60"/>
      </w:pPr>
      <w:r>
        <w:rPr>
          <w:rFonts w:ascii="Arial" w:cs="Arial" w:eastAsia="Arial" w:hAnsi="Arial"/>
          <w:sz w:val="22"/>
          <w:szCs w:val="22"/>
        </w:rPr>
        <w:t xml:space="preserve">Tenant-level data isolation enforced at database schema level</w:t>
      </w:r>
    </w:p>
    <w:p>
      <w:pPr>
        <w:pStyle w:val="ListParagraph"/>
        <w:numPr>
          <w:ilvl w:val="0"/>
          <w:numId w:val="2"/>
        </w:numPr>
        <w:spacing w:after="60"/>
      </w:pPr>
      <w:r>
        <w:rPr>
          <w:rFonts w:ascii="Arial" w:cs="Arial" w:eastAsia="Arial" w:hAnsi="Arial"/>
          <w:sz w:val="22"/>
          <w:szCs w:val="22"/>
        </w:rPr>
        <w:t xml:space="preserve">Multi-region deployment with data residency compliance (EU-GDPR, US, APAC)</w:t>
      </w:r>
    </w:p>
    <w:p>
      <w:pPr>
        <w:spacing w:after="60"/>
      </w:pPr>
      <w:r>
        <w:rPr>
          <w:sz w:val="22"/>
          <w:szCs w:val="22"/>
        </w:rPr>
        <w:t xml:space="preserve"> </w:t>
      </w:r>
    </w:p>
    <w:p>
      <w:pPr>
        <w:pStyle w:val="Heading2"/>
        <w:spacing w:after="120" w:before="280"/>
      </w:pPr>
      <w:r>
        <w:rPr>
          <w:rFonts w:ascii="Arial" w:cs="Arial" w:eastAsia="Arial" w:hAnsi="Arial"/>
          <w:b/>
          <w:bCs/>
          <w:color w:val="1E3348"/>
          <w:sz w:val="27"/>
          <w:szCs w:val="27"/>
        </w:rPr>
        <w:t xml:space="preserve">7.4 Usability &amp; Accessibility</w:t>
      </w:r>
    </w:p>
    <w:p>
      <w:pPr>
        <w:pStyle w:val="ListParagraph"/>
        <w:numPr>
          <w:ilvl w:val="0"/>
          <w:numId w:val="2"/>
        </w:numPr>
        <w:spacing w:after="60"/>
      </w:pPr>
      <w:r>
        <w:rPr>
          <w:rFonts w:ascii="Arial" w:cs="Arial" w:eastAsia="Arial" w:hAnsi="Arial"/>
          <w:sz w:val="22"/>
          <w:szCs w:val="22"/>
        </w:rPr>
        <w:t xml:space="preserve">Mobile-responsive design — HCP Engagement Console optimised for tablet use in field settings; Analytics Workbench desktop-first</w:t>
      </w:r>
    </w:p>
    <w:p>
      <w:pPr>
        <w:pStyle w:val="ListParagraph"/>
        <w:numPr>
          <w:ilvl w:val="0"/>
          <w:numId w:val="2"/>
        </w:numPr>
        <w:spacing w:after="60"/>
      </w:pPr>
      <w:r>
        <w:rPr>
          <w:rFonts w:ascii="Arial" w:cs="Arial" w:eastAsia="Arial" w:hAnsi="Arial"/>
          <w:sz w:val="22"/>
          <w:szCs w:val="22"/>
        </w:rPr>
        <w:t xml:space="preserve">No-code model creation — Analytics Workbench designed for commercial analytics profiles without Python/SQL requirements</w:t>
      </w:r>
    </w:p>
    <w:p>
      <w:pPr>
        <w:pStyle w:val="ListParagraph"/>
        <w:numPr>
          <w:ilvl w:val="0"/>
          <w:numId w:val="2"/>
        </w:numPr>
        <w:spacing w:after="60"/>
      </w:pPr>
      <w:r>
        <w:rPr>
          <w:rFonts w:ascii="Arial" w:cs="Arial" w:eastAsia="Arial" w:hAnsi="Arial"/>
          <w:sz w:val="22"/>
          <w:szCs w:val="22"/>
        </w:rPr>
        <w:t xml:space="preserve">WCAG 2.1 AA compliance for all user-facing screens</w:t>
      </w:r>
    </w:p>
    <w:p>
      <w:pPr>
        <w:pStyle w:val="ListParagraph"/>
        <w:numPr>
          <w:ilvl w:val="0"/>
          <w:numId w:val="2"/>
        </w:numPr>
        <w:spacing w:after="60"/>
      </w:pPr>
      <w:r>
        <w:rPr>
          <w:rFonts w:ascii="Arial" w:cs="Arial" w:eastAsia="Arial" w:hAnsi="Arial"/>
          <w:sz w:val="22"/>
          <w:szCs w:val="22"/>
        </w:rPr>
        <w:t xml:space="preserve">Colour-blind accessible status indicators — supplementary icons used alongside colour coding</w:t>
      </w:r>
    </w:p>
    <w:p>
      <w:r>
        <w:br w:type="page"/>
      </w:r>
    </w:p>
    <w:p>
      <w:pPr>
        <w:pStyle w:val="Heading1"/>
        <w:spacing w:after="160" w:before="400"/>
      </w:pPr>
      <w:r>
        <w:rPr>
          <w:rFonts w:ascii="Arial" w:cs="Arial" w:eastAsia="Arial" w:hAnsi="Arial"/>
          <w:b/>
          <w:bCs/>
          <w:color w:val="0D1B2A"/>
          <w:sz w:val="34"/>
          <w:szCs w:val="34"/>
        </w:rPr>
        <w:t xml:space="preserve">8. Product Roadmap</w:t>
      </w:r>
    </w:p>
    <w:p>
      <w:pPr>
        <w:pBdr>
          <w:bottom w:val="single" w:color="00B482" w:sz="4"/>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rPr>
          <w:tblHeader/>
        </w:trPr>
        <w:tc>
          <w:tcPr>
            <w:tcW w:type="dxa" w:w="1400"/>
            <w:shd w:fill="0D1B2A"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1800"/>
            <w:shd w:fill="0D1B2A" w:val="clear"/>
            <w:tcMar>
              <w:top w:type="dxa" w:w="100"/>
              <w:left w:type="dxa" w:w="140"/>
              <w:bottom w:type="dxa" w:w="100"/>
              <w:right w:type="dxa" w:w="140"/>
            </w:tcMar>
          </w:tcPr>
          <w:p>
            <w:r>
              <w:rPr>
                <w:rFonts w:ascii="Arial" w:cs="Arial" w:eastAsia="Arial" w:hAnsi="Arial"/>
                <w:b/>
                <w:bCs/>
                <w:color w:val="FFFFFF"/>
                <w:sz w:val="20"/>
                <w:szCs w:val="20"/>
              </w:rPr>
              <w:t xml:space="preserve">Timeline</w:t>
            </w:r>
          </w:p>
        </w:tc>
        <w:tc>
          <w:tcPr>
            <w:tcW w:type="dxa" w:w="6160"/>
            <w:shd w:fill="0D1B2A" w:val="clear"/>
            <w:tcMar>
              <w:top w:type="dxa" w:w="100"/>
              <w:left w:type="dxa" w:w="140"/>
              <w:bottom w:type="dxa" w:w="100"/>
              <w:right w:type="dxa" w:w="140"/>
            </w:tcMar>
          </w:tcPr>
          <w:p>
            <w:r>
              <w:rPr>
                <w:rFonts w:ascii="Arial" w:cs="Arial" w:eastAsia="Arial" w:hAnsi="Arial"/>
                <w:b/>
                <w:bCs/>
                <w:color w:val="FFFFFF"/>
                <w:sz w:val="20"/>
                <w:szCs w:val="20"/>
              </w:rPr>
              <w:t xml:space="preserve">Scope</w:t>
            </w:r>
          </w:p>
        </w:tc>
      </w:tr>
      <w:tr>
        <w:tc>
          <w:tcPr>
            <w:tcW w:type="dxa" w:w="1400"/>
            <w:shd w:fill="FFFFFF" w:val="clear"/>
            <w:tcMar>
              <w:top w:type="dxa" w:w="80"/>
              <w:left w:type="dxa" w:w="140"/>
              <w:bottom w:type="dxa" w:w="80"/>
              <w:right w:type="dxa" w:w="140"/>
            </w:tcMar>
          </w:tcPr>
          <w:p>
            <w:r>
              <w:rPr>
                <w:rFonts w:ascii="Arial" w:cs="Arial" w:eastAsia="Arial" w:hAnsi="Arial"/>
                <w:sz w:val="20"/>
                <w:szCs w:val="20"/>
              </w:rPr>
              <w:t xml:space="preserve">Phase 1 — MVP</w:t>
            </w:r>
          </w:p>
        </w:tc>
        <w:tc>
          <w:tcPr>
            <w:tcW w:type="dxa" w:w="1800"/>
            <w:shd w:fill="FFFFFF" w:val="clear"/>
            <w:tcMar>
              <w:top w:type="dxa" w:w="80"/>
              <w:left w:type="dxa" w:w="140"/>
              <w:bottom w:type="dxa" w:w="80"/>
              <w:right w:type="dxa" w:w="140"/>
            </w:tcMar>
          </w:tcPr>
          <w:p>
            <w:r>
              <w:rPr>
                <w:rFonts w:ascii="Arial" w:cs="Arial" w:eastAsia="Arial" w:hAnsi="Arial"/>
                <w:sz w:val="20"/>
                <w:szCs w:val="20"/>
              </w:rPr>
              <w:t xml:space="preserve">Q1 2025</w:t>
            </w:r>
          </w:p>
        </w:tc>
        <w:tc>
          <w:tcPr>
            <w:tcW w:type="dxa" w:w="6160"/>
            <w:shd w:fill="FFFFFF" w:val="clear"/>
            <w:tcMar>
              <w:top w:type="dxa" w:w="80"/>
              <w:left w:type="dxa" w:w="140"/>
              <w:bottom w:type="dxa" w:w="80"/>
              <w:right w:type="dxa" w:w="140"/>
            </w:tcMar>
          </w:tcPr>
          <w:p>
            <w:r>
              <w:rPr>
                <w:rFonts w:ascii="Arial" w:cs="Arial" w:eastAsia="Arial" w:hAnsi="Arial"/>
                <w:sz w:val="20"/>
                <w:szCs w:val="20"/>
              </w:rPr>
              <w:t xml:space="preserve">HCP Engagement Console: Overview dashboard, HCP Status tracker, HCP Statics profile, Journey Map. Analytics Workbench: Create Model panel with CRM data source. CRM write-back integration.</w:t>
            </w:r>
          </w:p>
        </w:tc>
      </w:tr>
      <w:tr>
        <w:tc>
          <w:tcPr>
            <w:tcW w:type="dxa" w:w="1400"/>
            <w:shd w:fill="F8FAFC" w:val="clear"/>
            <w:tcMar>
              <w:top w:type="dxa" w:w="80"/>
              <w:left w:type="dxa" w:w="140"/>
              <w:bottom w:type="dxa" w:w="80"/>
              <w:right w:type="dxa" w:w="140"/>
            </w:tcMar>
          </w:tcPr>
          <w:p>
            <w:r>
              <w:rPr>
                <w:rFonts w:ascii="Arial" w:cs="Arial" w:eastAsia="Arial" w:hAnsi="Arial"/>
                <w:sz w:val="20"/>
                <w:szCs w:val="20"/>
              </w:rPr>
              <w:t xml:space="preserve">Phase 2 — Core</w:t>
            </w:r>
          </w:p>
        </w:tc>
        <w:tc>
          <w:tcPr>
            <w:tcW w:type="dxa" w:w="1800"/>
            <w:shd w:fill="F8FAFC" w:val="clear"/>
            <w:tcMar>
              <w:top w:type="dxa" w:w="80"/>
              <w:left w:type="dxa" w:w="140"/>
              <w:bottom w:type="dxa" w:w="80"/>
              <w:right w:type="dxa" w:w="140"/>
            </w:tcMar>
          </w:tcPr>
          <w:p>
            <w:r>
              <w:rPr>
                <w:rFonts w:ascii="Arial" w:cs="Arial" w:eastAsia="Arial" w:hAnsi="Arial"/>
                <w:sz w:val="20"/>
                <w:szCs w:val="20"/>
              </w:rPr>
              <w:t xml:space="preserve">Q2 2025</w:t>
            </w:r>
          </w:p>
        </w:tc>
        <w:tc>
          <w:tcPr>
            <w:tcW w:type="dxa" w:w="6160"/>
            <w:shd w:fill="F8FAFC" w:val="clear"/>
            <w:tcMar>
              <w:top w:type="dxa" w:w="80"/>
              <w:left w:type="dxa" w:w="140"/>
              <w:bottom w:type="dxa" w:w="80"/>
              <w:right w:type="dxa" w:w="140"/>
            </w:tcMar>
          </w:tcPr>
          <w:p>
            <w:r>
              <w:rPr>
                <w:rFonts w:ascii="Arial" w:cs="Arial" w:eastAsia="Arial" w:hAnsi="Arial"/>
                <w:sz w:val="20"/>
                <w:szCs w:val="20"/>
              </w:rPr>
              <w:t xml:space="preserve">Analytics Workbench: Full Monitoring panel, Confusion Matrix, Significance Output, Tweak Panel, Deploy/Replace actions. HCP Engagement Console: Heat Map &amp; Metrics, Performance &amp; Target list. ERP integration.</w:t>
            </w:r>
          </w:p>
        </w:tc>
      </w:tr>
      <w:tr>
        <w:tc>
          <w:tcPr>
            <w:tcW w:type="dxa" w:w="1400"/>
            <w:shd w:fill="FFFFFF" w:val="clear"/>
            <w:tcMar>
              <w:top w:type="dxa" w:w="80"/>
              <w:left w:type="dxa" w:w="140"/>
              <w:bottom w:type="dxa" w:w="80"/>
              <w:right w:type="dxa" w:w="140"/>
            </w:tcMar>
          </w:tcPr>
          <w:p>
            <w:r>
              <w:rPr>
                <w:rFonts w:ascii="Arial" w:cs="Arial" w:eastAsia="Arial" w:hAnsi="Arial"/>
                <w:sz w:val="20"/>
                <w:szCs w:val="20"/>
              </w:rPr>
              <w:t xml:space="preserve">Phase 3 — Scale</w:t>
            </w:r>
          </w:p>
        </w:tc>
        <w:tc>
          <w:tcPr>
            <w:tcW w:type="dxa" w:w="1800"/>
            <w:shd w:fill="FFFFFF" w:val="clear"/>
            <w:tcMar>
              <w:top w:type="dxa" w:w="80"/>
              <w:left w:type="dxa" w:w="140"/>
              <w:bottom w:type="dxa" w:w="80"/>
              <w:right w:type="dxa" w:w="140"/>
            </w:tcMar>
          </w:tcPr>
          <w:p>
            <w:r>
              <w:rPr>
                <w:rFonts w:ascii="Arial" w:cs="Arial" w:eastAsia="Arial" w:hAnsi="Arial"/>
                <w:sz w:val="20"/>
                <w:szCs w:val="20"/>
              </w:rPr>
              <w:t xml:space="preserve">Q3 2025</w:t>
            </w:r>
          </w:p>
        </w:tc>
        <w:tc>
          <w:tcPr>
            <w:tcW w:type="dxa" w:w="6160"/>
            <w:shd w:fill="FFFFFF" w:val="clear"/>
            <w:tcMar>
              <w:top w:type="dxa" w:w="80"/>
              <w:left w:type="dxa" w:w="140"/>
              <w:bottom w:type="dxa" w:w="80"/>
              <w:right w:type="dxa" w:w="140"/>
            </w:tcMar>
          </w:tcPr>
          <w:p>
            <w:r>
              <w:rPr>
                <w:rFonts w:ascii="Arial" w:cs="Arial" w:eastAsia="Arial" w:hAnsi="Arial"/>
                <w:sz w:val="20"/>
                <w:szCs w:val="20"/>
              </w:rPr>
              <w:t xml:space="preserve">Multi-product, multi-region field rollout. Model Library (all 6 algorithms). BI integration with streaming. Mobile-native ME app. Manager Analytics layer with cross-territory benchmarking.</w:t>
            </w:r>
          </w:p>
        </w:tc>
      </w:tr>
      <w:tr>
        <w:tc>
          <w:tcPr>
            <w:tcW w:type="dxa" w:w="1400"/>
            <w:shd w:fill="F8FAFC" w:val="clear"/>
            <w:tcMar>
              <w:top w:type="dxa" w:w="80"/>
              <w:left w:type="dxa" w:w="140"/>
              <w:bottom w:type="dxa" w:w="80"/>
              <w:right w:type="dxa" w:w="140"/>
            </w:tcMar>
          </w:tcPr>
          <w:p>
            <w:r>
              <w:rPr>
                <w:rFonts w:ascii="Arial" w:cs="Arial" w:eastAsia="Arial" w:hAnsi="Arial"/>
                <w:sz w:val="20"/>
                <w:szCs w:val="20"/>
              </w:rPr>
              <w:t xml:space="preserve">Phase 4 — Intelligence</w:t>
            </w:r>
          </w:p>
        </w:tc>
        <w:tc>
          <w:tcPr>
            <w:tcW w:type="dxa" w:w="1800"/>
            <w:shd w:fill="F8FAFC" w:val="clear"/>
            <w:tcMar>
              <w:top w:type="dxa" w:w="80"/>
              <w:left w:type="dxa" w:w="140"/>
              <w:bottom w:type="dxa" w:w="80"/>
              <w:right w:type="dxa" w:w="140"/>
            </w:tcMar>
          </w:tcPr>
          <w:p>
            <w:r>
              <w:rPr>
                <w:rFonts w:ascii="Arial" w:cs="Arial" w:eastAsia="Arial" w:hAnsi="Arial"/>
                <w:sz w:val="20"/>
                <w:szCs w:val="20"/>
              </w:rPr>
              <w:t xml:space="preserve">Q4 2025</w:t>
            </w:r>
          </w:p>
        </w:tc>
        <w:tc>
          <w:tcPr>
            <w:tcW w:type="dxa" w:w="6160"/>
            <w:shd w:fill="F8FAFC" w:val="clear"/>
            <w:tcMar>
              <w:top w:type="dxa" w:w="80"/>
              <w:left w:type="dxa" w:w="140"/>
              <w:bottom w:type="dxa" w:w="80"/>
              <w:right w:type="dxa" w:w="140"/>
            </w:tcMar>
          </w:tcPr>
          <w:p>
            <w:r>
              <w:rPr>
                <w:rFonts w:ascii="Arial" w:cs="Arial" w:eastAsia="Arial" w:hAnsi="Arial"/>
                <w:sz w:val="20"/>
                <w:szCs w:val="20"/>
              </w:rPr>
              <w:t xml:space="preserve">Real-time NBA adaptation (journey map auto-updates on HCP signal change). Multi-brand tactic optimisation engine. MLR compliance workflow integration. API marketplace for third-party CRM connectors.</w:t>
            </w:r>
          </w:p>
        </w:tc>
      </w:tr>
      <w:tr>
        <w:tc>
          <w:tcPr>
            <w:tcW w:type="dxa" w:w="1400"/>
            <w:shd w:fill="FFFFFF" w:val="clear"/>
            <w:tcMar>
              <w:top w:type="dxa" w:w="80"/>
              <w:left w:type="dxa" w:w="140"/>
              <w:bottom w:type="dxa" w:w="80"/>
              <w:right w:type="dxa" w:w="140"/>
            </w:tcMar>
          </w:tcPr>
          <w:p>
            <w:r>
              <w:rPr>
                <w:rFonts w:ascii="Arial" w:cs="Arial" w:eastAsia="Arial" w:hAnsi="Arial"/>
                <w:sz w:val="20"/>
                <w:szCs w:val="20"/>
              </w:rPr>
              <w:t xml:space="preserve">Phase 5 — Platform</w:t>
            </w:r>
          </w:p>
        </w:tc>
        <w:tc>
          <w:tcPr>
            <w:tcW w:type="dxa" w:w="1800"/>
            <w:shd w:fill="FFFFFF" w:val="clear"/>
            <w:tcMar>
              <w:top w:type="dxa" w:w="80"/>
              <w:left w:type="dxa" w:w="140"/>
              <w:bottom w:type="dxa" w:w="80"/>
              <w:right w:type="dxa" w:w="140"/>
            </w:tcMar>
          </w:tcPr>
          <w:p>
            <w:r>
              <w:rPr>
                <w:rFonts w:ascii="Arial" w:cs="Arial" w:eastAsia="Arial" w:hAnsi="Arial"/>
                <w:sz w:val="20"/>
                <w:szCs w:val="20"/>
              </w:rPr>
              <w:t xml:space="preserve">2026</w:t>
            </w:r>
          </w:p>
        </w:tc>
        <w:tc>
          <w:tcPr>
            <w:tcW w:type="dxa" w:w="6160"/>
            <w:shd w:fill="FFFFFF" w:val="clear"/>
            <w:tcMar>
              <w:top w:type="dxa" w:w="80"/>
              <w:left w:type="dxa" w:w="140"/>
              <w:bottom w:type="dxa" w:w="80"/>
              <w:right w:type="dxa" w:w="140"/>
            </w:tcMar>
          </w:tcPr>
          <w:p>
            <w:r>
              <w:rPr>
                <w:rFonts w:ascii="Arial" w:cs="Arial" w:eastAsia="Arial" w:hAnsi="Arial"/>
                <w:sz w:val="20"/>
                <w:szCs w:val="20"/>
              </w:rPr>
              <w:t xml:space="preserve">Patient outcome correlation layer. Global regulatory-compliant deployment (EU, APAC). Automated model retraining on drift detection. Executive-facing Commercial Intelligence Board.</w:t>
            </w:r>
          </w:p>
        </w:tc>
      </w:tr>
    </w:tbl>
    <w:p>
      <w:r>
        <w:br w:type="page"/>
      </w:r>
    </w:p>
    <w:p>
      <w:pPr>
        <w:pStyle w:val="Heading1"/>
        <w:spacing w:after="160" w:before="400"/>
      </w:pPr>
      <w:r>
        <w:rPr>
          <w:rFonts w:ascii="Arial" w:cs="Arial" w:eastAsia="Arial" w:hAnsi="Arial"/>
          <w:b/>
          <w:bCs/>
          <w:color w:val="0D1B2A"/>
          <w:sz w:val="34"/>
          <w:szCs w:val="34"/>
        </w:rPr>
        <w:t xml:space="preserve">9. Acceptance Criteria by Module</w:t>
      </w:r>
    </w:p>
    <w:p>
      <w:pPr>
        <w:pBdr>
          <w:bottom w:val="single" w:color="00B482" w:sz="4"/>
        </w:pBdr>
        <w:spacing w:after="120" w:before="120"/>
      </w:pPr>
    </w:p>
    <w:p>
      <w:pPr>
        <w:pStyle w:val="Heading2"/>
        <w:spacing w:after="120" w:before="280"/>
      </w:pPr>
      <w:r>
        <w:rPr>
          <w:rFonts w:ascii="Arial" w:cs="Arial" w:eastAsia="Arial" w:hAnsi="Arial"/>
          <w:b/>
          <w:bCs/>
          <w:color w:val="1E3348"/>
          <w:sz w:val="27"/>
          <w:szCs w:val="27"/>
        </w:rPr>
        <w:t xml:space="preserve">9.1 HCP Engagement Console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0D1B2A"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6360"/>
            <w:shd w:fill="0D1B2A" w:val="clear"/>
            <w:tcMar>
              <w:top w:type="dxa" w:w="100"/>
              <w:left w:type="dxa" w:w="140"/>
              <w:bottom w:type="dxa" w:w="100"/>
              <w:right w:type="dxa" w:w="140"/>
            </w:tcMar>
          </w:tcPr>
          <w:p>
            <w:r>
              <w:rPr>
                <w:rFonts w:ascii="Arial" w:cs="Arial" w:eastAsia="Arial" w:hAnsi="Arial"/>
                <w:b/>
                <w:bCs/>
                <w:color w:val="FFFFFF"/>
                <w:sz w:val="20"/>
                <w:szCs w:val="20"/>
              </w:rPr>
              <w:t xml:space="preserve">Acceptance Criteria</w:t>
            </w:r>
          </w:p>
        </w:tc>
      </w:tr>
      <w:tr>
        <w:tc>
          <w:tcPr>
            <w:tcW w:type="dxa" w:w="3000"/>
            <w:shd w:fill="FFFFFF" w:val="clear"/>
            <w:tcMar>
              <w:top w:type="dxa" w:w="80"/>
              <w:left w:type="dxa" w:w="140"/>
              <w:bottom w:type="dxa" w:w="80"/>
              <w:right w:type="dxa" w:w="140"/>
            </w:tcMar>
          </w:tcPr>
          <w:p>
            <w:r>
              <w:rPr>
                <w:rFonts w:ascii="Arial" w:cs="Arial" w:eastAsia="Arial" w:hAnsi="Arial"/>
                <w:sz w:val="20"/>
                <w:szCs w:val="20"/>
              </w:rPr>
              <w:t xml:space="preserve">Overview Dashboard</w:t>
            </w:r>
          </w:p>
        </w:tc>
        <w:tc>
          <w:tcPr>
            <w:tcW w:type="dxa" w:w="6360"/>
            <w:shd w:fill="FFFFFF" w:val="clear"/>
            <w:tcMar>
              <w:top w:type="dxa" w:w="80"/>
              <w:left w:type="dxa" w:w="140"/>
              <w:bottom w:type="dxa" w:w="80"/>
              <w:right w:type="dxa" w:w="140"/>
            </w:tcMar>
          </w:tcPr>
          <w:p>
            <w:r>
              <w:rPr>
                <w:rFonts w:ascii="Arial" w:cs="Arial" w:eastAsia="Arial" w:hAnsi="Arial"/>
                <w:sz w:val="20"/>
                <w:szCs w:val="20"/>
              </w:rPr>
              <w:t xml:space="preserve">Tactic completion data loads within 2s. Week filter changes all tactic KPI cards simultaneously. HCP row click navigates to HCP Statics.</w:t>
            </w:r>
          </w:p>
        </w:tc>
      </w:tr>
      <w:tr>
        <w:tc>
          <w:tcPr>
            <w:tcW w:type="dxa" w:w="3000"/>
            <w:shd w:fill="F8FAFC" w:val="clear"/>
            <w:tcMar>
              <w:top w:type="dxa" w:w="80"/>
              <w:left w:type="dxa" w:w="140"/>
              <w:bottom w:type="dxa" w:w="80"/>
              <w:right w:type="dxa" w:w="140"/>
            </w:tcMar>
          </w:tcPr>
          <w:p>
            <w:r>
              <w:rPr>
                <w:rFonts w:ascii="Arial" w:cs="Arial" w:eastAsia="Arial" w:hAnsi="Arial"/>
                <w:sz w:val="20"/>
                <w:szCs w:val="20"/>
              </w:rPr>
              <w:t xml:space="preserve">HCP Status Dot Matrix</w:t>
            </w:r>
          </w:p>
        </w:tc>
        <w:tc>
          <w:tcPr>
            <w:tcW w:type="dxa" w:w="6360"/>
            <w:shd w:fill="F8FAFC" w:val="clear"/>
            <w:tcMar>
              <w:top w:type="dxa" w:w="80"/>
              <w:left w:type="dxa" w:w="140"/>
              <w:bottom w:type="dxa" w:w="80"/>
              <w:right w:type="dxa" w:w="140"/>
            </w:tcMar>
          </w:tcPr>
          <w:p>
            <w:r>
              <w:rPr>
                <w:rFonts w:ascii="Arial" w:cs="Arial" w:eastAsia="Arial" w:hAnsi="Arial"/>
                <w:sz w:val="20"/>
                <w:szCs w:val="20"/>
              </w:rPr>
              <w:t xml:space="preserve">Dot matrix reflects real-time completion status. Hovering a dot shows date/time of completion. NBA status updates when tactic plan changes.</w:t>
            </w:r>
          </w:p>
        </w:tc>
      </w:tr>
      <w:tr>
        <w:tc>
          <w:tcPr>
            <w:tcW w:type="dxa" w:w="3000"/>
            <w:shd w:fill="FFFFFF" w:val="clear"/>
            <w:tcMar>
              <w:top w:type="dxa" w:w="80"/>
              <w:left w:type="dxa" w:w="140"/>
              <w:bottom w:type="dxa" w:w="80"/>
              <w:right w:type="dxa" w:w="140"/>
            </w:tcMar>
          </w:tcPr>
          <w:p>
            <w:r>
              <w:rPr>
                <w:rFonts w:ascii="Arial" w:cs="Arial" w:eastAsia="Arial" w:hAnsi="Arial"/>
                <w:sz w:val="20"/>
                <w:szCs w:val="20"/>
              </w:rPr>
              <w:t xml:space="preserve">Journey Map</w:t>
            </w:r>
          </w:p>
        </w:tc>
        <w:tc>
          <w:tcPr>
            <w:tcW w:type="dxa" w:w="6360"/>
            <w:shd w:fill="FFFFFF" w:val="clear"/>
            <w:tcMar>
              <w:top w:type="dxa" w:w="80"/>
              <w:left w:type="dxa" w:w="140"/>
              <w:bottom w:type="dxa" w:w="80"/>
              <w:right w:type="dxa" w:w="140"/>
            </w:tcMar>
          </w:tcPr>
          <w:p>
            <w:r>
              <w:rPr>
                <w:rFonts w:ascii="Arial" w:cs="Arial" w:eastAsia="Arial" w:hAnsi="Arial"/>
                <w:sz w:val="20"/>
                <w:szCs w:val="20"/>
              </w:rPr>
              <w:t xml:space="preserve">Journey nodes display correct sequence from deployed model. 'Integrate' dropdown successfully posts journey to CRM sandbox. 'Add Tactic' inserts new node at correct position.</w:t>
            </w:r>
          </w:p>
        </w:tc>
      </w:tr>
      <w:tr>
        <w:tc>
          <w:tcPr>
            <w:tcW w:type="dxa" w:w="3000"/>
            <w:shd w:fill="F8FAFC" w:val="clear"/>
            <w:tcMar>
              <w:top w:type="dxa" w:w="80"/>
              <w:left w:type="dxa" w:w="140"/>
              <w:bottom w:type="dxa" w:w="80"/>
              <w:right w:type="dxa" w:w="140"/>
            </w:tcMar>
          </w:tcPr>
          <w:p>
            <w:r>
              <w:rPr>
                <w:rFonts w:ascii="Arial" w:cs="Arial" w:eastAsia="Arial" w:hAnsi="Arial"/>
                <w:sz w:val="20"/>
                <w:szCs w:val="20"/>
              </w:rPr>
              <w:t xml:space="preserve">Heat Map</w:t>
            </w:r>
          </w:p>
        </w:tc>
        <w:tc>
          <w:tcPr>
            <w:tcW w:type="dxa" w:w="6360"/>
            <w:shd w:fill="F8FAFC" w:val="clear"/>
            <w:tcMar>
              <w:top w:type="dxa" w:w="80"/>
              <w:left w:type="dxa" w:w="140"/>
              <w:bottom w:type="dxa" w:w="80"/>
              <w:right w:type="dxa" w:w="140"/>
            </w:tcMar>
          </w:tcPr>
          <w:p>
            <w:r>
              <w:rPr>
                <w:rFonts w:ascii="Arial" w:cs="Arial" w:eastAsia="Arial" w:hAnsi="Arial"/>
                <w:sz w:val="20"/>
                <w:szCs w:val="20"/>
              </w:rPr>
              <w:t xml:space="preserve">Clicking a tactic updates the map within 3s. Report panel counts match filtered HCP data. Colour coding correctly represents responsiveness tiers.</w:t>
            </w:r>
          </w:p>
        </w:tc>
      </w:tr>
    </w:tbl>
    <w:p>
      <w:pPr>
        <w:spacing w:after="60"/>
      </w:pPr>
      <w:r>
        <w:rPr>
          <w:sz w:val="22"/>
          <w:szCs w:val="22"/>
        </w:rPr>
        <w:t xml:space="preserve"> </w:t>
      </w:r>
    </w:p>
    <w:p>
      <w:pPr>
        <w:pStyle w:val="Heading2"/>
        <w:spacing w:after="120" w:before="280"/>
      </w:pPr>
      <w:r>
        <w:rPr>
          <w:rFonts w:ascii="Arial" w:cs="Arial" w:eastAsia="Arial" w:hAnsi="Arial"/>
          <w:b/>
          <w:bCs/>
          <w:color w:val="1E3348"/>
          <w:sz w:val="27"/>
          <w:szCs w:val="27"/>
        </w:rPr>
        <w:t xml:space="preserve">9.2 Analytics Workbench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0D1B2A"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6360"/>
            <w:shd w:fill="0D1B2A" w:val="clear"/>
            <w:tcMar>
              <w:top w:type="dxa" w:w="100"/>
              <w:left w:type="dxa" w:w="140"/>
              <w:bottom w:type="dxa" w:w="100"/>
              <w:right w:type="dxa" w:w="140"/>
            </w:tcMar>
          </w:tcPr>
          <w:p>
            <w:r>
              <w:rPr>
                <w:rFonts w:ascii="Arial" w:cs="Arial" w:eastAsia="Arial" w:hAnsi="Arial"/>
                <w:b/>
                <w:bCs/>
                <w:color w:val="FFFFFF"/>
                <w:sz w:val="20"/>
                <w:szCs w:val="20"/>
              </w:rPr>
              <w:t xml:space="preserve">Acceptance Criteria</w:t>
            </w:r>
          </w:p>
        </w:tc>
      </w:tr>
      <w:tr>
        <w:tc>
          <w:tcPr>
            <w:tcW w:type="dxa" w:w="3000"/>
            <w:shd w:fill="FFFFFF" w:val="clear"/>
            <w:tcMar>
              <w:top w:type="dxa" w:w="80"/>
              <w:left w:type="dxa" w:w="140"/>
              <w:bottom w:type="dxa" w:w="80"/>
              <w:right w:type="dxa" w:w="140"/>
            </w:tcMar>
          </w:tcPr>
          <w:p>
            <w:r>
              <w:rPr>
                <w:rFonts w:ascii="Arial" w:cs="Arial" w:eastAsia="Arial" w:hAnsi="Arial"/>
                <w:sz w:val="20"/>
                <w:szCs w:val="20"/>
              </w:rPr>
              <w:t xml:space="preserve">Create Model Panel</w:t>
            </w:r>
          </w:p>
        </w:tc>
        <w:tc>
          <w:tcPr>
            <w:tcW w:type="dxa" w:w="6360"/>
            <w:shd w:fill="FFFFFF" w:val="clear"/>
            <w:tcMar>
              <w:top w:type="dxa" w:w="80"/>
              <w:left w:type="dxa" w:w="140"/>
              <w:bottom w:type="dxa" w:w="80"/>
              <w:right w:type="dxa" w:w="140"/>
            </w:tcMar>
          </w:tcPr>
          <w:p>
            <w:r>
              <w:rPr>
                <w:rFonts w:ascii="Arial" w:cs="Arial" w:eastAsia="Arial" w:hAnsi="Arial"/>
                <w:sz w:val="20"/>
                <w:szCs w:val="20"/>
              </w:rPr>
              <w:t xml:space="preserve">Data from at least 2 sources can be combined. Feature extraction dropdowns reflect selected data schema. 'Get Result' returns model metrics within 10 minutes.</w:t>
            </w:r>
          </w:p>
        </w:tc>
      </w:tr>
      <w:tr>
        <w:tc>
          <w:tcPr>
            <w:tcW w:type="dxa" w:w="3000"/>
            <w:shd w:fill="F8FAFC" w:val="clear"/>
            <w:tcMar>
              <w:top w:type="dxa" w:w="80"/>
              <w:left w:type="dxa" w:w="140"/>
              <w:bottom w:type="dxa" w:w="80"/>
              <w:right w:type="dxa" w:w="140"/>
            </w:tcMar>
          </w:tcPr>
          <w:p>
            <w:r>
              <w:rPr>
                <w:rFonts w:ascii="Arial" w:cs="Arial" w:eastAsia="Arial" w:hAnsi="Arial"/>
                <w:sz w:val="20"/>
                <w:szCs w:val="20"/>
              </w:rPr>
              <w:t xml:space="preserve">Monitoring Panel</w:t>
            </w:r>
          </w:p>
        </w:tc>
        <w:tc>
          <w:tcPr>
            <w:tcW w:type="dxa" w:w="6360"/>
            <w:shd w:fill="F8FAFC" w:val="clear"/>
            <w:tcMar>
              <w:top w:type="dxa" w:w="80"/>
              <w:left w:type="dxa" w:w="140"/>
              <w:bottom w:type="dxa" w:w="80"/>
              <w:right w:type="dxa" w:w="140"/>
            </w:tcMar>
          </w:tcPr>
          <w:p>
            <w:r>
              <w:rPr>
                <w:rFonts w:ascii="Arial" w:cs="Arial" w:eastAsia="Arial" w:hAnsi="Arial"/>
                <w:sz w:val="20"/>
                <w:szCs w:val="20"/>
              </w:rPr>
              <w:t xml:space="preserve">All health metrics (FN, FP, Vulnerability, Accuracy) display correctly for each Model ID. Confusion matrix values sum correctly. Tweak Panel re-runs model in &lt; 15 minutes.</w:t>
            </w:r>
          </w:p>
        </w:tc>
      </w:tr>
      <w:tr>
        <w:tc>
          <w:tcPr>
            <w:tcW w:type="dxa" w:w="3000"/>
            <w:shd w:fill="FFFFFF" w:val="clear"/>
            <w:tcMar>
              <w:top w:type="dxa" w:w="80"/>
              <w:left w:type="dxa" w:w="140"/>
              <w:bottom w:type="dxa" w:w="80"/>
              <w:right w:type="dxa" w:w="140"/>
            </w:tcMar>
          </w:tcPr>
          <w:p>
            <w:r>
              <w:rPr>
                <w:rFonts w:ascii="Arial" w:cs="Arial" w:eastAsia="Arial" w:hAnsi="Arial"/>
                <w:sz w:val="20"/>
                <w:szCs w:val="20"/>
              </w:rPr>
              <w:t xml:space="preserve">Deploy Action</w:t>
            </w:r>
          </w:p>
        </w:tc>
        <w:tc>
          <w:tcPr>
            <w:tcW w:type="dxa" w:w="6360"/>
            <w:shd w:fill="FFFFFF" w:val="clear"/>
            <w:tcMar>
              <w:top w:type="dxa" w:w="80"/>
              <w:left w:type="dxa" w:w="140"/>
              <w:bottom w:type="dxa" w:w="80"/>
              <w:right w:type="dxa" w:w="140"/>
            </w:tcMar>
          </w:tcPr>
          <w:p>
            <w:r>
              <w:rPr>
                <w:rFonts w:ascii="Arial" w:cs="Arial" w:eastAsia="Arial" w:hAnsi="Arial"/>
                <w:sz w:val="20"/>
                <w:szCs w:val="20"/>
              </w:rPr>
              <w:t xml:space="preserve">Clicking Deploy changes model status from Staging to Production. HCP Engagement Console reflects new NBA recommendations within 5 minutes of deployment. Audit log captures deployment event.</w:t>
            </w:r>
          </w:p>
        </w:tc>
      </w:tr>
    </w:tbl>
    <w:p>
      <w:r>
        <w:br w:type="page"/>
      </w:r>
    </w:p>
    <w:p>
      <w:pPr>
        <w:pStyle w:val="Heading1"/>
        <w:spacing w:after="160" w:before="400"/>
      </w:pPr>
      <w:r>
        <w:rPr>
          <w:rFonts w:ascii="Arial" w:cs="Arial" w:eastAsia="Arial" w:hAnsi="Arial"/>
          <w:b/>
          <w:bCs/>
          <w:color w:val="0D1B2A"/>
          <w:sz w:val="34"/>
          <w:szCs w:val="34"/>
        </w:rPr>
        <w:t xml:space="preserve">10. Open Items, Assumptions &amp; Risks</w:t>
      </w:r>
    </w:p>
    <w:p>
      <w:pPr>
        <w:pBdr>
          <w:bottom w:val="single" w:color="00B482" w:sz="4"/>
        </w:pBdr>
        <w:spacing w:after="120" w:before="120"/>
      </w:pPr>
    </w:p>
    <w:p>
      <w:pPr>
        <w:pStyle w:val="Heading2"/>
        <w:spacing w:after="120" w:before="280"/>
      </w:pPr>
      <w:r>
        <w:rPr>
          <w:rFonts w:ascii="Arial" w:cs="Arial" w:eastAsia="Arial" w:hAnsi="Arial"/>
          <w:b/>
          <w:bCs/>
          <w:color w:val="1E3348"/>
          <w:sz w:val="27"/>
          <w:szCs w:val="27"/>
        </w:rPr>
        <w:t xml:space="preserve">10.1 Key Assumptions</w:t>
      </w:r>
    </w:p>
    <w:p>
      <w:pPr>
        <w:pStyle w:val="ListParagraph"/>
        <w:numPr>
          <w:ilvl w:val="0"/>
          <w:numId w:val="2"/>
        </w:numPr>
        <w:spacing w:after="60"/>
      </w:pPr>
      <w:r>
        <w:rPr>
          <w:rFonts w:ascii="Arial" w:cs="Arial" w:eastAsia="Arial" w:hAnsi="Arial"/>
          <w:sz w:val="22"/>
          <w:szCs w:val="22"/>
        </w:rPr>
        <w:t xml:space="preserve">HCP interaction data is available in CRM with minimum 18 months of historical records at weekly granularity</w:t>
      </w:r>
    </w:p>
    <w:p>
      <w:pPr>
        <w:pStyle w:val="ListParagraph"/>
        <w:numPr>
          <w:ilvl w:val="0"/>
          <w:numId w:val="2"/>
        </w:numPr>
        <w:spacing w:after="60"/>
      </w:pPr>
      <w:r>
        <w:rPr>
          <w:rFonts w:ascii="Arial" w:cs="Arial" w:eastAsia="Arial" w:hAnsi="Arial"/>
          <w:sz w:val="22"/>
          <w:szCs w:val="22"/>
        </w:rPr>
        <w:t xml:space="preserve">Commercial analytics team has access to Snowflake DWH or equivalent for Analytics Workbench data source connectivity</w:t>
      </w:r>
    </w:p>
    <w:p>
      <w:pPr>
        <w:pStyle w:val="ListParagraph"/>
        <w:numPr>
          <w:ilvl w:val="0"/>
          <w:numId w:val="2"/>
        </w:numPr>
        <w:spacing w:after="60"/>
      </w:pPr>
      <w:r>
        <w:rPr>
          <w:rFonts w:ascii="Arial" w:cs="Arial" w:eastAsia="Arial" w:hAnsi="Arial"/>
          <w:sz w:val="22"/>
          <w:szCs w:val="22"/>
        </w:rPr>
        <w:t xml:space="preserve">Organisation uses Veeva CRM or Salesforce Health Cloud as the primary CRM platform</w:t>
      </w:r>
    </w:p>
    <w:p>
      <w:pPr>
        <w:pStyle w:val="ListParagraph"/>
        <w:numPr>
          <w:ilvl w:val="0"/>
          <w:numId w:val="2"/>
        </w:numPr>
        <w:spacing w:after="60"/>
      </w:pPr>
      <w:r>
        <w:rPr>
          <w:rFonts w:ascii="Arial" w:cs="Arial" w:eastAsia="Arial" w:hAnsi="Arial"/>
          <w:sz w:val="22"/>
          <w:szCs w:val="22"/>
        </w:rPr>
        <w:t xml:space="preserve">Field reps are issued tablets with minimum iOS 14 / Android 10 for HCP Engagement Console mobile access</w:t>
      </w:r>
    </w:p>
    <w:p>
      <w:pPr>
        <w:spacing w:after="60"/>
      </w:pPr>
      <w:r>
        <w:rPr>
          <w:sz w:val="22"/>
          <w:szCs w:val="22"/>
        </w:rPr>
        <w:t xml:space="preserve"> </w:t>
      </w:r>
    </w:p>
    <w:p>
      <w:pPr>
        <w:pStyle w:val="Heading2"/>
        <w:spacing w:after="120" w:before="280"/>
      </w:pPr>
      <w:r>
        <w:rPr>
          <w:rFonts w:ascii="Arial" w:cs="Arial" w:eastAsia="Arial" w:hAnsi="Arial"/>
          <w:b/>
          <w:bCs/>
          <w:color w:val="1E3348"/>
          <w:sz w:val="27"/>
          <w:szCs w:val="27"/>
        </w:rPr>
        <w:t xml:space="preserve">10.2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5960"/>
      </w:tblGrid>
      <w:tr>
        <w:trPr>
          <w:tblHeader/>
        </w:trPr>
        <w:tc>
          <w:tcPr>
            <w:tcW w:type="dxa" w:w="400"/>
            <w:shd w:fill="0D1B2A"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3000"/>
            <w:shd w:fill="0D1B2A" w:val="clear"/>
            <w:tcMar>
              <w:top w:type="dxa" w:w="100"/>
              <w:left w:type="dxa" w:w="140"/>
              <w:bottom w:type="dxa" w:w="100"/>
              <w:right w:type="dxa" w:w="140"/>
            </w:tcMar>
          </w:tcPr>
          <w:p>
            <w:r>
              <w:rPr>
                <w:rFonts w:ascii="Arial" w:cs="Arial" w:eastAsia="Arial" w:hAnsi="Arial"/>
                <w:b/>
                <w:bCs/>
                <w:color w:val="FFFFFF"/>
                <w:sz w:val="20"/>
                <w:szCs w:val="20"/>
              </w:rPr>
              <w:t xml:space="preserve">Item</w:t>
            </w:r>
          </w:p>
        </w:tc>
        <w:tc>
          <w:tcPr>
            <w:tcW w:type="dxa" w:w="5960"/>
            <w:shd w:fill="0D1B2A"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400"/>
            <w:shd w:fill="FFFFFF" w:val="clear"/>
            <w:tcMar>
              <w:top w:type="dxa" w:w="80"/>
              <w:left w:type="dxa" w:w="140"/>
              <w:bottom w:type="dxa" w:w="80"/>
              <w:right w:type="dxa" w:w="140"/>
            </w:tcMar>
          </w:tcPr>
          <w:p>
            <w:r>
              <w:rPr>
                <w:rFonts w:ascii="Arial" w:cs="Arial" w:eastAsia="Arial" w:hAnsi="Arial"/>
                <w:sz w:val="20"/>
                <w:szCs w:val="20"/>
              </w:rPr>
              <w:t xml:space="preserve">1</w:t>
            </w:r>
          </w:p>
        </w:tc>
        <w:tc>
          <w:tcPr>
            <w:tcW w:type="dxa" w:w="3000"/>
            <w:shd w:fill="FFFFFF" w:val="clear"/>
            <w:tcMar>
              <w:top w:type="dxa" w:w="80"/>
              <w:left w:type="dxa" w:w="140"/>
              <w:bottom w:type="dxa" w:w="80"/>
              <w:right w:type="dxa" w:w="140"/>
            </w:tcMar>
          </w:tcPr>
          <w:p>
            <w:r>
              <w:rPr>
                <w:rFonts w:ascii="Arial" w:cs="Arial" w:eastAsia="Arial" w:hAnsi="Arial"/>
                <w:sz w:val="20"/>
                <w:szCs w:val="20"/>
              </w:rPr>
              <w:t xml:space="preserve">MLR Review Gate Design</w:t>
            </w:r>
          </w:p>
        </w:tc>
        <w:tc>
          <w:tcPr>
            <w:tcW w:type="dxa" w:w="5960"/>
            <w:shd w:fill="FFFFFF" w:val="clear"/>
            <w:tcMar>
              <w:top w:type="dxa" w:w="80"/>
              <w:left w:type="dxa" w:w="140"/>
              <w:bottom w:type="dxa" w:w="80"/>
              <w:right w:type="dxa" w:w="140"/>
            </w:tcMar>
          </w:tcPr>
          <w:p>
            <w:r>
              <w:rPr>
                <w:rFonts w:ascii="Arial" w:cs="Arial" w:eastAsia="Arial" w:hAnsi="Arial"/>
                <w:sz w:val="20"/>
                <w:szCs w:val="20"/>
              </w:rPr>
              <w:t xml:space="preserve">Exact workflow for MLR review of model-generated tactic content in regulated markets (EU, EM) requires alignment with Regulatory Affairs team.</w:t>
            </w:r>
          </w:p>
        </w:tc>
      </w:tr>
      <w:tr>
        <w:tc>
          <w:tcPr>
            <w:tcW w:type="dxa" w:w="400"/>
            <w:shd w:fill="F8FAFC" w:val="clear"/>
            <w:tcMar>
              <w:top w:type="dxa" w:w="80"/>
              <w:left w:type="dxa" w:w="140"/>
              <w:bottom w:type="dxa" w:w="80"/>
              <w:right w:type="dxa" w:w="140"/>
            </w:tcMar>
          </w:tcPr>
          <w:p>
            <w:r>
              <w:rPr>
                <w:rFonts w:ascii="Arial" w:cs="Arial" w:eastAsia="Arial" w:hAnsi="Arial"/>
                <w:sz w:val="20"/>
                <w:szCs w:val="20"/>
              </w:rPr>
              <w:t xml:space="preserve">2</w:t>
            </w:r>
          </w:p>
        </w:tc>
        <w:tc>
          <w:tcPr>
            <w:tcW w:type="dxa" w:w="3000"/>
            <w:shd w:fill="F8FAFC" w:val="clear"/>
            <w:tcMar>
              <w:top w:type="dxa" w:w="80"/>
              <w:left w:type="dxa" w:w="140"/>
              <w:bottom w:type="dxa" w:w="80"/>
              <w:right w:type="dxa" w:w="140"/>
            </w:tcMar>
          </w:tcPr>
          <w:p>
            <w:r>
              <w:rPr>
                <w:rFonts w:ascii="Arial" w:cs="Arial" w:eastAsia="Arial" w:hAnsi="Arial"/>
                <w:sz w:val="20"/>
                <w:szCs w:val="20"/>
              </w:rPr>
              <w:t xml:space="preserve">HCP Master Data Management</w:t>
            </w:r>
          </w:p>
        </w:tc>
        <w:tc>
          <w:tcPr>
            <w:tcW w:type="dxa" w:w="5960"/>
            <w:shd w:fill="F8FAFC" w:val="clear"/>
            <w:tcMar>
              <w:top w:type="dxa" w:w="80"/>
              <w:left w:type="dxa" w:w="140"/>
              <w:bottom w:type="dxa" w:w="80"/>
              <w:right w:type="dxa" w:w="140"/>
            </w:tcMar>
          </w:tcPr>
          <w:p>
            <w:r>
              <w:rPr>
                <w:rFonts w:ascii="Arial" w:cs="Arial" w:eastAsia="Arial" w:hAnsi="Arial"/>
                <w:sz w:val="20"/>
                <w:szCs w:val="20"/>
              </w:rPr>
              <w:t xml:space="preserve">MDM strategy for HCP identity resolution across CRM, ERP, and external data sources (IQVIA, Symphony Health) to be defined.</w:t>
            </w:r>
          </w:p>
        </w:tc>
      </w:tr>
      <w:tr>
        <w:tc>
          <w:tcPr>
            <w:tcW w:type="dxa" w:w="400"/>
            <w:shd w:fill="FFFFFF" w:val="clear"/>
            <w:tcMar>
              <w:top w:type="dxa" w:w="80"/>
              <w:left w:type="dxa" w:w="140"/>
              <w:bottom w:type="dxa" w:w="80"/>
              <w:right w:type="dxa" w:w="140"/>
            </w:tcMar>
          </w:tcPr>
          <w:p>
            <w:r>
              <w:rPr>
                <w:rFonts w:ascii="Arial" w:cs="Arial" w:eastAsia="Arial" w:hAnsi="Arial"/>
                <w:sz w:val="20"/>
                <w:szCs w:val="20"/>
              </w:rPr>
              <w:t xml:space="preserve">3</w:t>
            </w:r>
          </w:p>
        </w:tc>
        <w:tc>
          <w:tcPr>
            <w:tcW w:type="dxa" w:w="3000"/>
            <w:shd w:fill="FFFFFF" w:val="clear"/>
            <w:tcMar>
              <w:top w:type="dxa" w:w="80"/>
              <w:left w:type="dxa" w:w="140"/>
              <w:bottom w:type="dxa" w:w="80"/>
              <w:right w:type="dxa" w:w="140"/>
            </w:tcMar>
          </w:tcPr>
          <w:p>
            <w:r>
              <w:rPr>
                <w:rFonts w:ascii="Arial" w:cs="Arial" w:eastAsia="Arial" w:hAnsi="Arial"/>
                <w:sz w:val="20"/>
                <w:szCs w:val="20"/>
              </w:rPr>
              <w:t xml:space="preserve">Analytics Workbench Compute Pricing</w:t>
            </w:r>
          </w:p>
        </w:tc>
        <w:tc>
          <w:tcPr>
            <w:tcW w:type="dxa" w:w="5960"/>
            <w:shd w:fill="FFFFFF" w:val="clear"/>
            <w:tcMar>
              <w:top w:type="dxa" w:w="80"/>
              <w:left w:type="dxa" w:w="140"/>
              <w:bottom w:type="dxa" w:w="80"/>
              <w:right w:type="dxa" w:w="140"/>
            </w:tcMar>
          </w:tcPr>
          <w:p>
            <w:r>
              <w:rPr>
                <w:rFonts w:ascii="Arial" w:cs="Arial" w:eastAsia="Arial" w:hAnsi="Arial"/>
                <w:sz w:val="20"/>
                <w:szCs w:val="20"/>
              </w:rPr>
              <w:t xml:space="preserve">Pricing model for GPU compute usage in the Analytics Workbench (per model training run vs. monthly subscription) pending Commercial decision.</w:t>
            </w:r>
          </w:p>
        </w:tc>
      </w:tr>
      <w:tr>
        <w:tc>
          <w:tcPr>
            <w:tcW w:type="dxa" w:w="400"/>
            <w:shd w:fill="F8FAFC" w:val="clear"/>
            <w:tcMar>
              <w:top w:type="dxa" w:w="80"/>
              <w:left w:type="dxa" w:w="140"/>
              <w:bottom w:type="dxa" w:w="80"/>
              <w:right w:type="dxa" w:w="140"/>
            </w:tcMar>
          </w:tcPr>
          <w:p>
            <w:r>
              <w:rPr>
                <w:rFonts w:ascii="Arial" w:cs="Arial" w:eastAsia="Arial" w:hAnsi="Arial"/>
                <w:sz w:val="20"/>
                <w:szCs w:val="20"/>
              </w:rPr>
              <w:t xml:space="preserve">4</w:t>
            </w:r>
          </w:p>
        </w:tc>
        <w:tc>
          <w:tcPr>
            <w:tcW w:type="dxa" w:w="3000"/>
            <w:shd w:fill="F8FAFC" w:val="clear"/>
            <w:tcMar>
              <w:top w:type="dxa" w:w="80"/>
              <w:left w:type="dxa" w:w="140"/>
              <w:bottom w:type="dxa" w:w="80"/>
              <w:right w:type="dxa" w:w="140"/>
            </w:tcMar>
          </w:tcPr>
          <w:p>
            <w:r>
              <w:rPr>
                <w:rFonts w:ascii="Arial" w:cs="Arial" w:eastAsia="Arial" w:hAnsi="Arial"/>
                <w:sz w:val="20"/>
                <w:szCs w:val="20"/>
              </w:rPr>
              <w:t xml:space="preserve">Multi-Country Rollout Sequencing</w:t>
            </w:r>
          </w:p>
        </w:tc>
        <w:tc>
          <w:tcPr>
            <w:tcW w:type="dxa" w:w="5960"/>
            <w:shd w:fill="F8FAFC" w:val="clear"/>
            <w:tcMar>
              <w:top w:type="dxa" w:w="80"/>
              <w:left w:type="dxa" w:w="140"/>
              <w:bottom w:type="dxa" w:w="80"/>
              <w:right w:type="dxa" w:w="140"/>
            </w:tcMar>
          </w:tcPr>
          <w:p>
            <w:r>
              <w:rPr>
                <w:rFonts w:ascii="Arial" w:cs="Arial" w:eastAsia="Arial" w:hAnsi="Arial"/>
                <w:sz w:val="20"/>
                <w:szCs w:val="20"/>
              </w:rPr>
              <w:t xml:space="preserve">Deployment priority across US, EU5, and APAC markets to be confirmed. Data residency requirements differ per region.</w:t>
            </w:r>
          </w:p>
        </w:tc>
      </w:tr>
      <w:tr>
        <w:tc>
          <w:tcPr>
            <w:tcW w:type="dxa" w:w="400"/>
            <w:shd w:fill="FFFFFF" w:val="clear"/>
            <w:tcMar>
              <w:top w:type="dxa" w:w="80"/>
              <w:left w:type="dxa" w:w="140"/>
              <w:bottom w:type="dxa" w:w="80"/>
              <w:right w:type="dxa" w:w="140"/>
            </w:tcMar>
          </w:tcPr>
          <w:p>
            <w:r>
              <w:rPr>
                <w:rFonts w:ascii="Arial" w:cs="Arial" w:eastAsia="Arial" w:hAnsi="Arial"/>
                <w:sz w:val="20"/>
                <w:szCs w:val="20"/>
              </w:rPr>
              <w:t xml:space="preserve">5</w:t>
            </w:r>
          </w:p>
        </w:tc>
        <w:tc>
          <w:tcPr>
            <w:tcW w:type="dxa" w:w="3000"/>
            <w:shd w:fill="FFFFFF" w:val="clear"/>
            <w:tcMar>
              <w:top w:type="dxa" w:w="80"/>
              <w:left w:type="dxa" w:w="140"/>
              <w:bottom w:type="dxa" w:w="80"/>
              <w:right w:type="dxa" w:w="140"/>
            </w:tcMar>
          </w:tcPr>
          <w:p>
            <w:r>
              <w:rPr>
                <w:rFonts w:ascii="Arial" w:cs="Arial" w:eastAsia="Arial" w:hAnsi="Arial"/>
                <w:sz w:val="20"/>
                <w:szCs w:val="20"/>
              </w:rPr>
              <w:t xml:space="preserve">Field Rep Change Management</w:t>
            </w:r>
          </w:p>
        </w:tc>
        <w:tc>
          <w:tcPr>
            <w:tcW w:type="dxa" w:w="5960"/>
            <w:shd w:fill="FFFFFF" w:val="clear"/>
            <w:tcMar>
              <w:top w:type="dxa" w:w="80"/>
              <w:left w:type="dxa" w:w="140"/>
              <w:bottom w:type="dxa" w:w="80"/>
              <w:right w:type="dxa" w:w="140"/>
            </w:tcMar>
          </w:tcPr>
          <w:p>
            <w:r>
              <w:rPr>
                <w:rFonts w:ascii="Arial" w:cs="Arial" w:eastAsia="Arial" w:hAnsi="Arial"/>
                <w:sz w:val="20"/>
                <w:szCs w:val="20"/>
              </w:rPr>
              <w:t xml:space="preserve">Training programme, incentive alignment, and adoption tracking strategy for HCP Engagement Console field rollout to be co-developed with Sales Operations.</w:t>
            </w:r>
          </w:p>
        </w:tc>
      </w:tr>
    </w:tbl>
    <w:p>
      <w:pPr>
        <w:spacing w:after="60"/>
      </w:pPr>
      <w:r>
        <w:rPr>
          <w:sz w:val="22"/>
          <w:szCs w:val="22"/>
        </w:rPr>
        <w:t xml:space="preserve"> </w:t>
      </w:r>
    </w:p>
    <w:p>
      <w:pPr>
        <w:pStyle w:val="Heading2"/>
        <w:spacing w:after="120" w:before="280"/>
      </w:pPr>
      <w:r>
        <w:rPr>
          <w:rFonts w:ascii="Arial" w:cs="Arial" w:eastAsia="Arial" w:hAnsi="Arial"/>
          <w:b/>
          <w:bCs/>
          <w:color w:val="1E3348"/>
          <w:sz w:val="27"/>
          <w:szCs w:val="27"/>
        </w:rPr>
        <w:t xml:space="preserve">10.3 Risks</w:t>
      </w:r>
    </w:p>
    <w:p>
      <w:pPr>
        <w:pStyle w:val="ListParagraph"/>
        <w:numPr>
          <w:ilvl w:val="0"/>
          <w:numId w:val="2"/>
        </w:numPr>
        <w:spacing w:after="60"/>
      </w:pPr>
      <w:r>
        <w:rPr>
          <w:rFonts w:ascii="Arial" w:cs="Arial" w:eastAsia="Arial" w:hAnsi="Arial"/>
          <w:sz w:val="22"/>
          <w:szCs w:val="22"/>
        </w:rPr>
        <w:t xml:space="preserve">Data quality risk — Low HCP interaction data quality in CRM will degrade model accuracy. Mitigation: Data quality audit and remediation sprint required before Analytics Workbench training.</w:t>
      </w:r>
    </w:p>
    <w:p>
      <w:pPr>
        <w:pStyle w:val="ListParagraph"/>
        <w:numPr>
          <w:ilvl w:val="0"/>
          <w:numId w:val="2"/>
        </w:numPr>
        <w:spacing w:after="60"/>
      </w:pPr>
      <w:r>
        <w:rPr>
          <w:rFonts w:ascii="Arial" w:cs="Arial" w:eastAsia="Arial" w:hAnsi="Arial"/>
          <w:sz w:val="22"/>
          <w:szCs w:val="22"/>
        </w:rPr>
        <w:t xml:space="preserve">Adoption risk — Field reps may resist NBA plan if it conflicts with existing relationships. Mitigation: NBA plan presented as recommendation, not mandate, with override capability.</w:t>
      </w:r>
    </w:p>
    <w:p>
      <w:pPr>
        <w:pStyle w:val="ListParagraph"/>
        <w:numPr>
          <w:ilvl w:val="0"/>
          <w:numId w:val="2"/>
        </w:numPr>
        <w:spacing w:after="60"/>
      </w:pPr>
      <w:r>
        <w:rPr>
          <w:rFonts w:ascii="Arial" w:cs="Arial" w:eastAsia="Arial" w:hAnsi="Arial"/>
          <w:sz w:val="22"/>
          <w:szCs w:val="22"/>
        </w:rPr>
        <w:t xml:space="preserve">Model governance risk — Production models may drift without monitoring. Mitigation: Automated drift detection alerts in Monitoring panel (Phase 4).</w:t>
      </w:r>
    </w:p>
    <w:p>
      <w:pPr>
        <w:spacing w:after="60"/>
      </w:pPr>
      <w:r>
        <w:rPr>
          <w:sz w:val="22"/>
          <w:szCs w:val="22"/>
        </w:rPr>
        <w:t xml:space="preserve"> </w:t>
      </w:r>
    </w:p>
    <w:p>
      <w:pPr>
        <w:spacing w:after="80" w:before="60"/>
      </w:pPr>
      <w:r>
        <w:rPr>
          <w:rFonts w:ascii="Arial" w:cs="Arial" w:eastAsia="Arial" w:hAnsi="Arial"/>
          <w:sz w:val="22"/>
          <w:szCs w:val="22"/>
        </w:rPr>
        <w:t xml:space="preserve">— End of PRD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pBdr>
    </w:pPr>
    <w:r>
      <w:rPr>
        <w:rFonts w:ascii="Arial" w:cs="Arial" w:eastAsia="Arial" w:hAnsi="Arial"/>
        <w:color w:val="94A3B8"/>
        <w:sz w:val="18"/>
        <w:szCs w:val="18"/>
      </w:rPr>
      <w:t xml:space="preserve">© 2025 Pharma Action Builder · Commercial Excellence Platform · For Internal Distribution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482" w:sz="4"/>
      </w:pBdr>
    </w:pPr>
    <w:r>
      <w:rPr>
        <w:rFonts w:ascii="Arial" w:cs="Arial" w:eastAsia="Arial" w:hAnsi="Arial"/>
        <w:color w:val="475569"/>
        <w:sz w:val="18"/>
        <w:szCs w:val="18"/>
      </w:rPr>
      <w:t xml:space="preserve">PHARMA ACTION BUILDER  ·  Product Requirements Document  ·  v2.0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D1B2A"/>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E3348"/>
      <w:sz w:val="27"/>
      <w:szCs w:val="27"/>
    </w:rPr>
  </w:style>
  <w:style w:type="paragraph" w:styleId="Heading3">
    <w:name w:val="Heading 3"/>
    <w:basedOn w:val="Normal"/>
    <w:next w:val="Normal"/>
    <w:qFormat/>
    <w:pPr>
      <w:spacing w:after="80" w:before="200"/>
      <w:outlineLvl w:val="2"/>
    </w:pPr>
    <w:rPr>
      <w:rFonts w:ascii="Arial" w:cs="Arial" w:eastAsia="Arial" w:hAnsi="Arial"/>
      <w:b/>
      <w:bCs/>
      <w:color w:val="1A527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2026-03-20T10:31:50.593Z</dcterms:created>
  <dcterms:modified xsi:type="dcterms:W3CDTF">2026-03-20T10:31:50.595Z</dcterms:modified>
</cp:coreProperties>
</file>

<file path=docProps/custom.xml><?xml version="1.0" encoding="utf-8"?>
<Properties xmlns="http://schemas.openxmlformats.org/officeDocument/2006/custom-properties" xmlns:vt="http://schemas.openxmlformats.org/officeDocument/2006/docPropsVTypes"/>
</file>