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Architectural Style Justification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Feature Flag &amp; Dynamic Config Manager — Problem Statement #43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 Architectural Styles Evaluated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Three candidate styles were evaluated against the system's core requirement: pushing flag/config changes to client SDKs in real time, while supporting percentage-based cohort rollouts and environment overrides.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300"/>
        <w:gridCol w:w="2300"/>
      </w:tblGrid>
      <w:tr>
        <w:tc>
          <w:tcPr>
            <w:tcW w:type="dxa" w:w="1600"/>
            <w:shd w:fill="EAF1FB" w:val="clea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Style</w:t>
            </w:r>
          </w:p>
        </w:tc>
        <w:tc>
          <w:tcPr>
            <w:tcW w:type="dxa" w:w="3400"/>
            <w:shd w:fill="EAF1FB" w:val="clea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Fit for Real-Time Flag Sync</w:t>
            </w:r>
          </w:p>
        </w:tc>
        <w:tc>
          <w:tcPr>
            <w:tcW w:type="dxa" w:w="2300"/>
            <w:shd w:fill="EAF1FB" w:val="clea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Strength</w:t>
            </w:r>
          </w:p>
        </w:tc>
        <w:tc>
          <w:tcPr>
            <w:tcW w:type="dxa" w:w="2300"/>
            <w:shd w:fill="EAF1FB" w:val="clear"/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7"/>
                <w:szCs w:val="17"/>
              </w:rPr>
              <w:t xml:space="preserve">Weakness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Layered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Poor — request/response only, no native push mechanism to SDKs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Simple, well understood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Cannot support real-time client sync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Client-Server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Weak — clients must poll for updates, adding latency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Easy to implement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Polling wastes bandwidth, delays rollout</w:t>
            </w:r>
          </w:p>
        </w:tc>
      </w:tr>
      <w:tr>
        <w:tc>
          <w:tcPr>
            <w:tcW w:type="dxa" w:w="16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Event-Driven Microservices</w:t>
            </w:r>
          </w:p>
        </w:tc>
        <w:tc>
          <w:tcPr>
            <w:tcW w:type="dxa" w:w="34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Strong — pub/sub pushes flag changes instantly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Real-time sync, independent scaling</w:t>
            </w:r>
          </w:p>
        </w:tc>
        <w:tc>
          <w:tcPr>
            <w:tcW w:type="dxa" w:w="2300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7"/>
                <w:szCs w:val="17"/>
              </w:rPr>
              <w:t xml:space="preserve">Higher operational complexity</w:t>
            </w:r>
          </w:p>
        </w:tc>
      </w:tr>
    </w:tbl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 Selected Style: Event-Driven Microservices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Event-Driven Microservices style was selected because the platform's defining constraint — real-time client SDK flag synchronization (per Problem Statement #43) — cannot be satisfied by a purely request/response (layered or client-server) style without resorting to inefficient polling. Decomposing the system into independently deployable services (Config Management API, Rule Evaluation Engine, Real-Time Sync Service, Audit &amp; Analytics Logger) also allows the Rule Evaluation Engine — the highest-traffic, latency-sensitive component (NFR-001: &lt;15 ms evaluation) — to scale independently of the lower-traffic Admin Console and Audit Logger, without over-provisioning the whole system.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 Mapping to the Component Diagram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Each service in the diagram corresponds to a bounded responsibility: the Config Management API exposes IConfigManagement to the Admin Console and depends on IConfigPersistence from the Config Store; the Rule Evaluation Engine exposes IRuleEvaluation, consumed synchronously by the Config Management API and asynchronously (streamed) by the Real-Time Sync Service, which exposes IFlagSync to Client SDKs over a publish/subscribe channel. The Audit &amp; Analytics Logger subscribes to configuration-change events via IAuditLog, keeping audit logging decoupled from the request path so it never adds latency to flag evaluation.</w:t>
      </w:r>
    </w:p>
    <w:p>
      <w:pPr>
        <w:pBdr>
          <w:bottom w:val="single" w:color="1F3864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 Trade-off Accepted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main cost of this style is increased operational complexity — running and monitoring multiple services and a message broker instead of one monolith. This was accepted because the NFR-001 latency requirement and the real-time sync requirement are non-negotiable for the platform's core use case (safe, fast, targeted feature rollouts), and independent scaling directly supports NFR-002 (security and stability under peak load) by isolating failures to individual services rather than the whole platform.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2026-09-17T14:48:25.136Z</dcterms:created>
  <dcterms:modified xsi:type="dcterms:W3CDTF">2026-09-17T14:48:25.143Z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