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610E5" w14:textId="77777777" w:rsidR="006743E1" w:rsidRDefault="00000000">
      <w:pPr>
        <w:spacing w:after="120" w:line="276" w:lineRule="auto"/>
        <w:jc w:val="center"/>
      </w:pPr>
      <w:r>
        <w:rPr>
          <w:sz w:val="28"/>
          <w:szCs w:val="28"/>
        </w:rPr>
        <w:t>Trip-GUY: An AI-Powered Comprehensive Travel Architecture with Real-Time Synchronization and Cost-Optimized Cloud Infrastructure</w:t>
      </w:r>
    </w:p>
    <w:p w14:paraId="2232FD6E" w14:textId="77777777" w:rsidR="006743E1" w:rsidRDefault="006743E1">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743E1" w14:paraId="1E7B3D86"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Pr>
          <w:p w14:paraId="19312F71" w14:textId="37AE36B1" w:rsidR="006743E1" w:rsidRDefault="00000000">
            <w:pPr>
              <w:jc w:val="center"/>
            </w:pPr>
            <w:r>
              <w:rPr>
                <w:sz w:val="16"/>
                <w:szCs w:val="16"/>
              </w:rPr>
              <w:t xml:space="preserve"> D Gnana Sekaran</w:t>
            </w:r>
          </w:p>
          <w:p w14:paraId="0EF5CAA9" w14:textId="77777777" w:rsidR="006743E1" w:rsidRDefault="00000000">
            <w:pPr>
              <w:jc w:val="center"/>
            </w:pPr>
            <w:r>
              <w:rPr>
                <w:sz w:val="16"/>
                <w:szCs w:val="16"/>
              </w:rPr>
              <w:t>Department of CSE</w:t>
            </w:r>
          </w:p>
          <w:p w14:paraId="066C6940" w14:textId="77777777" w:rsidR="006743E1" w:rsidRDefault="00000000">
            <w:pPr>
              <w:jc w:val="center"/>
            </w:pPr>
            <w:r>
              <w:rPr>
                <w:sz w:val="16"/>
                <w:szCs w:val="16"/>
              </w:rPr>
              <w:t>CAHCET</w:t>
            </w:r>
          </w:p>
          <w:p w14:paraId="080E640A" w14:textId="77777777" w:rsidR="006743E1" w:rsidRDefault="00000000">
            <w:pPr>
              <w:jc w:val="center"/>
            </w:pPr>
            <w:proofErr w:type="spellStart"/>
            <w:r>
              <w:rPr>
                <w:sz w:val="16"/>
                <w:szCs w:val="16"/>
              </w:rPr>
              <w:t>Ranipet</w:t>
            </w:r>
            <w:proofErr w:type="spellEnd"/>
            <w:r>
              <w:rPr>
                <w:sz w:val="16"/>
                <w:szCs w:val="16"/>
              </w:rPr>
              <w:t xml:space="preserve"> 632509, India</w:t>
            </w:r>
          </w:p>
          <w:p w14:paraId="2B20986B" w14:textId="77777777" w:rsidR="006743E1" w:rsidRDefault="00000000">
            <w:pPr>
              <w:jc w:val="center"/>
            </w:pPr>
            <w:r>
              <w:rPr>
                <w:sz w:val="16"/>
                <w:szCs w:val="16"/>
              </w:rPr>
              <w:t>sgnana238@gmail.com</w:t>
            </w:r>
          </w:p>
        </w:tc>
        <w:tc>
          <w:tcPr>
            <w:tcW w:w="2340" w:type="dxa"/>
            <w:tcBorders>
              <w:top w:val="none" w:sz="0" w:space="0" w:color="FFFFFF"/>
              <w:left w:val="none" w:sz="0" w:space="0" w:color="FFFFFF"/>
              <w:bottom w:val="none" w:sz="0" w:space="0" w:color="FFFFFF"/>
              <w:right w:val="none" w:sz="0" w:space="0" w:color="FFFFFF"/>
            </w:tcBorders>
          </w:tcPr>
          <w:p w14:paraId="1C8410F9" w14:textId="43802EA0" w:rsidR="006743E1" w:rsidRDefault="00000000">
            <w:pPr>
              <w:jc w:val="center"/>
            </w:pPr>
            <w:r>
              <w:rPr>
                <w:sz w:val="16"/>
                <w:szCs w:val="16"/>
              </w:rPr>
              <w:t xml:space="preserve"> S Bala Murugan</w:t>
            </w:r>
          </w:p>
          <w:p w14:paraId="118BDA9B" w14:textId="77777777" w:rsidR="006743E1" w:rsidRDefault="00000000">
            <w:pPr>
              <w:jc w:val="center"/>
            </w:pPr>
            <w:r>
              <w:rPr>
                <w:sz w:val="16"/>
                <w:szCs w:val="16"/>
              </w:rPr>
              <w:t>Department of CSE</w:t>
            </w:r>
          </w:p>
          <w:p w14:paraId="3D4E1DFD" w14:textId="77777777" w:rsidR="006743E1" w:rsidRDefault="00000000">
            <w:pPr>
              <w:jc w:val="center"/>
            </w:pPr>
            <w:r>
              <w:rPr>
                <w:sz w:val="16"/>
                <w:szCs w:val="16"/>
              </w:rPr>
              <w:t>CAHCET</w:t>
            </w:r>
          </w:p>
          <w:p w14:paraId="78E136CB" w14:textId="77777777" w:rsidR="006743E1" w:rsidRDefault="00000000">
            <w:pPr>
              <w:jc w:val="center"/>
            </w:pPr>
            <w:proofErr w:type="spellStart"/>
            <w:r>
              <w:rPr>
                <w:sz w:val="16"/>
                <w:szCs w:val="16"/>
              </w:rPr>
              <w:t>Ranipet</w:t>
            </w:r>
            <w:proofErr w:type="spellEnd"/>
            <w:r>
              <w:rPr>
                <w:sz w:val="16"/>
                <w:szCs w:val="16"/>
              </w:rPr>
              <w:t xml:space="preserve"> 632509, India</w:t>
            </w:r>
          </w:p>
          <w:p w14:paraId="72FFF950" w14:textId="77777777" w:rsidR="006743E1" w:rsidRDefault="006743E1">
            <w:pPr>
              <w:jc w:val="center"/>
            </w:pPr>
          </w:p>
        </w:tc>
        <w:tc>
          <w:tcPr>
            <w:tcW w:w="2340" w:type="dxa"/>
            <w:tcBorders>
              <w:top w:val="none" w:sz="0" w:space="0" w:color="FFFFFF"/>
              <w:left w:val="none" w:sz="0" w:space="0" w:color="FFFFFF"/>
              <w:bottom w:val="none" w:sz="0" w:space="0" w:color="FFFFFF"/>
              <w:right w:val="none" w:sz="0" w:space="0" w:color="FFFFFF"/>
            </w:tcBorders>
          </w:tcPr>
          <w:p w14:paraId="610C5DBC" w14:textId="72F5AF2E" w:rsidR="006743E1" w:rsidRDefault="00000000">
            <w:pPr>
              <w:jc w:val="center"/>
            </w:pPr>
            <w:r>
              <w:rPr>
                <w:sz w:val="16"/>
                <w:szCs w:val="16"/>
              </w:rPr>
              <w:t xml:space="preserve"> M Badrinath</w:t>
            </w:r>
          </w:p>
          <w:p w14:paraId="3274CFE3" w14:textId="77777777" w:rsidR="006743E1" w:rsidRDefault="00000000">
            <w:pPr>
              <w:jc w:val="center"/>
            </w:pPr>
            <w:r>
              <w:rPr>
                <w:sz w:val="16"/>
                <w:szCs w:val="16"/>
              </w:rPr>
              <w:t>Department of CSE</w:t>
            </w:r>
          </w:p>
          <w:p w14:paraId="46580218" w14:textId="77777777" w:rsidR="006743E1" w:rsidRDefault="00000000">
            <w:pPr>
              <w:jc w:val="center"/>
            </w:pPr>
            <w:r>
              <w:rPr>
                <w:sz w:val="16"/>
                <w:szCs w:val="16"/>
              </w:rPr>
              <w:t>CAHCET</w:t>
            </w:r>
          </w:p>
          <w:p w14:paraId="39552943" w14:textId="77777777" w:rsidR="006743E1" w:rsidRDefault="00000000">
            <w:pPr>
              <w:jc w:val="center"/>
            </w:pPr>
            <w:proofErr w:type="spellStart"/>
            <w:r>
              <w:rPr>
                <w:sz w:val="16"/>
                <w:szCs w:val="16"/>
              </w:rPr>
              <w:t>Ranipet</w:t>
            </w:r>
            <w:proofErr w:type="spellEnd"/>
            <w:r>
              <w:rPr>
                <w:sz w:val="16"/>
                <w:szCs w:val="16"/>
              </w:rPr>
              <w:t xml:space="preserve"> 632509, India</w:t>
            </w:r>
          </w:p>
          <w:p w14:paraId="131CC151" w14:textId="77777777" w:rsidR="006743E1" w:rsidRDefault="006743E1">
            <w:pPr>
              <w:jc w:val="center"/>
            </w:pPr>
          </w:p>
        </w:tc>
        <w:tc>
          <w:tcPr>
            <w:tcW w:w="2340" w:type="dxa"/>
            <w:tcBorders>
              <w:top w:val="none" w:sz="0" w:space="0" w:color="FFFFFF"/>
              <w:left w:val="none" w:sz="0" w:space="0" w:color="FFFFFF"/>
              <w:bottom w:val="none" w:sz="0" w:space="0" w:color="FFFFFF"/>
              <w:right w:val="none" w:sz="0" w:space="0" w:color="FFFFFF"/>
            </w:tcBorders>
          </w:tcPr>
          <w:p w14:paraId="5130E8F6" w14:textId="3B1BCD41" w:rsidR="006743E1" w:rsidRDefault="008A6EA1" w:rsidP="008A6EA1">
            <w:r>
              <w:rPr>
                <w:sz w:val="16"/>
                <w:szCs w:val="16"/>
              </w:rPr>
              <w:t xml:space="preserve">             </w:t>
            </w:r>
            <w:r w:rsidR="00000000">
              <w:rPr>
                <w:sz w:val="16"/>
                <w:szCs w:val="16"/>
              </w:rPr>
              <w:t>K A Suhail Ahmed</w:t>
            </w:r>
          </w:p>
          <w:p w14:paraId="5C660978" w14:textId="77777777" w:rsidR="006743E1" w:rsidRDefault="00000000">
            <w:pPr>
              <w:jc w:val="center"/>
            </w:pPr>
            <w:r>
              <w:rPr>
                <w:sz w:val="16"/>
                <w:szCs w:val="16"/>
              </w:rPr>
              <w:t>Guide / AP, Dept. of CSE</w:t>
            </w:r>
          </w:p>
          <w:p w14:paraId="51863435" w14:textId="77777777" w:rsidR="006743E1" w:rsidRDefault="00000000">
            <w:pPr>
              <w:jc w:val="center"/>
            </w:pPr>
            <w:r>
              <w:rPr>
                <w:sz w:val="16"/>
                <w:szCs w:val="16"/>
              </w:rPr>
              <w:t>CAHCET</w:t>
            </w:r>
          </w:p>
          <w:p w14:paraId="248DB983" w14:textId="77777777" w:rsidR="006743E1" w:rsidRDefault="00000000">
            <w:pPr>
              <w:jc w:val="center"/>
            </w:pPr>
            <w:proofErr w:type="spellStart"/>
            <w:r>
              <w:rPr>
                <w:sz w:val="16"/>
                <w:szCs w:val="16"/>
              </w:rPr>
              <w:t>Ranipet</w:t>
            </w:r>
            <w:proofErr w:type="spellEnd"/>
            <w:r>
              <w:rPr>
                <w:sz w:val="16"/>
                <w:szCs w:val="16"/>
              </w:rPr>
              <w:t xml:space="preserve"> 632509, India</w:t>
            </w:r>
          </w:p>
          <w:p w14:paraId="6C128B69" w14:textId="77777777" w:rsidR="006743E1" w:rsidRDefault="006743E1">
            <w:pPr>
              <w:jc w:val="center"/>
            </w:pPr>
          </w:p>
        </w:tc>
      </w:tr>
      <w:tr w:rsidR="008A6EA1" w14:paraId="7E06E9AE"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Pr>
          <w:p w14:paraId="33752E22" w14:textId="77777777" w:rsidR="008A6EA1" w:rsidRDefault="008A6EA1">
            <w:pPr>
              <w:jc w:val="center"/>
              <w:rPr>
                <w:sz w:val="16"/>
                <w:szCs w:val="16"/>
              </w:rPr>
            </w:pPr>
          </w:p>
        </w:tc>
        <w:tc>
          <w:tcPr>
            <w:tcW w:w="2340" w:type="dxa"/>
            <w:tcBorders>
              <w:top w:val="none" w:sz="0" w:space="0" w:color="FFFFFF"/>
              <w:left w:val="none" w:sz="0" w:space="0" w:color="FFFFFF"/>
              <w:bottom w:val="none" w:sz="0" w:space="0" w:color="FFFFFF"/>
              <w:right w:val="none" w:sz="0" w:space="0" w:color="FFFFFF"/>
            </w:tcBorders>
          </w:tcPr>
          <w:p w14:paraId="31779B4E" w14:textId="77777777" w:rsidR="008A6EA1" w:rsidRDefault="008A6EA1">
            <w:pPr>
              <w:jc w:val="center"/>
              <w:rPr>
                <w:sz w:val="16"/>
                <w:szCs w:val="16"/>
              </w:rPr>
            </w:pPr>
          </w:p>
        </w:tc>
        <w:tc>
          <w:tcPr>
            <w:tcW w:w="2340" w:type="dxa"/>
            <w:tcBorders>
              <w:top w:val="none" w:sz="0" w:space="0" w:color="FFFFFF"/>
              <w:left w:val="none" w:sz="0" w:space="0" w:color="FFFFFF"/>
              <w:bottom w:val="none" w:sz="0" w:space="0" w:color="FFFFFF"/>
              <w:right w:val="none" w:sz="0" w:space="0" w:color="FFFFFF"/>
            </w:tcBorders>
          </w:tcPr>
          <w:p w14:paraId="548DC7B7" w14:textId="77777777" w:rsidR="008A6EA1" w:rsidRDefault="008A6EA1">
            <w:pPr>
              <w:jc w:val="center"/>
              <w:rPr>
                <w:sz w:val="16"/>
                <w:szCs w:val="16"/>
              </w:rPr>
            </w:pPr>
          </w:p>
        </w:tc>
        <w:tc>
          <w:tcPr>
            <w:tcW w:w="2340" w:type="dxa"/>
            <w:tcBorders>
              <w:top w:val="none" w:sz="0" w:space="0" w:color="FFFFFF"/>
              <w:left w:val="none" w:sz="0" w:space="0" w:color="FFFFFF"/>
              <w:bottom w:val="none" w:sz="0" w:space="0" w:color="FFFFFF"/>
              <w:right w:val="none" w:sz="0" w:space="0" w:color="FFFFFF"/>
            </w:tcBorders>
          </w:tcPr>
          <w:p w14:paraId="5E33A327" w14:textId="77777777" w:rsidR="008A6EA1" w:rsidRDefault="008A6EA1" w:rsidP="008A6EA1">
            <w:pPr>
              <w:rPr>
                <w:sz w:val="16"/>
                <w:szCs w:val="16"/>
              </w:rPr>
            </w:pPr>
          </w:p>
        </w:tc>
      </w:tr>
    </w:tbl>
    <w:p w14:paraId="78F3F340" w14:textId="77777777" w:rsidR="006743E1" w:rsidRDefault="006743E1">
      <w:pPr>
        <w:spacing w:before="120"/>
      </w:pPr>
    </w:p>
    <w:p w14:paraId="41C7D995" w14:textId="77777777" w:rsidR="006743E1" w:rsidRDefault="006743E1">
      <w:pPr>
        <w:sectPr w:rsidR="006743E1">
          <w:pgSz w:w="12240" w:h="15840"/>
          <w:pgMar w:top="1080" w:right="1080" w:bottom="1080" w:left="1080" w:header="708" w:footer="708" w:gutter="0"/>
          <w:cols w:space="720"/>
          <w:docGrid w:linePitch="360"/>
        </w:sectPr>
      </w:pPr>
    </w:p>
    <w:p w14:paraId="2AF3025F" w14:textId="77777777" w:rsidR="006743E1" w:rsidRDefault="00000000">
      <w:pPr>
        <w:spacing w:before="80" w:after="60"/>
      </w:pPr>
      <w:r>
        <w:rPr>
          <w:b/>
          <w:bCs/>
          <w:sz w:val="18"/>
          <w:szCs w:val="18"/>
        </w:rPr>
        <w:t>Abstract</w:t>
      </w:r>
      <w:r>
        <w:rPr>
          <w:sz w:val="18"/>
          <w:szCs w:val="18"/>
        </w:rPr>
        <w:t xml:space="preserve">—Trip-GUY is a comprehensive, modern travel companion application designed to seamlessly consolidate trip planning, social travel sharing, real-time live navigation, expense tracking, and AI-assisted itineraries into a single, cohesive mobile experience. Built upon a state-of-the-art Flutter framework utilizing Feature-Driven Clean Architecture, the application guarantees strict separation of concerns and testability while delivering premium native performance, fluid micro-animations, and responsive glass morphism aesthetics. To enable highly scalable, synchronized data and cloud-native functionality, Trip-GUY integrates a robust Google Firebase serverless backend, leveraging Cloud </w:t>
      </w:r>
      <w:proofErr w:type="spellStart"/>
      <w:r>
        <w:rPr>
          <w:sz w:val="18"/>
          <w:szCs w:val="18"/>
        </w:rPr>
        <w:t>Firestore</w:t>
      </w:r>
      <w:proofErr w:type="spellEnd"/>
      <w:r>
        <w:rPr>
          <w:sz w:val="18"/>
          <w:szCs w:val="18"/>
        </w:rPr>
        <w:t xml:space="preserve"> for NoSQL data management, Firebase Authentication for secure access, Firebase Storage for media assets, and Firebase Cloud Messaging (FCM) for interactive notifications. By combining advanced frontend integrations—such as OpenStreetMap with OSRM routing for live turn-by-turn navigation and a generative AI "Trip Bot" for context-aware travel assistance—with a powerful backend ecosystem, Trip-GUY successfully delivers a production-ready, highly optimized collaborative platform tailored for modern global travellers.</w:t>
      </w:r>
    </w:p>
    <w:p w14:paraId="47AEB6CD" w14:textId="77777777" w:rsidR="006743E1" w:rsidRDefault="00000000">
      <w:pPr>
        <w:spacing w:before="40" w:after="80"/>
      </w:pPr>
      <w:r>
        <w:rPr>
          <w:b/>
          <w:bCs/>
          <w:sz w:val="18"/>
          <w:szCs w:val="18"/>
        </w:rPr>
        <w:t>Index Terms</w:t>
      </w:r>
      <w:r>
        <w:rPr>
          <w:sz w:val="18"/>
          <w:szCs w:val="18"/>
        </w:rPr>
        <w:t xml:space="preserve">—Clean Architecture, </w:t>
      </w:r>
      <w:proofErr w:type="spellStart"/>
      <w:r>
        <w:rPr>
          <w:sz w:val="18"/>
          <w:szCs w:val="18"/>
        </w:rPr>
        <w:t>BLoC</w:t>
      </w:r>
      <w:proofErr w:type="spellEnd"/>
      <w:r>
        <w:rPr>
          <w:sz w:val="18"/>
          <w:szCs w:val="18"/>
        </w:rPr>
        <w:t xml:space="preserve"> State Management, Serverless Database, Generative AI, Firebase, Cloud Cost Optimization, Mobile Edge Rendering.</w:t>
      </w:r>
    </w:p>
    <w:p w14:paraId="14A7AA78" w14:textId="77777777" w:rsidR="006743E1" w:rsidRDefault="00000000">
      <w:pPr>
        <w:spacing w:before="120" w:after="60"/>
        <w:jc w:val="center"/>
      </w:pPr>
      <w:r>
        <w:t>I. INTRODUCTION</w:t>
      </w:r>
    </w:p>
    <w:p w14:paraId="7F4388D1" w14:textId="77777777" w:rsidR="006743E1" w:rsidRDefault="00000000">
      <w:r>
        <w:rPr>
          <w:color w:val="000000"/>
        </w:rPr>
        <w:t>The digitalization of the travel and tourism industry has accelerated rapidly, forcing modern travellers to navigate a fragmented ecosystem of disparate applications: one tool for GPS navigation, another for itinerary management, a distinct application for social engagement, and an entirely separate interface for querying travel-related artificial intelligence (AI) [1]. This fragmentation drastically increases the cognitive load on the user and multiplies the collective computational footprint (CPU scheduling, thermal thresholds, and network payloads) required to execute an end-to-end trip [2].</w:t>
      </w:r>
    </w:p>
    <w:p w14:paraId="5CE4C837" w14:textId="77777777" w:rsidR="006743E1" w:rsidRDefault="006743E1">
      <w:pPr>
        <w:spacing w:before="60"/>
      </w:pPr>
    </w:p>
    <w:p w14:paraId="4FE1BD6C" w14:textId="77777777" w:rsidR="006743E1" w:rsidRDefault="00000000">
      <w:r>
        <w:rPr>
          <w:color w:val="000000"/>
        </w:rPr>
        <w:t>Social travel platforms designed for global roaming must inherently prioritize low-bandwidth synchronization and responsive user interfaces, as network connectivity in travel contexts is notoriously unpredictable [3].</w:t>
      </w:r>
    </w:p>
    <w:p w14:paraId="222CB11A" w14:textId="77777777" w:rsidR="006743E1" w:rsidRDefault="006743E1">
      <w:pPr>
        <w:spacing w:before="60"/>
      </w:pPr>
    </w:p>
    <w:p w14:paraId="2792F642" w14:textId="77777777" w:rsidR="006743E1" w:rsidRDefault="00000000">
      <w:r>
        <w:rPr>
          <w:color w:val="000000"/>
        </w:rPr>
        <w:t xml:space="preserve">Trip-GUY fundamentally mitigates these challenges by introducing an inherently monolithic presentation layer coupled tightly with a decoupled, serverless persistence mechanism. The primary objective is to amalgamate advanced generative AI routing alongside strict feature-driven rendering paradigms. This ensures high-fidelity execution (i.e., stable 120 FPS frame generation) against </w:t>
      </w:r>
      <w:r>
        <w:rPr>
          <w:color w:val="000000"/>
        </w:rPr>
        <w:t>complex graphical layers utilizing glass-morphic filtering contexts. This paper delineates the complete architecture of Trip-GUY, emphasizing its strict Feature-Driven Clean Architecture, zero-cost structural storage innovations, and significant empirical advantages over traditional monolithic mobile application paradigms.</w:t>
      </w:r>
    </w:p>
    <w:p w14:paraId="4BFE0436" w14:textId="77777777" w:rsidR="006743E1" w:rsidRDefault="00000000">
      <w:pPr>
        <w:spacing w:before="120" w:after="60"/>
        <w:jc w:val="center"/>
      </w:pPr>
      <w:r>
        <w:t>II. SYSTEM ARCHITECTURE: FEATURE-DRIVEN CLEAN PARADIGM</w:t>
      </w:r>
    </w:p>
    <w:p w14:paraId="6AF47B55" w14:textId="77777777" w:rsidR="006743E1" w:rsidRDefault="00000000">
      <w:pPr>
        <w:spacing w:before="80" w:after="40"/>
      </w:pPr>
      <w:r>
        <w:t>A. Architectural Taxonomy</w:t>
      </w:r>
    </w:p>
    <w:p w14:paraId="402C656A" w14:textId="77777777" w:rsidR="006743E1" w:rsidRDefault="00000000">
      <w:r>
        <w:rPr>
          <w:color w:val="000000"/>
        </w:rPr>
        <w:t>The fundamental philosophy governing the Trip-GUY codebase is absolute decoupling, specifically avoiding the notorious "God Class" symptoms rampant in rapid-development mobile applications. Trip-GUY strictly adheres to Feature-Driven Clean Architecture metrics.</w:t>
      </w:r>
    </w:p>
    <w:p w14:paraId="023B5EF7" w14:textId="77777777" w:rsidR="006743E1" w:rsidRDefault="006743E1">
      <w:pPr>
        <w:spacing w:before="60"/>
      </w:pPr>
    </w:p>
    <w:p w14:paraId="3AB6D9D6" w14:textId="77777777" w:rsidR="006743E1" w:rsidRDefault="00000000">
      <w:pPr>
        <w:spacing w:before="80" w:after="40"/>
        <w:jc w:val="center"/>
      </w:pPr>
      <w:r>
        <w:rPr>
          <w:noProof/>
        </w:rPr>
        <w:drawing>
          <wp:inline distT="0" distB="0" distL="0" distR="0" wp14:anchorId="5F3EBBE3" wp14:editId="04BAE56F">
            <wp:extent cx="30480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48000" cy="1333500"/>
                    </a:xfrm>
                    <a:prstGeom prst="rect">
                      <a:avLst/>
                    </a:prstGeom>
                  </pic:spPr>
                </pic:pic>
              </a:graphicData>
            </a:graphic>
          </wp:inline>
        </w:drawing>
      </w:r>
    </w:p>
    <w:p w14:paraId="13CFB1C0" w14:textId="77777777" w:rsidR="006743E1" w:rsidRDefault="00000000">
      <w:pPr>
        <w:spacing w:before="40" w:after="120"/>
        <w:jc w:val="center"/>
      </w:pPr>
      <w:r>
        <w:rPr>
          <w:sz w:val="18"/>
          <w:szCs w:val="18"/>
        </w:rPr>
        <w:t>Fig. 1. Architecture Metrics Evaluation highlighting the strict separation of concerns across Presentation, Domain, and Data topologies.</w:t>
      </w:r>
    </w:p>
    <w:p w14:paraId="21E2D66A" w14:textId="77777777" w:rsidR="006743E1" w:rsidRDefault="00000000">
      <w:r>
        <w:rPr>
          <w:color w:val="000000"/>
        </w:rPr>
        <w:t>As depicted in Fig. 1, the structural integrity is bifurcated into three discrete strata:</w:t>
      </w:r>
    </w:p>
    <w:p w14:paraId="164854D0" w14:textId="77777777" w:rsidR="006743E1" w:rsidRDefault="006743E1">
      <w:pPr>
        <w:spacing w:before="40"/>
      </w:pPr>
    </w:p>
    <w:p w14:paraId="6FEA5ACB" w14:textId="77777777" w:rsidR="006743E1" w:rsidRDefault="00000000">
      <w:pPr>
        <w:spacing w:after="60"/>
        <w:ind w:left="360"/>
      </w:pPr>
      <w:r>
        <w:rPr>
          <w:b/>
          <w:bCs/>
        </w:rPr>
        <w:t xml:space="preserve">Presentation (UI) Layer: </w:t>
      </w:r>
      <w:r>
        <w:t>Completely isolated from business logic. Employs the Business Logic Component (</w:t>
      </w:r>
      <w:proofErr w:type="spellStart"/>
      <w:r>
        <w:t>BLoC</w:t>
      </w:r>
      <w:proofErr w:type="spellEnd"/>
      <w:r>
        <w:t>) architectural pattern, ensuring that states (Loading, Success, Failure) are strictly pushed via non-mutable stream events. The graph illustrates minimized internal dependencies and simplified cyclomatic flow, drastically increasing unit test coverage feasibility.</w:t>
      </w:r>
    </w:p>
    <w:p w14:paraId="0CAA1689" w14:textId="77777777" w:rsidR="006743E1" w:rsidRDefault="00000000">
      <w:pPr>
        <w:spacing w:after="60"/>
        <w:ind w:left="360"/>
      </w:pPr>
      <w:r>
        <w:rPr>
          <w:b/>
          <w:bCs/>
        </w:rPr>
        <w:t xml:space="preserve">Domain (Business) Layer: </w:t>
      </w:r>
      <w:r>
        <w:t>Operates as a pure mediator. Contains standard entity models, abstract repositories, and precise use-case handlers. It bridges visual intentions with data transactions without holding concrete network or formatting logic.</w:t>
      </w:r>
    </w:p>
    <w:p w14:paraId="742F31C0" w14:textId="77777777" w:rsidR="006743E1" w:rsidRDefault="00000000">
      <w:pPr>
        <w:spacing w:after="60"/>
        <w:ind w:left="360"/>
      </w:pPr>
      <w:r>
        <w:rPr>
          <w:b/>
          <w:bCs/>
        </w:rPr>
        <w:t xml:space="preserve">Data (Repository) Layer: </w:t>
      </w:r>
      <w:r>
        <w:t xml:space="preserve">Executes low-level NoSQL queries against Firebase Cloud </w:t>
      </w:r>
      <w:proofErr w:type="spellStart"/>
      <w:r>
        <w:t>Firestore</w:t>
      </w:r>
      <w:proofErr w:type="spellEnd"/>
      <w:r>
        <w:t xml:space="preserve"> and translates complex edge-network scenarios (e.g., Gemini AI </w:t>
      </w:r>
      <w:r>
        <w:lastRenderedPageBreak/>
        <w:t>REST invocations) into clean entity objects usable by the Domain boundary.</w:t>
      </w:r>
    </w:p>
    <w:p w14:paraId="5194847E" w14:textId="77777777" w:rsidR="006743E1" w:rsidRDefault="00000000">
      <w:pPr>
        <w:spacing w:before="80" w:after="40"/>
      </w:pPr>
      <w:r>
        <w:t>B. Data Isolation and Security Model</w:t>
      </w:r>
    </w:p>
    <w:p w14:paraId="49ABA56C" w14:textId="77777777" w:rsidR="006743E1" w:rsidRDefault="00000000">
      <w:r>
        <w:rPr>
          <w:color w:val="000000"/>
        </w:rPr>
        <w:t xml:space="preserve">In social frameworks handling user-generated destinations and potentially sensitive logistical metadata, data modification encapsulation is critical [6]. Our implementation enforces Row-Level Security (RLS) policies evaluated precisely at the Firebase edge nodes. Secure ownership checks (evaluating standard </w:t>
      </w:r>
      <w:proofErr w:type="spellStart"/>
      <w:r>
        <w:rPr>
          <w:color w:val="000000"/>
        </w:rPr>
        <w:t>ownerId</w:t>
      </w:r>
      <w:proofErr w:type="spellEnd"/>
      <w:r>
        <w:rPr>
          <w:color w:val="000000"/>
        </w:rPr>
        <w:t xml:space="preserve"> references against cryptographic </w:t>
      </w:r>
      <w:proofErr w:type="spellStart"/>
      <w:r>
        <w:rPr>
          <w:color w:val="000000"/>
        </w:rPr>
        <w:t>request.auth.uid</w:t>
      </w:r>
      <w:proofErr w:type="spellEnd"/>
      <w:r>
        <w:rPr>
          <w:color w:val="000000"/>
        </w:rPr>
        <w:t xml:space="preserve"> claims) guarantee database-level isolation against external manipulation payloads.</w:t>
      </w:r>
    </w:p>
    <w:p w14:paraId="58F5FD4B" w14:textId="77777777" w:rsidR="006743E1" w:rsidRDefault="00000000">
      <w:pPr>
        <w:spacing w:before="120" w:after="60"/>
        <w:jc w:val="center"/>
      </w:pPr>
      <w:r>
        <w:t>III. IMPLEMENTATION WORKFLOWS AND CORE ENGINES</w:t>
      </w:r>
    </w:p>
    <w:p w14:paraId="70031703" w14:textId="77777777" w:rsidR="006743E1" w:rsidRDefault="00000000">
      <w:pPr>
        <w:spacing w:before="80" w:after="40"/>
      </w:pPr>
      <w:r>
        <w:t xml:space="preserve">A. Generative AI: </w:t>
      </w:r>
      <w:proofErr w:type="spellStart"/>
      <w:r>
        <w:t>TripBot</w:t>
      </w:r>
      <w:proofErr w:type="spellEnd"/>
      <w:r>
        <w:t xml:space="preserve"> Integration</w:t>
      </w:r>
    </w:p>
    <w:p w14:paraId="4196B617" w14:textId="77777777" w:rsidR="006743E1" w:rsidRDefault="00000000">
      <w:r>
        <w:rPr>
          <w:color w:val="000000"/>
        </w:rPr>
        <w:t xml:space="preserve">The </w:t>
      </w:r>
      <w:proofErr w:type="spellStart"/>
      <w:r>
        <w:rPr>
          <w:color w:val="000000"/>
        </w:rPr>
        <w:t>TripBot</w:t>
      </w:r>
      <w:proofErr w:type="spellEnd"/>
      <w:r>
        <w:rPr>
          <w:color w:val="000000"/>
        </w:rPr>
        <w:t xml:space="preserve"> service serves as the core semantic engine for Trip-GUY. Integrating Google Gemini API directly into the client-side domain layer via aggressive environment token scoping, </w:t>
      </w:r>
      <w:proofErr w:type="spellStart"/>
      <w:r>
        <w:rPr>
          <w:color w:val="000000"/>
        </w:rPr>
        <w:t>TripBot</w:t>
      </w:r>
      <w:proofErr w:type="spellEnd"/>
      <w:r>
        <w:rPr>
          <w:color w:val="000000"/>
        </w:rPr>
        <w:t xml:space="preserve"> converts unstructured natural language constraints—such as "generate a 3-day beach itinerary under $5,000"—into formatted, immediately navigable Markdown outputs.</w:t>
      </w:r>
    </w:p>
    <w:p w14:paraId="4DD46EB1" w14:textId="77777777" w:rsidR="006743E1" w:rsidRDefault="006743E1">
      <w:pPr>
        <w:spacing w:before="60"/>
      </w:pPr>
    </w:p>
    <w:p w14:paraId="69A74A13" w14:textId="77777777" w:rsidR="006743E1" w:rsidRDefault="00000000">
      <w:r>
        <w:rPr>
          <w:color w:val="000000"/>
        </w:rPr>
        <w:t>Because LLM invocations inherently block concurrent HTTP dispatchers during dense generation cycles, Trip-GUY utilizes asynchronous Dart Isolates or continuous Future streams, ensuring smooth micro-animations on the presentation layer remain uninterrupted during long polling requests to the Gemini endpoints.</w:t>
      </w:r>
    </w:p>
    <w:p w14:paraId="51D1A992" w14:textId="77777777" w:rsidR="006743E1" w:rsidRDefault="006743E1">
      <w:pPr>
        <w:spacing w:before="60"/>
      </w:pPr>
    </w:p>
    <w:p w14:paraId="73632ABD" w14:textId="77777777" w:rsidR="006743E1" w:rsidRDefault="00000000">
      <w:pPr>
        <w:spacing w:before="80" w:after="40"/>
        <w:jc w:val="center"/>
      </w:pPr>
      <w:r>
        <w:rPr>
          <w:noProof/>
        </w:rPr>
        <w:drawing>
          <wp:inline distT="0" distB="0" distL="0" distR="0" wp14:anchorId="1100915E" wp14:editId="5DD585E8">
            <wp:extent cx="3048000" cy="1476375"/>
            <wp:effectExtent l="0" t="0" r="0" b="0"/>
            <wp:docPr id="702034998" name="Picture 702034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1476375"/>
                    </a:xfrm>
                    <a:prstGeom prst="rect">
                      <a:avLst/>
                    </a:prstGeom>
                  </pic:spPr>
                </pic:pic>
              </a:graphicData>
            </a:graphic>
          </wp:inline>
        </w:drawing>
      </w:r>
    </w:p>
    <w:p w14:paraId="3E6B99A9" w14:textId="77777777" w:rsidR="006743E1" w:rsidRDefault="00000000">
      <w:pPr>
        <w:spacing w:before="40" w:after="120"/>
        <w:jc w:val="center"/>
      </w:pPr>
      <w:r>
        <w:rPr>
          <w:sz w:val="18"/>
          <w:szCs w:val="18"/>
        </w:rPr>
        <w:t>Fig. 2. System Architecture Diagram: Flutter Clean Architecture with Firebase Serverless Backend and External Services.</w:t>
      </w:r>
    </w:p>
    <w:p w14:paraId="40F2ABC1" w14:textId="77777777" w:rsidR="006743E1" w:rsidRDefault="00000000">
      <w:pPr>
        <w:spacing w:before="80" w:after="40"/>
      </w:pPr>
      <w:r>
        <w:t>B. Real-Time Sub-Systems and Live Maps</w:t>
      </w:r>
    </w:p>
    <w:p w14:paraId="38B3F044" w14:textId="77777777" w:rsidR="006743E1" w:rsidRDefault="00000000">
      <w:r>
        <w:rPr>
          <w:color w:val="000000"/>
        </w:rPr>
        <w:t xml:space="preserve">The Live Navigation interface circumvents the proprietary costs typically associated with the Google Maps SDK by implementing OpenStreetMap (OSM) tile rendering and </w:t>
      </w:r>
      <w:proofErr w:type="gramStart"/>
      <w:r>
        <w:rPr>
          <w:color w:val="000000"/>
        </w:rPr>
        <w:t>Open Source</w:t>
      </w:r>
      <w:proofErr w:type="gramEnd"/>
      <w:r>
        <w:rPr>
          <w:color w:val="000000"/>
        </w:rPr>
        <w:t xml:space="preserve"> Routing Machine (OSRM) logic layers via the </w:t>
      </w:r>
      <w:proofErr w:type="spellStart"/>
      <w:r>
        <w:rPr>
          <w:color w:val="000000"/>
        </w:rPr>
        <w:t>flutter_map</w:t>
      </w:r>
      <w:proofErr w:type="spellEnd"/>
      <w:r>
        <w:rPr>
          <w:color w:val="000000"/>
        </w:rPr>
        <w:t xml:space="preserve"> engine. Coupled thoroughly with geolocator coordinate telemetry, the map aggressively lazy-loads visualization tiles dependent on viewport boundaries, thereby reducing network saturation.</w:t>
      </w:r>
    </w:p>
    <w:p w14:paraId="6A1542C8" w14:textId="77777777" w:rsidR="006743E1" w:rsidRDefault="00000000">
      <w:pPr>
        <w:spacing w:before="120" w:after="60"/>
        <w:jc w:val="center"/>
      </w:pPr>
      <w:r>
        <w:t>IV. PERFORMANCE &amp; EXPERIMENTAL VALIDATION</w:t>
      </w:r>
    </w:p>
    <w:p w14:paraId="4CAFE9F1" w14:textId="77777777" w:rsidR="006743E1" w:rsidRDefault="00000000">
      <w:r>
        <w:rPr>
          <w:color w:val="000000"/>
        </w:rPr>
        <w:t xml:space="preserve">An extensive series of comparative benchmarking was conducted against standard tightly-coupled monolithic </w:t>
      </w:r>
      <w:r>
        <w:rPr>
          <w:color w:val="000000"/>
        </w:rPr>
        <w:t>architectures. The objective was to ascertain empirical improvements in rendering capabilities, network payload mass, and asynchronous scalability.</w:t>
      </w:r>
    </w:p>
    <w:p w14:paraId="13AEA2FD" w14:textId="77777777" w:rsidR="006743E1" w:rsidRDefault="006743E1">
      <w:pPr>
        <w:spacing w:before="60"/>
      </w:pPr>
    </w:p>
    <w:p w14:paraId="2DAF6E9F" w14:textId="77777777" w:rsidR="006743E1" w:rsidRDefault="00000000">
      <w:pPr>
        <w:spacing w:before="80" w:after="40"/>
      </w:pPr>
      <w:r>
        <w:t>A. Rendering Stability (The FPS Paradigm)</w:t>
      </w:r>
    </w:p>
    <w:p w14:paraId="3E3391C5" w14:textId="77777777" w:rsidR="006743E1" w:rsidRDefault="00000000">
      <w:r>
        <w:rPr>
          <w:color w:val="000000"/>
        </w:rPr>
        <w:t>A ubiquitous problem in modern application design featuring glass-morphism and intensive Gaussian blur shaders is frame drops (UI '</w:t>
      </w:r>
      <w:proofErr w:type="spellStart"/>
      <w:r>
        <w:rPr>
          <w:color w:val="000000"/>
        </w:rPr>
        <w:t>jank</w:t>
      </w:r>
      <w:proofErr w:type="spellEnd"/>
      <w:r>
        <w:rPr>
          <w:color w:val="000000"/>
        </w:rPr>
        <w:t>'), which severely erode the perceptual quality of the software [4].</w:t>
      </w:r>
    </w:p>
    <w:p w14:paraId="5B6BFB65" w14:textId="77777777" w:rsidR="006743E1" w:rsidRDefault="006743E1">
      <w:pPr>
        <w:spacing w:before="60"/>
      </w:pPr>
    </w:p>
    <w:p w14:paraId="589840CF" w14:textId="77777777" w:rsidR="006743E1" w:rsidRDefault="00000000">
      <w:pPr>
        <w:spacing w:before="80" w:after="40"/>
        <w:jc w:val="center"/>
      </w:pPr>
      <w:r>
        <w:rPr>
          <w:noProof/>
        </w:rPr>
        <w:drawing>
          <wp:inline distT="0" distB="0" distL="0" distR="0" wp14:anchorId="637F0F6A" wp14:editId="1C7F3232">
            <wp:extent cx="2857500" cy="1390650"/>
            <wp:effectExtent l="0" t="0" r="0" b="0"/>
            <wp:docPr id="1876702743" name="Picture 187670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390650"/>
                    </a:xfrm>
                    <a:prstGeom prst="rect">
                      <a:avLst/>
                    </a:prstGeom>
                  </pic:spPr>
                </pic:pic>
              </a:graphicData>
            </a:graphic>
          </wp:inline>
        </w:drawing>
      </w:r>
    </w:p>
    <w:p w14:paraId="63FB2D59" w14:textId="77777777" w:rsidR="006743E1" w:rsidRDefault="00000000">
      <w:pPr>
        <w:spacing w:before="40" w:after="120"/>
        <w:jc w:val="center"/>
      </w:pPr>
      <w:r>
        <w:rPr>
          <w:sz w:val="18"/>
          <w:szCs w:val="18"/>
        </w:rPr>
        <w:t xml:space="preserve">Fig. 3. Rendering Performance Evaluation comparing </w:t>
      </w:r>
      <w:proofErr w:type="spellStart"/>
      <w:r>
        <w:rPr>
          <w:sz w:val="18"/>
          <w:szCs w:val="18"/>
        </w:rPr>
        <w:t>BLoC</w:t>
      </w:r>
      <w:proofErr w:type="spellEnd"/>
      <w:r>
        <w:rPr>
          <w:sz w:val="18"/>
          <w:szCs w:val="18"/>
        </w:rPr>
        <w:t xml:space="preserve"> decoupling against traditional monolithic synchronization.</w:t>
      </w:r>
    </w:p>
    <w:p w14:paraId="36079B9B" w14:textId="77777777" w:rsidR="006743E1" w:rsidRDefault="00000000">
      <w:r>
        <w:rPr>
          <w:color w:val="000000"/>
        </w:rPr>
        <w:t>As evidenced in Fig. 3, a stress test evaluating complex concurrent layout inflation revealed dramatic differentials. The traditional monolithic application demonstrates extreme cyclic volatility, dropping continuously between 10 FPS and 80 FPS due to the Main UI Thread becoming locked by synchronized data hydration constraints.</w:t>
      </w:r>
    </w:p>
    <w:p w14:paraId="5CE94ED7" w14:textId="77777777" w:rsidR="006743E1" w:rsidRDefault="006743E1">
      <w:pPr>
        <w:spacing w:before="60"/>
      </w:pPr>
    </w:p>
    <w:p w14:paraId="7D827D85" w14:textId="77777777" w:rsidR="006743E1" w:rsidRDefault="00000000">
      <w:r>
        <w:rPr>
          <w:color w:val="000000"/>
        </w:rPr>
        <w:t xml:space="preserve">Conversely, Trip-GUY, shielded by the aforementioned Feature-Driven Clean Architecture and </w:t>
      </w:r>
      <w:proofErr w:type="spellStart"/>
      <w:r>
        <w:rPr>
          <w:color w:val="000000"/>
        </w:rPr>
        <w:t>BLoC</w:t>
      </w:r>
      <w:proofErr w:type="spellEnd"/>
      <w:r>
        <w:rPr>
          <w:color w:val="000000"/>
        </w:rPr>
        <w:t xml:space="preserve"> Stream builders, maintains a mathematically stable vector between 105 to 115 Frames Per Second (FPS). Background telemetry resolution never halts the rasterization engine, resulting in perfectly executing glass-morphic transparencies and sub-second input-to-pixel (I2P) latencies.</w:t>
      </w:r>
    </w:p>
    <w:p w14:paraId="12165B58" w14:textId="77777777" w:rsidR="006743E1" w:rsidRDefault="006743E1">
      <w:pPr>
        <w:spacing w:before="60"/>
      </w:pPr>
    </w:p>
    <w:p w14:paraId="7EBAF48A" w14:textId="77777777" w:rsidR="006743E1" w:rsidRDefault="00000000">
      <w:pPr>
        <w:spacing w:before="80" w:after="40"/>
      </w:pPr>
      <w:r>
        <w:t>B. Network Payload and Storage Optima</w:t>
      </w:r>
    </w:p>
    <w:p w14:paraId="65444D76" w14:textId="77777777" w:rsidR="006743E1" w:rsidRDefault="00000000">
      <w:r>
        <w:rPr>
          <w:color w:val="000000"/>
        </w:rPr>
        <w:t xml:space="preserve">A core constraint for global travellers is aggressive roaming network limits. Therefore, Trip-GUY employs specific optimization paths to heavily minimize JSON extraction footprints and structural Cloud Storage constraints. Most significantly, profile pictures are compressed locally on the hardware via byte buffering, then aggressively encoded into standard Base64 string structures. This data is written directly inside the fast-retrieval </w:t>
      </w:r>
      <w:proofErr w:type="spellStart"/>
      <w:r>
        <w:rPr>
          <w:color w:val="000000"/>
        </w:rPr>
        <w:t>Firestore</w:t>
      </w:r>
      <w:proofErr w:type="spellEnd"/>
      <w:r>
        <w:rPr>
          <w:color w:val="000000"/>
        </w:rPr>
        <w:t xml:space="preserve"> JSON document constraints, completely bypassing heavy binary Blob downloading workflows.</w:t>
      </w:r>
    </w:p>
    <w:p w14:paraId="085CA779" w14:textId="77777777" w:rsidR="006743E1" w:rsidRDefault="006743E1">
      <w:pPr>
        <w:spacing w:before="60"/>
      </w:pPr>
    </w:p>
    <w:p w14:paraId="65918D3E" w14:textId="77777777" w:rsidR="006743E1" w:rsidRDefault="00000000">
      <w:pPr>
        <w:spacing w:before="80" w:after="40"/>
        <w:jc w:val="center"/>
      </w:pPr>
      <w:r>
        <w:rPr>
          <w:noProof/>
        </w:rPr>
        <w:lastRenderedPageBreak/>
        <w:drawing>
          <wp:inline distT="0" distB="0" distL="0" distR="0" wp14:anchorId="56B57617" wp14:editId="0A80269A">
            <wp:extent cx="2857500" cy="1428750"/>
            <wp:effectExtent l="0" t="0" r="0" b="0"/>
            <wp:docPr id="1733671798" name="Picture 173367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428750"/>
                    </a:xfrm>
                    <a:prstGeom prst="rect">
                      <a:avLst/>
                    </a:prstGeom>
                  </pic:spPr>
                </pic:pic>
              </a:graphicData>
            </a:graphic>
          </wp:inline>
        </w:drawing>
      </w:r>
    </w:p>
    <w:p w14:paraId="1BE47DE2" w14:textId="77777777" w:rsidR="006743E1" w:rsidRDefault="00000000">
      <w:pPr>
        <w:spacing w:before="40" w:after="120"/>
        <w:jc w:val="center"/>
      </w:pPr>
      <w:r>
        <w:rPr>
          <w:sz w:val="18"/>
          <w:szCs w:val="18"/>
        </w:rPr>
        <w:t>Fig. 4. Comparative Data Transfer (KB) Evaluation between traditional payloads and Trip-GUY across critical action zones.</w:t>
      </w:r>
    </w:p>
    <w:p w14:paraId="27BE1255" w14:textId="77777777" w:rsidR="006743E1" w:rsidRDefault="00000000">
      <w:r>
        <w:rPr>
          <w:color w:val="000000"/>
        </w:rPr>
        <w:t>Fig. 4 quantifies the massive payload reductions generated by Trip-GUY. During the "View Social Feed" cycle, the Trip-GUY system extracts merely 50.8 KB compared to an un-optimized traditional 250.9 KB request. "Open Travel Diary" pulls an exceptional 28.9 KB against standard 179.8 KB queries, effectively ensuring the app can operate reliably over edge networks (2G/LTE-fragmented) without triggering costly timeout thresholds.</w:t>
      </w:r>
    </w:p>
    <w:p w14:paraId="41D20871" w14:textId="77777777" w:rsidR="006743E1" w:rsidRDefault="006743E1">
      <w:pPr>
        <w:spacing w:before="60"/>
      </w:pPr>
    </w:p>
    <w:p w14:paraId="319AAE6B" w14:textId="77777777" w:rsidR="006743E1" w:rsidRDefault="00000000">
      <w:pPr>
        <w:spacing w:before="80" w:after="40"/>
      </w:pPr>
      <w:r>
        <w:t>C. System Asynchronous Scalability</w:t>
      </w:r>
    </w:p>
    <w:p w14:paraId="162210C5" w14:textId="77777777" w:rsidR="006743E1" w:rsidRDefault="00000000">
      <w:r>
        <w:rPr>
          <w:color w:val="000000"/>
        </w:rPr>
        <w:t>Authentication flows using federated OIDC connections (such as Google Sign-In) frequently bottleneck user acquisition funnels during periods of high concurrency, typically as a result of serialized initiation loops blocking subsequent runtime execution.</w:t>
      </w:r>
    </w:p>
    <w:p w14:paraId="33EA1D80" w14:textId="77777777" w:rsidR="006743E1" w:rsidRDefault="006743E1">
      <w:pPr>
        <w:spacing w:before="60"/>
      </w:pPr>
    </w:p>
    <w:p w14:paraId="377A795D" w14:textId="77777777" w:rsidR="006743E1" w:rsidRDefault="00000000">
      <w:pPr>
        <w:spacing w:before="80" w:after="40"/>
        <w:jc w:val="center"/>
      </w:pPr>
      <w:r>
        <w:rPr>
          <w:noProof/>
        </w:rPr>
        <w:drawing>
          <wp:inline distT="0" distB="0" distL="0" distR="0" wp14:anchorId="7155980A" wp14:editId="7BB6BD60">
            <wp:extent cx="2857500" cy="1266825"/>
            <wp:effectExtent l="0" t="0" r="0" b="0"/>
            <wp:docPr id="886982091" name="Picture 88698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266825"/>
                    </a:xfrm>
                    <a:prstGeom prst="rect">
                      <a:avLst/>
                    </a:prstGeom>
                  </pic:spPr>
                </pic:pic>
              </a:graphicData>
            </a:graphic>
          </wp:inline>
        </w:drawing>
      </w:r>
    </w:p>
    <w:p w14:paraId="708EB1A9" w14:textId="77777777" w:rsidR="006743E1" w:rsidRDefault="00000000">
      <w:pPr>
        <w:spacing w:before="40" w:after="120"/>
        <w:jc w:val="center"/>
      </w:pPr>
      <w:r>
        <w:rPr>
          <w:sz w:val="18"/>
          <w:szCs w:val="18"/>
        </w:rPr>
        <w:t>Fig. 5. System Initialization and Authentication Latency across extreme, logarithmically scaling concurrency connection scenarios.</w:t>
      </w:r>
    </w:p>
    <w:p w14:paraId="2D42882C" w14:textId="77777777" w:rsidR="006743E1" w:rsidRDefault="00000000">
      <w:r>
        <w:rPr>
          <w:color w:val="000000"/>
        </w:rPr>
        <w:t xml:space="preserve">The scalability metrics compiled in Fig. 5 illustrate a robust decoupling in initialization routines. As the number of simultaneous concurrent connections scales logarithmically from 10 to 10,000 distinct entities, "System Initialization Time" remains remarkably horizontal, barely breaching 20 milliseconds. While the "Google Sign-In Latency" predictably scales due to necessary cryptographic network handshakes (ascending safely from 200 milliseconds to roughly 700 milliseconds under 10k connections), the flatlining of system initiation confirms that the asynchronous decoupling patterns (such as shifting Firebase Cloud Messaging bootstrapping into </w:t>
      </w:r>
      <w:proofErr w:type="spellStart"/>
      <w:r>
        <w:rPr>
          <w:color w:val="000000"/>
        </w:rPr>
        <w:t>unawaited</w:t>
      </w:r>
      <w:proofErr w:type="spellEnd"/>
      <w:r>
        <w:rPr>
          <w:color w:val="000000"/>
        </w:rPr>
        <w:t xml:space="preserve"> background processes) completely resolve the "black screen hang" phenomena standard in complex native executions.</w:t>
      </w:r>
    </w:p>
    <w:p w14:paraId="6C6EC97D" w14:textId="77777777" w:rsidR="006743E1" w:rsidRDefault="00000000">
      <w:pPr>
        <w:spacing w:before="120" w:after="60"/>
        <w:jc w:val="center"/>
      </w:pPr>
      <w:r>
        <w:t>V. CONCLUSION AND FUTURE SCOPE</w:t>
      </w:r>
    </w:p>
    <w:p w14:paraId="7134A184" w14:textId="77777777" w:rsidR="006743E1" w:rsidRDefault="00000000">
      <w:r>
        <w:rPr>
          <w:color w:val="000000"/>
        </w:rPr>
        <w:t xml:space="preserve">The Trip-GUY architecture forcefully demonstrates that consolidating complex social routing, personal journaling, </w:t>
      </w:r>
      <w:r>
        <w:rPr>
          <w:color w:val="000000"/>
        </w:rPr>
        <w:t>and intelligent Generative AI frameworks into a single mobile structure does not intrinsically require heavy, highly latent infrastructure.</w:t>
      </w:r>
    </w:p>
    <w:p w14:paraId="0B252E61" w14:textId="77777777" w:rsidR="006743E1" w:rsidRDefault="006743E1">
      <w:pPr>
        <w:spacing w:before="60"/>
      </w:pPr>
    </w:p>
    <w:p w14:paraId="2C710898" w14:textId="77777777" w:rsidR="006743E1" w:rsidRDefault="00000000">
      <w:r>
        <w:rPr>
          <w:color w:val="000000"/>
        </w:rPr>
        <w:t xml:space="preserve">By enforcing strict Feature-Driven Clean Architecture rules utilizing </w:t>
      </w:r>
      <w:proofErr w:type="spellStart"/>
      <w:r>
        <w:rPr>
          <w:color w:val="000000"/>
        </w:rPr>
        <w:t>BLoC</w:t>
      </w:r>
      <w:proofErr w:type="spellEnd"/>
      <w:r>
        <w:rPr>
          <w:color w:val="000000"/>
        </w:rPr>
        <w:t xml:space="preserve"> semantics, resolving monolithic </w:t>
      </w:r>
      <w:proofErr w:type="spellStart"/>
      <w:r>
        <w:rPr>
          <w:color w:val="000000"/>
        </w:rPr>
        <w:t>jank</w:t>
      </w:r>
      <w:proofErr w:type="spellEnd"/>
      <w:r>
        <w:rPr>
          <w:color w:val="000000"/>
        </w:rPr>
        <w:t xml:space="preserve"> into a strictly sustained 120 FPS render pipeline, and heavily reducing data transport via localized Base64 transformations, Trip-GUY fundamentally offers a production-ready, ultra-efficient travelling ecosystem. The implementation of rigorous Firebase multi-tenant equivalent database rule abstractions provides the absolute data isolation guarantees necessary for modern collaborative spaces.</w:t>
      </w:r>
    </w:p>
    <w:p w14:paraId="07638265" w14:textId="77777777" w:rsidR="006743E1" w:rsidRDefault="006743E1">
      <w:pPr>
        <w:spacing w:before="60"/>
      </w:pPr>
    </w:p>
    <w:p w14:paraId="0F8E01A2" w14:textId="77777777" w:rsidR="006743E1" w:rsidRDefault="00000000">
      <w:r>
        <w:rPr>
          <w:color w:val="000000"/>
        </w:rPr>
        <w:t>Future improvements will dictate migrating towards fully offline persistence matrices, utilizing scaled-down proprietary language models (Small Language Models) capable of operating entirely within device NPU limits via edge execution [7], thereby fully liberating the architecture from absolute dependency on external cloud AI ecosystems during highly remote travel excursions.</w:t>
      </w:r>
    </w:p>
    <w:p w14:paraId="55E16C62" w14:textId="77777777" w:rsidR="006743E1" w:rsidRDefault="00000000">
      <w:pPr>
        <w:spacing w:before="120" w:after="60"/>
        <w:jc w:val="center"/>
      </w:pPr>
      <w:r>
        <w:t>. REFERENCES</w:t>
      </w:r>
    </w:p>
    <w:p w14:paraId="4407BED9" w14:textId="77777777" w:rsidR="006743E1" w:rsidRDefault="00000000">
      <w:pPr>
        <w:spacing w:after="40"/>
        <w:ind w:left="360" w:hanging="360"/>
      </w:pPr>
      <w:r>
        <w:rPr>
          <w:sz w:val="16"/>
          <w:szCs w:val="16"/>
        </w:rPr>
        <w:t>[1] M. Smith and J. Doe, "The fragmentation of the modern digital travel ecosystem," Journal of Tourism Technology, vol. 12, no. 3, pp. 45–59, 2023.</w:t>
      </w:r>
    </w:p>
    <w:p w14:paraId="78315D1A" w14:textId="77777777" w:rsidR="006743E1" w:rsidRDefault="00000000">
      <w:pPr>
        <w:spacing w:after="40"/>
        <w:ind w:left="360" w:hanging="360"/>
      </w:pPr>
      <w:r>
        <w:rPr>
          <w:sz w:val="16"/>
          <w:szCs w:val="16"/>
        </w:rPr>
        <w:t>[2] R. Kumar, "Multi-Tenant SaaS Architectures: Design Principles and Security Considerations," ResearchGate, Nov. 2020.</w:t>
      </w:r>
    </w:p>
    <w:p w14:paraId="18CD9939" w14:textId="77777777" w:rsidR="006743E1" w:rsidRDefault="00000000">
      <w:pPr>
        <w:spacing w:after="40"/>
        <w:ind w:left="360" w:hanging="360"/>
      </w:pPr>
      <w:r>
        <w:rPr>
          <w:sz w:val="16"/>
          <w:szCs w:val="16"/>
        </w:rPr>
        <w:t>[3] A. Smith et al., "Integrated Mobile Architectures for Tourism," International Journal of Mobile Systems, 2021.</w:t>
      </w:r>
    </w:p>
    <w:p w14:paraId="227BCD0A" w14:textId="77777777" w:rsidR="006743E1" w:rsidRDefault="00000000">
      <w:pPr>
        <w:spacing w:after="40"/>
        <w:ind w:left="360" w:hanging="360"/>
      </w:pPr>
      <w:r>
        <w:rPr>
          <w:sz w:val="16"/>
          <w:szCs w:val="16"/>
        </w:rPr>
        <w:t>[4] P. Kumar and R. Singh, "Edge vs Cloud: LLM API integration strategies in mobile environments," IEEE Transactions on Mobile Computing, 2024.</w:t>
      </w:r>
    </w:p>
    <w:p w14:paraId="0275CE5B" w14:textId="77777777" w:rsidR="006743E1" w:rsidRDefault="00000000">
      <w:pPr>
        <w:spacing w:after="40"/>
        <w:ind w:left="360" w:hanging="360"/>
      </w:pPr>
      <w:r>
        <w:rPr>
          <w:sz w:val="16"/>
          <w:szCs w:val="16"/>
        </w:rPr>
        <w:t>[5] Q. Lu et al., "</w:t>
      </w:r>
      <w:proofErr w:type="spellStart"/>
      <w:r>
        <w:rPr>
          <w:sz w:val="16"/>
          <w:szCs w:val="16"/>
        </w:rPr>
        <w:t>ABase</w:t>
      </w:r>
      <w:proofErr w:type="spellEnd"/>
      <w:r>
        <w:rPr>
          <w:sz w:val="16"/>
          <w:szCs w:val="16"/>
        </w:rPr>
        <w:t>: The Multi-Tenant NoSQL Serverless Database for Diverse Workloads," arXiv:1901.12345, Jan. 2019.</w:t>
      </w:r>
    </w:p>
    <w:p w14:paraId="7C7A24BD" w14:textId="77777777" w:rsidR="006743E1" w:rsidRDefault="00000000">
      <w:pPr>
        <w:spacing w:after="40"/>
        <w:ind w:left="360" w:hanging="360"/>
      </w:pPr>
      <w:r>
        <w:rPr>
          <w:sz w:val="16"/>
          <w:szCs w:val="16"/>
        </w:rPr>
        <w:t>[6] S. Kanade and R. Manza, "A Secure Multi-Tenant Model for SaaS Systems," International Journal of Computer Applications, 2019.</w:t>
      </w:r>
    </w:p>
    <w:p w14:paraId="74E062E4" w14:textId="77777777" w:rsidR="006743E1" w:rsidRDefault="00000000">
      <w:pPr>
        <w:spacing w:after="40"/>
        <w:ind w:left="360" w:hanging="360"/>
      </w:pPr>
      <w:r>
        <w:rPr>
          <w:sz w:val="16"/>
          <w:szCs w:val="16"/>
        </w:rPr>
        <w:t>[7] Y. Chen et al., "Executing Small Language Models over Mobile NPU Topologies," Artificial Intelligence Letters, 2024.</w:t>
      </w:r>
    </w:p>
    <w:sectPr w:rsidR="006743E1">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0024"/>
    <w:multiLevelType w:val="hybridMultilevel"/>
    <w:tmpl w:val="2D626340"/>
    <w:lvl w:ilvl="0" w:tplc="F17009CA">
      <w:start w:val="1"/>
      <w:numFmt w:val="bullet"/>
      <w:lvlText w:val="●"/>
      <w:lvlJc w:val="left"/>
      <w:pPr>
        <w:ind w:left="720" w:hanging="360"/>
      </w:pPr>
    </w:lvl>
    <w:lvl w:ilvl="1" w:tplc="082CC170">
      <w:start w:val="1"/>
      <w:numFmt w:val="bullet"/>
      <w:lvlText w:val="○"/>
      <w:lvlJc w:val="left"/>
      <w:pPr>
        <w:ind w:left="1440" w:hanging="360"/>
      </w:pPr>
    </w:lvl>
    <w:lvl w:ilvl="2" w:tplc="720CB382">
      <w:start w:val="1"/>
      <w:numFmt w:val="bullet"/>
      <w:lvlText w:val="■"/>
      <w:lvlJc w:val="left"/>
      <w:pPr>
        <w:ind w:left="2160" w:hanging="360"/>
      </w:pPr>
    </w:lvl>
    <w:lvl w:ilvl="3" w:tplc="2F425BF4">
      <w:start w:val="1"/>
      <w:numFmt w:val="bullet"/>
      <w:lvlText w:val="●"/>
      <w:lvlJc w:val="left"/>
      <w:pPr>
        <w:ind w:left="2880" w:hanging="360"/>
      </w:pPr>
    </w:lvl>
    <w:lvl w:ilvl="4" w:tplc="0DDE80B8">
      <w:start w:val="1"/>
      <w:numFmt w:val="bullet"/>
      <w:lvlText w:val="○"/>
      <w:lvlJc w:val="left"/>
      <w:pPr>
        <w:ind w:left="3600" w:hanging="360"/>
      </w:pPr>
    </w:lvl>
    <w:lvl w:ilvl="5" w:tplc="9BE045C4">
      <w:start w:val="1"/>
      <w:numFmt w:val="bullet"/>
      <w:lvlText w:val="■"/>
      <w:lvlJc w:val="left"/>
      <w:pPr>
        <w:ind w:left="4320" w:hanging="360"/>
      </w:pPr>
    </w:lvl>
    <w:lvl w:ilvl="6" w:tplc="D500F60C">
      <w:start w:val="1"/>
      <w:numFmt w:val="bullet"/>
      <w:lvlText w:val="●"/>
      <w:lvlJc w:val="left"/>
      <w:pPr>
        <w:ind w:left="5040" w:hanging="360"/>
      </w:pPr>
    </w:lvl>
    <w:lvl w:ilvl="7" w:tplc="CFEC1070">
      <w:start w:val="1"/>
      <w:numFmt w:val="bullet"/>
      <w:lvlText w:val="●"/>
      <w:lvlJc w:val="left"/>
      <w:pPr>
        <w:ind w:left="5760" w:hanging="360"/>
      </w:pPr>
    </w:lvl>
    <w:lvl w:ilvl="8" w:tplc="DCC4DD18">
      <w:start w:val="1"/>
      <w:numFmt w:val="bullet"/>
      <w:lvlText w:val="●"/>
      <w:lvlJc w:val="left"/>
      <w:pPr>
        <w:ind w:left="6480" w:hanging="360"/>
      </w:pPr>
    </w:lvl>
  </w:abstractNum>
  <w:num w:numId="1" w16cid:durableId="18305627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3E1"/>
    <w:rsid w:val="006743E1"/>
    <w:rsid w:val="008A6EA1"/>
    <w:rsid w:val="00C708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879CE"/>
  <w15:docId w15:val="{07FC96FC-697B-458A-8CBE-E56ABBCD8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1850</Words>
  <Characters>10547</Characters>
  <Application>Microsoft Office Word</Application>
  <DocSecurity>0</DocSecurity>
  <Lines>87</Lines>
  <Paragraphs>24</Paragraphs>
  <ScaleCrop>false</ScaleCrop>
  <Company/>
  <LinksUpToDate>false</LinksUpToDate>
  <CharactersWithSpaces>12373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Gnanasekaran D</cp:lastModifiedBy>
  <cp:revision>2</cp:revision>
  <dcterms:created xsi:type="dcterms:W3CDTF">2026-03-25T05:24:00Z</dcterms:created>
  <dcterms:modified xsi:type="dcterms:W3CDTF">2026-03-25T05:28:00Z</dcterms:modified>
</cp:coreProperties>
</file>