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MEASURE ENERGY CONSUMPTION USING PYTHON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TEAM MEMBER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731721106002: S.Gnanasundari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Phase 4 Submission Document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Project: Measure Energy Consumption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Introduction: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* Provide an overview of the project, highlighting the significance of energy conservation in residential and commercial buildings.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* Explain the challenges faced in accurately measuring and analyzing energy consumption.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* Introduce the AI-based solution as a means to tackle these challenges effectively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Data Collection: Gather comprehensive data on energy consumption, including electricity, gas, and water usage, from various sensors and meters installed in buildings.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Data Preprocessing: Clean and preprocess the collected data, handling missing values, outliers, and ensuring data consistency.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Feature Engineering: Create meaningful features from the raw data, such as daily, weekly, and monthly energy usage patterns, weather conditions, and occupancy information.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Dataset Link: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https://colab.research.google.com/drive/12n66qEvUla79jg9JH2ogI9PgeqXbzq2S?usp=sharing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29" w:dyaOrig="3888">
          <v:rect xmlns:o="urn:schemas-microsoft-com:office:office" xmlns:v="urn:schemas-microsoft-com:vml" id="rectole0000000000" style="width:456.450000pt;height:194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6" w:dyaOrig="4502">
          <v:rect xmlns:o="urn:schemas-microsoft-com:office:office" xmlns:v="urn:schemas-microsoft-com:vml" id="rectole0000000001" style="width:453.800000pt;height:225.1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841" w:dyaOrig="3888">
          <v:rect xmlns:o="urn:schemas-microsoft-com:office:office" xmlns:v="urn:schemas-microsoft-com:vml" id="rectole0000000002" style="width:442.050000pt;height:194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br/>
      </w:r>
      <w:r>
        <w:rPr>
          <w:rFonts w:ascii="Calibri" w:hAnsi="Calibri" w:cs="Calibri" w:eastAsia="Calibri"/>
          <w:b/>
          <w:color w:val="313131"/>
          <w:spacing w:val="0"/>
          <w:position w:val="0"/>
          <w:sz w:val="24"/>
          <w:shd w:fill="auto" w:val="clear"/>
        </w:rPr>
        <w:t xml:space="preserve">Dataset Link: </w:t>
      </w:r>
      <w:hyperlink xmlns:r="http://schemas.openxmlformats.org/officeDocument/2006/relationships" r:id="docRId7">
        <w:r>
          <w:rPr>
            <w:rFonts w:ascii="Segoe UI" w:hAnsi="Segoe UI" w:cs="Segoe UI" w:eastAsia="Segoe U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https://www.kaggle.com/datasets/robikscube/hourly-energy-consumption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Mode="External" Target="https://www.kaggle.com/datasets/robikscube/hourly-energy-consumption" Id="docRId7" Type="http://schemas.openxmlformats.org/officeDocument/2006/relationships/hyperlink" /><Relationship TargetMode="External" Target="https://colab.research.google.com/drive/12n66qEvUla79jg9JH2ogI9PgeqXbzq2S?usp=sharing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numbering.xml" Id="docRId8" Type="http://schemas.openxmlformats.org/officeDocument/2006/relationships/numbering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styles.xml" Id="docRId9" Type="http://schemas.openxmlformats.org/officeDocument/2006/relationships/styles" /></Relationships>
</file>