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9D75" w14:textId="7CEF9D2B" w:rsidR="00A7787B" w:rsidRPr="00A7787B" w:rsidRDefault="00000000" w:rsidP="00A7787B">
      <w:pPr>
        <w:pStyle w:val="Title"/>
        <w:jc w:val="center"/>
        <w:rPr>
          <w:rFonts w:ascii="Times New Roman" w:hAnsi="Times New Roman" w:cs="Times New Roman"/>
          <w:color w:val="000000" w:themeColor="text1"/>
          <w:sz w:val="36"/>
          <w:szCs w:val="36"/>
        </w:rPr>
      </w:pPr>
      <w:r w:rsidRPr="00A7787B">
        <w:rPr>
          <w:rFonts w:ascii="Times New Roman" w:hAnsi="Times New Roman" w:cs="Times New Roman"/>
          <w:color w:val="000000" w:themeColor="text1"/>
          <w:sz w:val="36"/>
          <w:szCs w:val="36"/>
        </w:rPr>
        <w:t>EV Workplace Charging Demand Optimization</w:t>
      </w:r>
    </w:p>
    <w:p w14:paraId="5449A431" w14:textId="03148A0E" w:rsidR="005C666A" w:rsidRDefault="00000000">
      <w:pPr>
        <w:jc w:val="center"/>
      </w:pPr>
      <w:r>
        <w:rPr>
          <w:b/>
          <w:sz w:val="26"/>
        </w:rPr>
        <w:t>Dataset Source and Collection Methodology</w:t>
      </w:r>
    </w:p>
    <w:p w14:paraId="282CBF93" w14:textId="36FFCDD0" w:rsidR="005C666A" w:rsidRPr="00A7787B" w:rsidRDefault="00000000">
      <w:pPr>
        <w:jc w:val="center"/>
        <w:rPr>
          <w:rFonts w:ascii="Times New Roman" w:hAnsi="Times New Roman" w:cs="Times New Roman"/>
          <w:sz w:val="28"/>
          <w:szCs w:val="28"/>
        </w:rPr>
      </w:pPr>
      <w:r w:rsidRPr="00A7787B">
        <w:rPr>
          <w:rFonts w:ascii="Times New Roman" w:hAnsi="Times New Roman" w:cs="Times New Roman"/>
          <w:i/>
          <w:sz w:val="28"/>
          <w:szCs w:val="28"/>
        </w:rPr>
        <w:t>Business Analytics Project</w:t>
      </w:r>
      <w:r w:rsidR="00A7787B">
        <w:rPr>
          <w:rFonts w:ascii="Times New Roman" w:hAnsi="Times New Roman" w:cs="Times New Roman"/>
          <w:i/>
          <w:sz w:val="28"/>
          <w:szCs w:val="28"/>
        </w:rPr>
        <w:t>-GROUP 8</w:t>
      </w:r>
    </w:p>
    <w:p w14:paraId="57BE20B9" w14:textId="77777777" w:rsidR="005C666A" w:rsidRPr="00A7787B" w:rsidRDefault="00000000">
      <w:pPr>
        <w:pStyle w:val="Heading1"/>
        <w:rPr>
          <w:rFonts w:ascii="Times New Roman" w:hAnsi="Times New Roman" w:cs="Times New Roman"/>
          <w:color w:val="000000" w:themeColor="text1"/>
          <w:sz w:val="22"/>
          <w:szCs w:val="22"/>
        </w:rPr>
      </w:pPr>
      <w:r w:rsidRPr="00A7787B">
        <w:rPr>
          <w:rFonts w:ascii="Times New Roman" w:hAnsi="Times New Roman" w:cs="Times New Roman"/>
          <w:color w:val="000000" w:themeColor="text1"/>
          <w:sz w:val="22"/>
          <w:szCs w:val="22"/>
        </w:rPr>
        <w:t>1. Dataset Source</w:t>
      </w:r>
    </w:p>
    <w:p w14:paraId="33FA4D7F"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The EV charging-session data for this project was collected from the ACN-Data API. The API provides electric vehicle charging-session information from charging infrastructure and is used as the source for the workplace EV charging demand analysis.</w:t>
      </w:r>
    </w:p>
    <w:p w14:paraId="247BD762" w14:textId="77777777" w:rsidR="005C666A" w:rsidRPr="00A7787B" w:rsidRDefault="00000000">
      <w:pPr>
        <w:rPr>
          <w:rFonts w:ascii="Times New Roman" w:hAnsi="Times New Roman" w:cs="Times New Roman"/>
          <w:sz w:val="22"/>
        </w:rPr>
      </w:pPr>
      <w:r w:rsidRPr="00A7787B">
        <w:rPr>
          <w:rFonts w:ascii="Times New Roman" w:hAnsi="Times New Roman" w:cs="Times New Roman"/>
          <w:b/>
          <w:sz w:val="22"/>
        </w:rPr>
        <w:t xml:space="preserve">API endpoint: </w:t>
      </w:r>
      <w:r w:rsidRPr="00A7787B">
        <w:rPr>
          <w:rFonts w:ascii="Times New Roman" w:hAnsi="Times New Roman" w:cs="Times New Roman"/>
          <w:sz w:val="22"/>
        </w:rPr>
        <w:t>https://ev.caltech.edu/api/v1/sessions/caltech</w:t>
      </w:r>
    </w:p>
    <w:p w14:paraId="3E0280B3" w14:textId="77777777" w:rsidR="005C666A" w:rsidRPr="00A7787B" w:rsidRDefault="00000000">
      <w:pPr>
        <w:pStyle w:val="Heading1"/>
        <w:rPr>
          <w:rFonts w:ascii="Times New Roman" w:hAnsi="Times New Roman" w:cs="Times New Roman"/>
          <w:color w:val="000000" w:themeColor="text1"/>
          <w:sz w:val="22"/>
          <w:szCs w:val="22"/>
        </w:rPr>
      </w:pPr>
      <w:r w:rsidRPr="00A7787B">
        <w:rPr>
          <w:rFonts w:ascii="Times New Roman" w:hAnsi="Times New Roman" w:cs="Times New Roman"/>
          <w:color w:val="000000" w:themeColor="text1"/>
          <w:sz w:val="22"/>
          <w:szCs w:val="22"/>
        </w:rPr>
        <w:t>2. Data Collection Methodology</w:t>
      </w:r>
    </w:p>
    <w:p w14:paraId="0110326A"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The charging-session records were collected programmatically using Python and the requests library. Authentication was performed using an ACN API token. The API returns records through paginated responses, and the collection process retrieved records page by page.</w:t>
      </w:r>
    </w:p>
    <w:p w14:paraId="656AC8C0"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Each request was configured to retrieve up to 100 records per page. The records returned from the API pages were combined into a single collection and converted into a tabular dataset using pandas.</w:t>
      </w:r>
    </w:p>
    <w:p w14:paraId="4CA44917"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The API metadata indicated that 31,424 charging sessions were available. During collection, the API intermittently returned HTTP 502 and connection errors. As a result, 14,400 unique charging sessions were successfully collected and retained for this project.</w:t>
      </w:r>
    </w:p>
    <w:p w14:paraId="04D8FC37" w14:textId="77777777" w:rsidR="00A7787B" w:rsidRDefault="00A7787B">
      <w:pPr>
        <w:pStyle w:val="Heading1"/>
        <w:rPr>
          <w:rFonts w:ascii="Times New Roman" w:hAnsi="Times New Roman" w:cs="Times New Roman"/>
          <w:color w:val="000000" w:themeColor="text1"/>
          <w:sz w:val="22"/>
          <w:szCs w:val="22"/>
        </w:rPr>
      </w:pPr>
    </w:p>
    <w:p w14:paraId="11C744BB" w14:textId="77777777" w:rsidR="00A7787B" w:rsidRDefault="00A7787B">
      <w:pPr>
        <w:pStyle w:val="Heading1"/>
        <w:rPr>
          <w:rFonts w:ascii="Times New Roman" w:hAnsi="Times New Roman" w:cs="Times New Roman"/>
          <w:color w:val="000000" w:themeColor="text1"/>
          <w:sz w:val="22"/>
          <w:szCs w:val="22"/>
        </w:rPr>
      </w:pPr>
    </w:p>
    <w:p w14:paraId="5594C667" w14:textId="13507C8F" w:rsidR="005C666A" w:rsidRPr="00A7787B" w:rsidRDefault="00000000">
      <w:pPr>
        <w:pStyle w:val="Heading1"/>
        <w:rPr>
          <w:rFonts w:ascii="Times New Roman" w:hAnsi="Times New Roman" w:cs="Times New Roman"/>
          <w:color w:val="000000" w:themeColor="text1"/>
          <w:sz w:val="22"/>
          <w:szCs w:val="22"/>
        </w:rPr>
      </w:pPr>
      <w:r w:rsidRPr="00A7787B">
        <w:rPr>
          <w:rFonts w:ascii="Times New Roman" w:hAnsi="Times New Roman" w:cs="Times New Roman"/>
          <w:color w:val="000000" w:themeColor="text1"/>
          <w:sz w:val="22"/>
          <w:szCs w:val="22"/>
        </w:rPr>
        <w:t>3. Dataset Summary</w:t>
      </w:r>
    </w:p>
    <w:tbl>
      <w:tblPr>
        <w:tblStyle w:val="TableGrid"/>
        <w:tblW w:w="0" w:type="auto"/>
        <w:jc w:val="center"/>
        <w:tblLook w:val="04A0" w:firstRow="1" w:lastRow="0" w:firstColumn="1" w:lastColumn="0" w:noHBand="0" w:noVBand="1"/>
      </w:tblPr>
      <w:tblGrid>
        <w:gridCol w:w="4960"/>
        <w:gridCol w:w="4966"/>
      </w:tblGrid>
      <w:tr w:rsidR="005C666A" w:rsidRPr="00A7787B" w14:paraId="2ECD4461" w14:textId="77777777">
        <w:trPr>
          <w:jc w:val="center"/>
        </w:trPr>
        <w:tc>
          <w:tcPr>
            <w:tcW w:w="4968" w:type="dxa"/>
          </w:tcPr>
          <w:p w14:paraId="478C4F75"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Attribute</w:t>
            </w:r>
          </w:p>
        </w:tc>
        <w:tc>
          <w:tcPr>
            <w:tcW w:w="4968" w:type="dxa"/>
          </w:tcPr>
          <w:p w14:paraId="6CD126E0"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Value</w:t>
            </w:r>
          </w:p>
        </w:tc>
      </w:tr>
      <w:tr w:rsidR="005C666A" w:rsidRPr="00A7787B" w14:paraId="3CA1FFE3" w14:textId="77777777">
        <w:trPr>
          <w:jc w:val="center"/>
        </w:trPr>
        <w:tc>
          <w:tcPr>
            <w:tcW w:w="4968" w:type="dxa"/>
          </w:tcPr>
          <w:p w14:paraId="13C51163"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Data source</w:t>
            </w:r>
          </w:p>
        </w:tc>
        <w:tc>
          <w:tcPr>
            <w:tcW w:w="4968" w:type="dxa"/>
          </w:tcPr>
          <w:p w14:paraId="0A38B5C5"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ACN-Data API</w:t>
            </w:r>
          </w:p>
        </w:tc>
      </w:tr>
      <w:tr w:rsidR="005C666A" w:rsidRPr="00A7787B" w14:paraId="2D0125A2" w14:textId="77777777">
        <w:trPr>
          <w:jc w:val="center"/>
        </w:trPr>
        <w:tc>
          <w:tcPr>
            <w:tcW w:w="4968" w:type="dxa"/>
          </w:tcPr>
          <w:p w14:paraId="2DE27F95"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API endpoint</w:t>
            </w:r>
          </w:p>
        </w:tc>
        <w:tc>
          <w:tcPr>
            <w:tcW w:w="4968" w:type="dxa"/>
          </w:tcPr>
          <w:p w14:paraId="654541FB"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https://ev.caltech.edu/api/v1/sessions/caltech</w:t>
            </w:r>
          </w:p>
        </w:tc>
      </w:tr>
      <w:tr w:rsidR="005C666A" w:rsidRPr="00A7787B" w14:paraId="5ED6EF5E" w14:textId="77777777">
        <w:trPr>
          <w:jc w:val="center"/>
        </w:trPr>
        <w:tc>
          <w:tcPr>
            <w:tcW w:w="4968" w:type="dxa"/>
          </w:tcPr>
          <w:p w14:paraId="200D7D76"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Total records reported by API</w:t>
            </w:r>
          </w:p>
        </w:tc>
        <w:tc>
          <w:tcPr>
            <w:tcW w:w="4968" w:type="dxa"/>
          </w:tcPr>
          <w:p w14:paraId="4092E7E4"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31,424</w:t>
            </w:r>
          </w:p>
        </w:tc>
      </w:tr>
      <w:tr w:rsidR="005C666A" w:rsidRPr="00A7787B" w14:paraId="1C5D4135" w14:textId="77777777">
        <w:trPr>
          <w:jc w:val="center"/>
        </w:trPr>
        <w:tc>
          <w:tcPr>
            <w:tcW w:w="4968" w:type="dxa"/>
          </w:tcPr>
          <w:p w14:paraId="76A9C54F"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Successfully collected records</w:t>
            </w:r>
          </w:p>
        </w:tc>
        <w:tc>
          <w:tcPr>
            <w:tcW w:w="4968" w:type="dxa"/>
          </w:tcPr>
          <w:p w14:paraId="6A03519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14,400</w:t>
            </w:r>
          </w:p>
        </w:tc>
      </w:tr>
      <w:tr w:rsidR="005C666A" w:rsidRPr="00A7787B" w14:paraId="705BAF87" w14:textId="77777777">
        <w:trPr>
          <w:jc w:val="center"/>
        </w:trPr>
        <w:tc>
          <w:tcPr>
            <w:tcW w:w="4968" w:type="dxa"/>
          </w:tcPr>
          <w:p w14:paraId="409B48B3"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Number of fields</w:t>
            </w:r>
          </w:p>
        </w:tc>
        <w:tc>
          <w:tcPr>
            <w:tcW w:w="4968" w:type="dxa"/>
          </w:tcPr>
          <w:p w14:paraId="2040C895"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13</w:t>
            </w:r>
          </w:p>
        </w:tc>
      </w:tr>
      <w:tr w:rsidR="005C666A" w:rsidRPr="00A7787B" w14:paraId="26A0514C" w14:textId="77777777">
        <w:trPr>
          <w:jc w:val="center"/>
        </w:trPr>
        <w:tc>
          <w:tcPr>
            <w:tcW w:w="4968" w:type="dxa"/>
          </w:tcPr>
          <w:p w14:paraId="0869BF1D"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Unique session IDs</w:t>
            </w:r>
          </w:p>
        </w:tc>
        <w:tc>
          <w:tcPr>
            <w:tcW w:w="4968" w:type="dxa"/>
          </w:tcPr>
          <w:p w14:paraId="5BD572C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14,400</w:t>
            </w:r>
          </w:p>
        </w:tc>
      </w:tr>
      <w:tr w:rsidR="005C666A" w:rsidRPr="00A7787B" w14:paraId="6E8835BF" w14:textId="77777777">
        <w:trPr>
          <w:jc w:val="center"/>
        </w:trPr>
        <w:tc>
          <w:tcPr>
            <w:tcW w:w="4968" w:type="dxa"/>
          </w:tcPr>
          <w:p w14:paraId="6F5B9BC3"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Unique API record IDs</w:t>
            </w:r>
          </w:p>
        </w:tc>
        <w:tc>
          <w:tcPr>
            <w:tcW w:w="4968" w:type="dxa"/>
          </w:tcPr>
          <w:p w14:paraId="287368CD"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14,400</w:t>
            </w:r>
          </w:p>
        </w:tc>
      </w:tr>
      <w:tr w:rsidR="005C666A" w:rsidRPr="00A7787B" w14:paraId="6BE25C07" w14:textId="77777777">
        <w:trPr>
          <w:jc w:val="center"/>
        </w:trPr>
        <w:tc>
          <w:tcPr>
            <w:tcW w:w="4968" w:type="dxa"/>
          </w:tcPr>
          <w:p w14:paraId="7A82BFD8"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Unique charging stations</w:t>
            </w:r>
          </w:p>
        </w:tc>
        <w:tc>
          <w:tcPr>
            <w:tcW w:w="4968" w:type="dxa"/>
          </w:tcPr>
          <w:p w14:paraId="0506AB3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54</w:t>
            </w:r>
          </w:p>
        </w:tc>
      </w:tr>
      <w:tr w:rsidR="005C666A" w:rsidRPr="00A7787B" w14:paraId="5D1A4D5D" w14:textId="77777777">
        <w:trPr>
          <w:jc w:val="center"/>
        </w:trPr>
        <w:tc>
          <w:tcPr>
            <w:tcW w:w="4968" w:type="dxa"/>
          </w:tcPr>
          <w:p w14:paraId="65F16197"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Unique charging spaces</w:t>
            </w:r>
          </w:p>
        </w:tc>
        <w:tc>
          <w:tcPr>
            <w:tcW w:w="4968" w:type="dxa"/>
          </w:tcPr>
          <w:p w14:paraId="7839D12B"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54</w:t>
            </w:r>
          </w:p>
        </w:tc>
      </w:tr>
    </w:tbl>
    <w:p w14:paraId="549E5473" w14:textId="77777777" w:rsidR="00A7787B" w:rsidRDefault="00A7787B">
      <w:pPr>
        <w:pStyle w:val="Heading1"/>
        <w:rPr>
          <w:rFonts w:ascii="Times New Roman" w:hAnsi="Times New Roman" w:cs="Times New Roman"/>
          <w:color w:val="000000" w:themeColor="text1"/>
          <w:sz w:val="22"/>
          <w:szCs w:val="22"/>
        </w:rPr>
      </w:pPr>
    </w:p>
    <w:p w14:paraId="5516D49B" w14:textId="24A4780D" w:rsidR="005C666A" w:rsidRPr="00A7787B" w:rsidRDefault="00000000">
      <w:pPr>
        <w:pStyle w:val="Heading1"/>
        <w:rPr>
          <w:rFonts w:ascii="Times New Roman" w:hAnsi="Times New Roman" w:cs="Times New Roman"/>
          <w:color w:val="000000" w:themeColor="text1"/>
          <w:sz w:val="22"/>
          <w:szCs w:val="22"/>
        </w:rPr>
      </w:pPr>
      <w:r w:rsidRPr="00A7787B">
        <w:rPr>
          <w:rFonts w:ascii="Times New Roman" w:hAnsi="Times New Roman" w:cs="Times New Roman"/>
          <w:color w:val="000000" w:themeColor="text1"/>
          <w:sz w:val="22"/>
          <w:szCs w:val="22"/>
        </w:rPr>
        <w:t>4. Dataset Fields</w:t>
      </w:r>
    </w:p>
    <w:tbl>
      <w:tblPr>
        <w:tblStyle w:val="TableGrid"/>
        <w:tblW w:w="0" w:type="auto"/>
        <w:jc w:val="center"/>
        <w:tblLook w:val="04A0" w:firstRow="1" w:lastRow="0" w:firstColumn="1" w:lastColumn="0" w:noHBand="0" w:noVBand="1"/>
      </w:tblPr>
      <w:tblGrid>
        <w:gridCol w:w="4963"/>
        <w:gridCol w:w="4963"/>
      </w:tblGrid>
      <w:tr w:rsidR="005C666A" w:rsidRPr="00A7787B" w14:paraId="49173964" w14:textId="77777777">
        <w:trPr>
          <w:jc w:val="center"/>
        </w:trPr>
        <w:tc>
          <w:tcPr>
            <w:tcW w:w="4968" w:type="dxa"/>
          </w:tcPr>
          <w:p w14:paraId="67E726C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Field</w:t>
            </w:r>
          </w:p>
        </w:tc>
        <w:tc>
          <w:tcPr>
            <w:tcW w:w="4968" w:type="dxa"/>
          </w:tcPr>
          <w:p w14:paraId="29C6C24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Description</w:t>
            </w:r>
          </w:p>
        </w:tc>
      </w:tr>
      <w:tr w:rsidR="005C666A" w:rsidRPr="00A7787B" w14:paraId="79C22EF0" w14:textId="77777777">
        <w:trPr>
          <w:jc w:val="center"/>
        </w:trPr>
        <w:tc>
          <w:tcPr>
            <w:tcW w:w="4968" w:type="dxa"/>
          </w:tcPr>
          <w:p w14:paraId="1B017BE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_id</w:t>
            </w:r>
          </w:p>
        </w:tc>
        <w:tc>
          <w:tcPr>
            <w:tcW w:w="4968" w:type="dxa"/>
          </w:tcPr>
          <w:p w14:paraId="22FA5CAD"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Unique API record identifier.</w:t>
            </w:r>
          </w:p>
        </w:tc>
      </w:tr>
      <w:tr w:rsidR="005C666A" w:rsidRPr="00A7787B" w14:paraId="50BA0EE6" w14:textId="77777777">
        <w:trPr>
          <w:jc w:val="center"/>
        </w:trPr>
        <w:tc>
          <w:tcPr>
            <w:tcW w:w="4968" w:type="dxa"/>
          </w:tcPr>
          <w:p w14:paraId="298FA214"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sessionID</w:t>
            </w:r>
          </w:p>
        </w:tc>
        <w:tc>
          <w:tcPr>
            <w:tcW w:w="4968" w:type="dxa"/>
          </w:tcPr>
          <w:p w14:paraId="06499A88"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Identifier for the EV charging session.</w:t>
            </w:r>
          </w:p>
        </w:tc>
      </w:tr>
      <w:tr w:rsidR="005C666A" w:rsidRPr="00A7787B" w14:paraId="645B73B5" w14:textId="77777777">
        <w:trPr>
          <w:jc w:val="center"/>
        </w:trPr>
        <w:tc>
          <w:tcPr>
            <w:tcW w:w="4968" w:type="dxa"/>
          </w:tcPr>
          <w:p w14:paraId="0CDA6FF0"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userID</w:t>
            </w:r>
          </w:p>
        </w:tc>
        <w:tc>
          <w:tcPr>
            <w:tcW w:w="4968" w:type="dxa"/>
          </w:tcPr>
          <w:p w14:paraId="3305109F"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User identifier when available.</w:t>
            </w:r>
          </w:p>
        </w:tc>
      </w:tr>
      <w:tr w:rsidR="005C666A" w:rsidRPr="00A7787B" w14:paraId="50ABA4D8" w14:textId="77777777">
        <w:trPr>
          <w:jc w:val="center"/>
        </w:trPr>
        <w:tc>
          <w:tcPr>
            <w:tcW w:w="4968" w:type="dxa"/>
          </w:tcPr>
          <w:p w14:paraId="2372DFB1"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stationID</w:t>
            </w:r>
          </w:p>
        </w:tc>
        <w:tc>
          <w:tcPr>
            <w:tcW w:w="4968" w:type="dxa"/>
          </w:tcPr>
          <w:p w14:paraId="08FC4339"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Identifier of the charging station.</w:t>
            </w:r>
          </w:p>
        </w:tc>
      </w:tr>
      <w:tr w:rsidR="005C666A" w:rsidRPr="00A7787B" w14:paraId="511E57E5" w14:textId="77777777">
        <w:trPr>
          <w:jc w:val="center"/>
        </w:trPr>
        <w:tc>
          <w:tcPr>
            <w:tcW w:w="4968" w:type="dxa"/>
          </w:tcPr>
          <w:p w14:paraId="63DFC2B7"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spaceID</w:t>
            </w:r>
          </w:p>
        </w:tc>
        <w:tc>
          <w:tcPr>
            <w:tcW w:w="4968" w:type="dxa"/>
          </w:tcPr>
          <w:p w14:paraId="1A3DD4ED"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Identifier of the charging space.</w:t>
            </w:r>
          </w:p>
        </w:tc>
      </w:tr>
      <w:tr w:rsidR="005C666A" w:rsidRPr="00A7787B" w14:paraId="6726AA1D" w14:textId="77777777">
        <w:trPr>
          <w:jc w:val="center"/>
        </w:trPr>
        <w:tc>
          <w:tcPr>
            <w:tcW w:w="4968" w:type="dxa"/>
          </w:tcPr>
          <w:p w14:paraId="141ED731"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siteID</w:t>
            </w:r>
          </w:p>
        </w:tc>
        <w:tc>
          <w:tcPr>
            <w:tcW w:w="4968" w:type="dxa"/>
          </w:tcPr>
          <w:p w14:paraId="7E3234F6"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Identifier of the charging site.</w:t>
            </w:r>
          </w:p>
        </w:tc>
      </w:tr>
      <w:tr w:rsidR="005C666A" w:rsidRPr="00A7787B" w14:paraId="58BDD7C4" w14:textId="77777777">
        <w:trPr>
          <w:jc w:val="center"/>
        </w:trPr>
        <w:tc>
          <w:tcPr>
            <w:tcW w:w="4968" w:type="dxa"/>
          </w:tcPr>
          <w:p w14:paraId="51591857"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clusterID</w:t>
            </w:r>
          </w:p>
        </w:tc>
        <w:tc>
          <w:tcPr>
            <w:tcW w:w="4968" w:type="dxa"/>
          </w:tcPr>
          <w:p w14:paraId="62079A78"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Identifier of the charging cluster.</w:t>
            </w:r>
          </w:p>
        </w:tc>
      </w:tr>
      <w:tr w:rsidR="005C666A" w:rsidRPr="00A7787B" w14:paraId="392A24F9" w14:textId="77777777">
        <w:trPr>
          <w:jc w:val="center"/>
        </w:trPr>
        <w:tc>
          <w:tcPr>
            <w:tcW w:w="4968" w:type="dxa"/>
          </w:tcPr>
          <w:p w14:paraId="060B62CF"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connectionTime</w:t>
            </w:r>
          </w:p>
        </w:tc>
        <w:tc>
          <w:tcPr>
            <w:tcW w:w="4968" w:type="dxa"/>
          </w:tcPr>
          <w:p w14:paraId="7DDA4230"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Time when the vehicle connected to the charger.</w:t>
            </w:r>
          </w:p>
        </w:tc>
      </w:tr>
      <w:tr w:rsidR="005C666A" w:rsidRPr="00A7787B" w14:paraId="4549278A" w14:textId="77777777">
        <w:trPr>
          <w:jc w:val="center"/>
        </w:trPr>
        <w:tc>
          <w:tcPr>
            <w:tcW w:w="4968" w:type="dxa"/>
          </w:tcPr>
          <w:p w14:paraId="20D92FE9"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disconnectTime</w:t>
            </w:r>
          </w:p>
        </w:tc>
        <w:tc>
          <w:tcPr>
            <w:tcW w:w="4968" w:type="dxa"/>
          </w:tcPr>
          <w:p w14:paraId="470FD41D"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Time when the vehicle disconnected from the charger.</w:t>
            </w:r>
          </w:p>
        </w:tc>
      </w:tr>
      <w:tr w:rsidR="005C666A" w:rsidRPr="00A7787B" w14:paraId="27304354" w14:textId="77777777">
        <w:trPr>
          <w:jc w:val="center"/>
        </w:trPr>
        <w:tc>
          <w:tcPr>
            <w:tcW w:w="4968" w:type="dxa"/>
          </w:tcPr>
          <w:p w14:paraId="227EAC28"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doneChargingTime</w:t>
            </w:r>
          </w:p>
        </w:tc>
        <w:tc>
          <w:tcPr>
            <w:tcW w:w="4968" w:type="dxa"/>
          </w:tcPr>
          <w:p w14:paraId="709F37E5"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Time when charging was completed, when available.</w:t>
            </w:r>
          </w:p>
        </w:tc>
      </w:tr>
      <w:tr w:rsidR="005C666A" w:rsidRPr="00A7787B" w14:paraId="56878CD2" w14:textId="77777777">
        <w:trPr>
          <w:jc w:val="center"/>
        </w:trPr>
        <w:tc>
          <w:tcPr>
            <w:tcW w:w="4968" w:type="dxa"/>
          </w:tcPr>
          <w:p w14:paraId="0193C02A"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kWhDelivered</w:t>
            </w:r>
          </w:p>
        </w:tc>
        <w:tc>
          <w:tcPr>
            <w:tcW w:w="4968" w:type="dxa"/>
          </w:tcPr>
          <w:p w14:paraId="1C3FCC26"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Energy delivered during the charging session.</w:t>
            </w:r>
          </w:p>
        </w:tc>
      </w:tr>
      <w:tr w:rsidR="005C666A" w:rsidRPr="00A7787B" w14:paraId="6D4A4F83" w14:textId="77777777">
        <w:trPr>
          <w:jc w:val="center"/>
        </w:trPr>
        <w:tc>
          <w:tcPr>
            <w:tcW w:w="4968" w:type="dxa"/>
          </w:tcPr>
          <w:p w14:paraId="2932306A"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timezone</w:t>
            </w:r>
          </w:p>
        </w:tc>
        <w:tc>
          <w:tcPr>
            <w:tcW w:w="4968" w:type="dxa"/>
          </w:tcPr>
          <w:p w14:paraId="057825AF"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Timezone associated with the charging session.</w:t>
            </w:r>
          </w:p>
        </w:tc>
      </w:tr>
      <w:tr w:rsidR="005C666A" w:rsidRPr="00A7787B" w14:paraId="32FD7285" w14:textId="77777777">
        <w:trPr>
          <w:jc w:val="center"/>
        </w:trPr>
        <w:tc>
          <w:tcPr>
            <w:tcW w:w="4968" w:type="dxa"/>
          </w:tcPr>
          <w:p w14:paraId="56D9437C"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userInputs</w:t>
            </w:r>
          </w:p>
        </w:tc>
        <w:tc>
          <w:tcPr>
            <w:tcW w:w="4968" w:type="dxa"/>
          </w:tcPr>
          <w:p w14:paraId="67FEBF4A"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User-provided information when available.</w:t>
            </w:r>
          </w:p>
        </w:tc>
      </w:tr>
    </w:tbl>
    <w:p w14:paraId="401F1CBA" w14:textId="77777777" w:rsidR="005C666A" w:rsidRPr="00A7787B" w:rsidRDefault="00000000">
      <w:pPr>
        <w:pStyle w:val="Heading1"/>
        <w:rPr>
          <w:rFonts w:ascii="Times New Roman" w:hAnsi="Times New Roman" w:cs="Times New Roman"/>
          <w:color w:val="000000" w:themeColor="text1"/>
          <w:sz w:val="22"/>
          <w:szCs w:val="22"/>
        </w:rPr>
      </w:pPr>
      <w:r w:rsidRPr="00A7787B">
        <w:rPr>
          <w:rFonts w:ascii="Times New Roman" w:hAnsi="Times New Roman" w:cs="Times New Roman"/>
          <w:color w:val="000000" w:themeColor="text1"/>
          <w:sz w:val="22"/>
          <w:szCs w:val="22"/>
        </w:rPr>
        <w:t>5. Dataset Validation</w:t>
      </w:r>
    </w:p>
    <w:p w14:paraId="049DDF3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Basic structural validation was performed after collection. The resulting dataset contains 14,400 records and 13 fields. The _id field contains 14,400 unique values and the sessionID field also contains 14,400 unique values. Therefore, no duplicate session IDs were identified among the collected records.</w:t>
      </w:r>
    </w:p>
    <w:p w14:paraId="3788298D"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The collected data contains 54 unique station identifiers and 54 unique space identifiers. The connectionTime, disconnectTime, kWhDelivered, and timezone fields are populated for all 14,400 collected records. The doneChargingTime field is unavailable for 6 records, while userID and userInputs are available for 1,730 records.</w:t>
      </w:r>
    </w:p>
    <w:p w14:paraId="7DAEDC63" w14:textId="77777777" w:rsidR="005C666A" w:rsidRPr="00A7787B" w:rsidRDefault="00000000">
      <w:pPr>
        <w:pStyle w:val="Heading1"/>
        <w:rPr>
          <w:rFonts w:ascii="Times New Roman" w:hAnsi="Times New Roman" w:cs="Times New Roman"/>
          <w:color w:val="000000" w:themeColor="text1"/>
          <w:sz w:val="22"/>
          <w:szCs w:val="22"/>
        </w:rPr>
      </w:pPr>
      <w:r w:rsidRPr="00A7787B">
        <w:rPr>
          <w:rFonts w:ascii="Times New Roman" w:hAnsi="Times New Roman" w:cs="Times New Roman"/>
          <w:color w:val="000000" w:themeColor="text1"/>
          <w:sz w:val="22"/>
          <w:szCs w:val="22"/>
        </w:rPr>
        <w:t>6. Dataset Files</w:t>
      </w:r>
    </w:p>
    <w:p w14:paraId="3849BDD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Two dataset files were created during the data collection and structuring stage:</w:t>
      </w:r>
    </w:p>
    <w:p w14:paraId="000404DF" w14:textId="77777777" w:rsidR="005C666A" w:rsidRPr="00A7787B" w:rsidRDefault="00000000">
      <w:pPr>
        <w:pStyle w:val="ListBullet"/>
        <w:rPr>
          <w:rFonts w:ascii="Times New Roman" w:hAnsi="Times New Roman" w:cs="Times New Roman"/>
          <w:sz w:val="22"/>
        </w:rPr>
      </w:pPr>
      <w:r w:rsidRPr="00A7787B">
        <w:rPr>
          <w:rFonts w:ascii="Times New Roman" w:hAnsi="Times New Roman" w:cs="Times New Roman"/>
          <w:sz w:val="22"/>
        </w:rPr>
        <w:t>acn_raw_sessions.csv — original API-collected charging-session records.</w:t>
      </w:r>
    </w:p>
    <w:p w14:paraId="353BA1D9" w14:textId="77777777" w:rsidR="005C666A" w:rsidRPr="00A7787B" w:rsidRDefault="00000000">
      <w:pPr>
        <w:pStyle w:val="ListBullet"/>
        <w:rPr>
          <w:rFonts w:ascii="Times New Roman" w:hAnsi="Times New Roman" w:cs="Times New Roman"/>
          <w:sz w:val="22"/>
        </w:rPr>
      </w:pPr>
      <w:r w:rsidRPr="00A7787B">
        <w:rPr>
          <w:rFonts w:ascii="Times New Roman" w:hAnsi="Times New Roman" w:cs="Times New Roman"/>
          <w:sz w:val="22"/>
        </w:rPr>
        <w:t>acn_structured_sessions.csv — structured tabular version prepared for downstream analysis.</w:t>
      </w:r>
    </w:p>
    <w:p w14:paraId="4BBCDC92"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No missing-value treatment, outlier removal, or feature engineering was performed at this stage. Those activities are handled separately during the data preparation and analytics stages.</w:t>
      </w:r>
    </w:p>
    <w:p w14:paraId="2766B36E" w14:textId="77777777" w:rsidR="005C666A" w:rsidRPr="00A7787B" w:rsidRDefault="00000000">
      <w:pPr>
        <w:pStyle w:val="Heading1"/>
        <w:rPr>
          <w:rFonts w:ascii="Times New Roman" w:hAnsi="Times New Roman" w:cs="Times New Roman"/>
          <w:color w:val="000000" w:themeColor="text1"/>
          <w:sz w:val="22"/>
          <w:szCs w:val="22"/>
        </w:rPr>
      </w:pPr>
      <w:r w:rsidRPr="00A7787B">
        <w:rPr>
          <w:rFonts w:ascii="Times New Roman" w:hAnsi="Times New Roman" w:cs="Times New Roman"/>
          <w:color w:val="000000" w:themeColor="text1"/>
          <w:sz w:val="22"/>
          <w:szCs w:val="22"/>
        </w:rPr>
        <w:t>7. Relevance to the Business Problem</w:t>
      </w:r>
    </w:p>
    <w:p w14:paraId="29FE51CA"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The collected charging-session data provides information about EV charging activity, including when vehicles connect and disconnect, when charging is completed, the amount of energy delivered, and the charging station and space used. These attributes provide the foundation for analyzing workplace EV charging demand, identifying charging patterns, forecasting future demand, and supporting charger capacity planning and peak-period management.</w:t>
      </w:r>
    </w:p>
    <w:p w14:paraId="1C946928" w14:textId="77777777" w:rsidR="005C666A" w:rsidRPr="00A7787B" w:rsidRDefault="00000000">
      <w:pPr>
        <w:pStyle w:val="Heading1"/>
        <w:rPr>
          <w:rFonts w:ascii="Times New Roman" w:hAnsi="Times New Roman" w:cs="Times New Roman"/>
          <w:sz w:val="22"/>
          <w:szCs w:val="22"/>
        </w:rPr>
      </w:pPr>
      <w:r w:rsidRPr="00A7787B">
        <w:rPr>
          <w:rFonts w:ascii="Times New Roman" w:hAnsi="Times New Roman" w:cs="Times New Roman"/>
          <w:color w:val="000000" w:themeColor="text1"/>
          <w:sz w:val="22"/>
          <w:szCs w:val="22"/>
        </w:rPr>
        <w:lastRenderedPageBreak/>
        <w:t>8. Collection Evidence</w:t>
      </w:r>
    </w:p>
    <w:p w14:paraId="0492F4E8" w14:textId="77777777" w:rsidR="005C666A" w:rsidRPr="00A7787B" w:rsidRDefault="00000000">
      <w:pPr>
        <w:rPr>
          <w:rFonts w:ascii="Times New Roman" w:hAnsi="Times New Roman" w:cs="Times New Roman"/>
          <w:sz w:val="22"/>
        </w:rPr>
      </w:pPr>
      <w:r w:rsidRPr="00A7787B">
        <w:rPr>
          <w:rFonts w:ascii="Times New Roman" w:hAnsi="Times New Roman" w:cs="Times New Roman"/>
          <w:sz w:val="22"/>
        </w:rPr>
        <w:t>The collection process and dataset validation are documented in the project Jupyter notebook. The notebook contains the API connection, pagination logic, collection output, structural checks, and creation of the structured dataset. The corresponding CSV files are maintained in the project repository as supporting evidence.</w:t>
      </w:r>
    </w:p>
    <w:sectPr w:rsidR="005C666A" w:rsidRPr="00A7787B"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1E93C" w14:textId="77777777" w:rsidR="00D75B08" w:rsidRDefault="00D75B08">
      <w:pPr>
        <w:spacing w:after="0" w:line="240" w:lineRule="auto"/>
      </w:pPr>
      <w:r>
        <w:separator/>
      </w:r>
    </w:p>
  </w:endnote>
  <w:endnote w:type="continuationSeparator" w:id="0">
    <w:p w14:paraId="6B3B67F7" w14:textId="77777777" w:rsidR="00D75B08" w:rsidRDefault="00D75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DD26A" w14:textId="77777777" w:rsidR="00D75B08" w:rsidRDefault="00D75B08">
      <w:pPr>
        <w:spacing w:after="0" w:line="240" w:lineRule="auto"/>
      </w:pPr>
      <w:r>
        <w:separator/>
      </w:r>
    </w:p>
  </w:footnote>
  <w:footnote w:type="continuationSeparator" w:id="0">
    <w:p w14:paraId="0AE350C7" w14:textId="77777777" w:rsidR="00D75B08" w:rsidRDefault="00D75B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495318">
    <w:abstractNumId w:val="8"/>
  </w:num>
  <w:num w:numId="2" w16cid:durableId="953632679">
    <w:abstractNumId w:val="6"/>
  </w:num>
  <w:num w:numId="3" w16cid:durableId="596256304">
    <w:abstractNumId w:val="5"/>
  </w:num>
  <w:num w:numId="4" w16cid:durableId="917208801">
    <w:abstractNumId w:val="4"/>
  </w:num>
  <w:num w:numId="5" w16cid:durableId="541941595">
    <w:abstractNumId w:val="7"/>
  </w:num>
  <w:num w:numId="6" w16cid:durableId="1671985111">
    <w:abstractNumId w:val="3"/>
  </w:num>
  <w:num w:numId="7" w16cid:durableId="1013650929">
    <w:abstractNumId w:val="2"/>
  </w:num>
  <w:num w:numId="8" w16cid:durableId="456410611">
    <w:abstractNumId w:val="1"/>
  </w:num>
  <w:num w:numId="9" w16cid:durableId="111005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666A"/>
    <w:rsid w:val="00791955"/>
    <w:rsid w:val="00A7787B"/>
    <w:rsid w:val="00AA1D8D"/>
    <w:rsid w:val="00B47730"/>
    <w:rsid w:val="00CB0664"/>
    <w:rsid w:val="00D75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25420"/>
  <w14:defaultImageDpi w14:val="300"/>
  <w15:docId w15:val="{5D6C89D8-6A56-438F-A244-F211B9B4A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 Muppidi</cp:lastModifiedBy>
  <cp:revision>2</cp:revision>
  <dcterms:created xsi:type="dcterms:W3CDTF">2026-10-03T17:38:00Z</dcterms:created>
  <dcterms:modified xsi:type="dcterms:W3CDTF">2026-10-03T17:38:00Z</dcterms:modified>
  <cp:category/>
</cp:coreProperties>
</file>