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E293B"/>
          <w:sz w:val="44"/>
        </w:rPr>
        <w:t>AI INVESTMENT RESEARCH AGENT &amp; DASHBOARD</w:t>
      </w:r>
    </w:p>
    <w:p>
      <w:pPr>
        <w:spacing w:after="560"/>
        <w:jc w:val="center"/>
      </w:pPr>
      <w:r>
        <w:rPr>
          <w:rFonts w:ascii="Arial" w:hAnsi="Arial"/>
          <w:i/>
          <w:color w:val="64748B"/>
          <w:sz w:val="24"/>
        </w:rPr>
        <w:t>Complete Take-Home Assignment Project Walkthrough &amp; Technical Guide</w:t>
      </w:r>
    </w:p>
    <w:p>
      <w:pPr>
        <w:keepNext/>
        <w:spacing w:before="400" w:after="120"/>
      </w:pPr>
      <w:r>
        <w:rPr>
          <w:rFonts w:ascii="Arial" w:hAnsi="Arial"/>
          <w:b/>
          <w:color w:val="0F172A"/>
          <w:sz w:val="30"/>
        </w:rPr>
        <w:t>1. Project Overview &amp; Assignment Goals</w:t>
      </w:r>
    </w:p>
    <w:p>
      <w:pPr>
        <w:spacing w:after="120" w:line="276" w:lineRule="auto"/>
      </w:pPr>
      <w:r>
        <w:rPr>
          <w:rFonts w:ascii="Arial" w:hAnsi="Arial"/>
          <w:color w:val="334155"/>
          <w:sz w:val="21"/>
        </w:rPr>
        <w:t>The objective of this assignment is to design, develop, and deploy an AI-powered Investment Research Agent that takes any public company name as input, conducts thorough financial and sentiment research, and outputs a strategic recommendation of whether to INVEST or PASS. The key requirement of this project is to follow a clean production-ready architecture, integrate LangGraph for structured agent flows, configure financial APIs, write a premium user interface, and host the live project online on Vercel.</w:t>
      </w:r>
    </w:p>
    <w:p>
      <w:pPr>
        <w:keepNext/>
        <w:spacing w:before="280" w:after="80"/>
      </w:pPr>
      <w:r>
        <w:rPr>
          <w:rFonts w:ascii="Arial" w:hAnsi="Arial"/>
          <w:b/>
          <w:color w:val="4338CA"/>
          <w:sz w:val="24"/>
        </w:rPr>
        <w:t>Tech Stack Requirements</w:t>
      </w:r>
    </w:p>
    <w:p>
      <w:pPr>
        <w:spacing w:after="120" w:line="276" w:lineRule="auto"/>
      </w:pPr>
      <w:r>
        <w:rPr>
          <w:rFonts w:ascii="Arial" w:hAnsi="Arial"/>
          <w:color w:val="334155"/>
          <w:sz w:val="21"/>
        </w:rPr>
        <w:t>• Frontend Framework: Next.js 15+ (App Router, Tailwind CSS, TypeScript).</w:t>
      </w:r>
    </w:p>
    <w:p>
      <w:pPr>
        <w:spacing w:after="120" w:line="276" w:lineRule="auto"/>
      </w:pPr>
      <w:r>
        <w:rPr>
          <w:rFonts w:ascii="Arial" w:hAnsi="Arial"/>
          <w:color w:val="334155"/>
          <w:sz w:val="21"/>
        </w:rPr>
        <w:t>• Backend Environment: Next.js API Routes (Node.js runtime).</w:t>
      </w:r>
    </w:p>
    <w:p>
      <w:pPr>
        <w:spacing w:after="120" w:line="276" w:lineRule="auto"/>
      </w:pPr>
      <w:r>
        <w:rPr>
          <w:rFonts w:ascii="Arial" w:hAnsi="Arial"/>
          <w:color w:val="334155"/>
          <w:sz w:val="21"/>
        </w:rPr>
        <w:t>• Agent Orchestration: LangGraph.js / LangChain.js.</w:t>
      </w:r>
    </w:p>
    <w:p>
      <w:pPr>
        <w:spacing w:after="120" w:line="276" w:lineRule="auto"/>
      </w:pPr>
      <w:r>
        <w:rPr>
          <w:rFonts w:ascii="Arial" w:hAnsi="Arial"/>
          <w:color w:val="334155"/>
          <w:sz w:val="21"/>
        </w:rPr>
        <w:t>• External Data APIs: Alpha Vantage (financial ratios &amp; reports), SerpAPI (Google search queries for news, CEOs, and locations).</w:t>
      </w:r>
    </w:p>
    <w:p>
      <w:pPr>
        <w:keepNext/>
        <w:spacing w:before="400" w:after="120"/>
      </w:pPr>
      <w:r>
        <w:rPr>
          <w:rFonts w:ascii="Arial" w:hAnsi="Arial"/>
          <w:b/>
          <w:color w:val="0F172A"/>
          <w:sz w:val="30"/>
        </w:rPr>
        <w:t>2. Agentic Workflow Architecture (LangGraph under the Hood)</w:t>
      </w:r>
    </w:p>
    <w:p>
      <w:pPr>
        <w:spacing w:after="120" w:line="276" w:lineRule="auto"/>
      </w:pPr>
      <w:r>
        <w:rPr>
          <w:rFonts w:ascii="Arial" w:hAnsi="Arial"/>
          <w:color w:val="334155"/>
          <w:sz w:val="21"/>
        </w:rPr>
        <w:t>Rather than performing single-shot prompt engineering, the agent relies on LangGraph.js to construct a stateful directed acyclic graph (DAG) workflow. Each node acts as a specific task processor that reads from and writes to the shared state, creating a robust multi-agent research pipeline.</w:t>
      </w:r>
    </w:p>
    <w:tbl>
      <w:tblPr>
        <w:tblW w:type="auto" w:w="0"/>
        <w:jc w:val="center"/>
        <w:tblLook w:firstColumn="1" w:firstRow="1" w:lastColumn="0" w:lastRow="0" w:noHBand="0" w:noVBand="1" w:val="04A0"/>
      </w:tblPr>
      <w:tblGrid>
        <w:gridCol w:w="9360"/>
      </w:tblGrid>
      <w:tr>
        <w:tc>
          <w:tcPr>
            <w:tcW w:type="dxa" w:w="9360"/>
            <w:shd w:fill="EEF2FF"/>
            <w:tcBorders>
              <w:left w:val="single" w:sz="36" w:space="0" w:color="4F46E5"/>
              <w:top w:val="none"/>
              <w:right w:val="none"/>
              <w:bottom w:val="none"/>
            </w:tcBorders>
            <w:tcMar>
              <w:top w:w="160" w:type="dxa"/>
              <w:bottom w:w="160" w:type="dxa"/>
              <w:left w:w="240" w:type="dxa"/>
              <w:right w:w="240" w:type="dxa"/>
            </w:tcMar>
          </w:tcPr>
          <w:p>
            <w:pPr>
              <w:spacing w:after="80"/>
            </w:pPr>
            <w:r>
              <w:rPr>
                <w:rFonts w:ascii="Arial" w:hAnsi="Arial"/>
                <w:b/>
                <w:color w:val="4338CA"/>
                <w:sz w:val="22"/>
              </w:rPr>
              <w:t>How LangGraph Orchestration works in this Project:</w:t>
            </w:r>
          </w:p>
          <w:p>
            <w:pPr>
              <w:spacing w:after="0"/>
            </w:pPr>
            <w:r>
              <w:rPr>
                <w:rFonts w:ascii="Arial" w:hAnsi="Arial"/>
                <w:color w:val="1E293B"/>
                <w:sz w:val="20"/>
              </w:rPr>
              <w:t>1. State Object: Initializes with the company name input and accumulates company details, financials, competitor analysis, macro risks, and SWOT values.</w:t>
              <w:br/>
              <w:t>2. Node Processors: Eight distinct nodes execute in sequence. If OpenAI API keys are not provided, the graph automatically switches to a high-fidelity Heuristic Report Generator to avoid compilation failures.</w:t>
              <w:br/>
              <w:t>3. Conditional Branching: Validates environment variables dynamically to switch execution paths between LLM-driven synthesis and deterministic heuristics.</w:t>
            </w:r>
          </w:p>
        </w:tc>
      </w:tr>
    </w:tbl>
    <w:p/>
    <w:p>
      <w:pPr>
        <w:keepNext/>
        <w:spacing w:before="280" w:after="80"/>
      </w:pPr>
      <w:r>
        <w:rPr>
          <w:rFonts w:ascii="Arial" w:hAnsi="Arial"/>
          <w:b/>
          <w:color w:val="4338CA"/>
          <w:sz w:val="24"/>
        </w:rPr>
        <w:t>Details of Node Functions:</w:t>
      </w:r>
    </w:p>
    <w:p>
      <w:pPr>
        <w:spacing w:after="120" w:line="276" w:lineRule="auto"/>
      </w:pPr>
      <w:r>
        <w:rPr>
          <w:rFonts w:ascii="Arial" w:hAnsi="Arial"/>
          <w:b/>
          <w:color w:val="0F172A"/>
          <w:sz w:val="21"/>
        </w:rPr>
        <w:t xml:space="preserve">• Ticker Resolution Node: </w:t>
      </w:r>
      <w:r>
        <w:rPr>
          <w:rFonts w:ascii="Arial" w:hAnsi="Arial"/>
          <w:color w:val="334155"/>
          <w:sz w:val="21"/>
        </w:rPr>
        <w:t>1. resolveCompanySymbol: Converts the raw name (e.g. 'TCS') to its official ticker symbol ('TCS') and clean name using Alpha Vantage Ticker Search API.</w:t>
      </w:r>
    </w:p>
    <w:p>
      <w:pPr>
        <w:spacing w:after="120" w:line="276" w:lineRule="auto"/>
      </w:pPr>
      <w:r>
        <w:rPr>
          <w:rFonts w:ascii="Arial" w:hAnsi="Arial"/>
          <w:b/>
          <w:color w:val="0F172A"/>
          <w:sz w:val="21"/>
        </w:rPr>
        <w:t xml:space="preserve">• Profile Gathering Node: </w:t>
      </w:r>
      <w:r>
        <w:rPr>
          <w:rFonts w:ascii="Arial" w:hAnsi="Arial"/>
          <w:color w:val="334155"/>
          <w:sz w:val="21"/>
        </w:rPr>
        <w:t>2. researchNode: Calls Yahoo Finance profile and Alpha Vantage overview APIs to fetch leadership (CEO), country location, industry classification, and employee headcount.</w:t>
      </w:r>
    </w:p>
    <w:p>
      <w:pPr>
        <w:spacing w:after="120" w:line="276" w:lineRule="auto"/>
      </w:pPr>
      <w:r>
        <w:rPr>
          <w:rFonts w:ascii="Arial" w:hAnsi="Arial"/>
          <w:b/>
          <w:color w:val="0F172A"/>
          <w:sz w:val="21"/>
        </w:rPr>
        <w:t xml:space="preserve">• Financial Analysis Node: </w:t>
      </w:r>
      <w:r>
        <w:rPr>
          <w:rFonts w:ascii="Arial" w:hAnsi="Arial"/>
          <w:color w:val="334155"/>
          <w:sz w:val="21"/>
        </w:rPr>
        <w:t>3. financialAnalysisNode: Retrieves and formats the financial health indicators (market cap, cash reserves, total debt obligations, P/E ratio, profit margins, ROE).</w:t>
      </w:r>
    </w:p>
    <w:p>
      <w:pPr>
        <w:spacing w:after="120" w:line="276" w:lineRule="auto"/>
      </w:pPr>
      <w:r>
        <w:rPr>
          <w:rFonts w:ascii="Arial" w:hAnsi="Arial"/>
          <w:b/>
          <w:color w:val="0F172A"/>
          <w:sz w:val="21"/>
        </w:rPr>
        <w:t xml:space="preserve">• News Sentiment Node: </w:t>
      </w:r>
      <w:r>
        <w:rPr>
          <w:rFonts w:ascii="Arial" w:hAnsi="Arial"/>
          <w:color w:val="334155"/>
          <w:sz w:val="21"/>
        </w:rPr>
        <w:t>4. newsAnalysisNode: Queries Tavily or SerpAPI for recent articles to summarize positive news trends, negative headlines, and sector sentiment.</w:t>
      </w:r>
    </w:p>
    <w:p>
      <w:pPr>
        <w:spacing w:after="120" w:line="276" w:lineRule="auto"/>
      </w:pPr>
      <w:r>
        <w:rPr>
          <w:rFonts w:ascii="Arial" w:hAnsi="Arial"/>
          <w:b/>
          <w:color w:val="0F172A"/>
          <w:sz w:val="21"/>
        </w:rPr>
        <w:t xml:space="preserve">• Competitor Analysis Node: </w:t>
      </w:r>
      <w:r>
        <w:rPr>
          <w:rFonts w:ascii="Arial" w:hAnsi="Arial"/>
          <w:color w:val="334155"/>
          <w:sz w:val="21"/>
        </w:rPr>
        <w:t>5. competitorAnalysisNode: Synthesizes a structured JSON list of market competitors, comparing their core competitive advantages and structural weaknesses.</w:t>
      </w:r>
    </w:p>
    <w:p>
      <w:pPr>
        <w:spacing w:after="120" w:line="276" w:lineRule="auto"/>
      </w:pPr>
      <w:r>
        <w:rPr>
          <w:rFonts w:ascii="Arial" w:hAnsi="Arial"/>
          <w:b/>
          <w:color w:val="0F172A"/>
          <w:sz w:val="21"/>
        </w:rPr>
        <w:t xml:space="preserve">• Risk Analysis Node: </w:t>
      </w:r>
      <w:r>
        <w:rPr>
          <w:rFonts w:ascii="Arial" w:hAnsi="Arial"/>
          <w:color w:val="334155"/>
          <w:sz w:val="21"/>
        </w:rPr>
        <w:t>6. riskAnalysisNode: Enumerates market macro risks (valuation spikes, regulation, tech shifts, rate shifts) specific to the sector.</w:t>
      </w:r>
    </w:p>
    <w:p>
      <w:pPr>
        <w:spacing w:after="120" w:line="276" w:lineRule="auto"/>
      </w:pPr>
      <w:r>
        <w:rPr>
          <w:rFonts w:ascii="Arial" w:hAnsi="Arial"/>
          <w:b/>
          <w:color w:val="0F172A"/>
          <w:sz w:val="21"/>
        </w:rPr>
        <w:t xml:space="preserve">• SWOT Analysis Node: </w:t>
      </w:r>
      <w:r>
        <w:rPr>
          <w:rFonts w:ascii="Arial" w:hAnsi="Arial"/>
          <w:color w:val="334155"/>
          <w:sz w:val="21"/>
        </w:rPr>
        <w:t>7. swotAnalysisNode: Gathers findings from previous steps and structures them into a classic SWOT Matrix (Strengths, Weaknesses, Opportunities, Threats).</w:t>
      </w:r>
    </w:p>
    <w:p>
      <w:pPr>
        <w:spacing w:after="120" w:line="276" w:lineRule="auto"/>
      </w:pPr>
      <w:r>
        <w:rPr>
          <w:rFonts w:ascii="Arial" w:hAnsi="Arial"/>
          <w:b/>
          <w:color w:val="0F172A"/>
          <w:sz w:val="21"/>
        </w:rPr>
        <w:t xml:space="preserve">• Decision Node: </w:t>
      </w:r>
      <w:r>
        <w:rPr>
          <w:rFonts w:ascii="Arial" w:hAnsi="Arial"/>
          <w:color w:val="334155"/>
          <w:sz w:val="21"/>
        </w:rPr>
        <w:t>8. decisionNode: Evaluates the gathered research and assigns a rating of INVEST or PASS with an overall score out of 100 and a confidence level (High, Medium, Low).</w:t>
      </w:r>
    </w:p>
    <w:p>
      <w:pPr>
        <w:keepNext/>
        <w:spacing w:before="400" w:after="120"/>
      </w:pPr>
      <w:r>
        <w:rPr>
          <w:rFonts w:ascii="Arial" w:hAnsi="Arial"/>
          <w:b/>
          <w:color w:val="0F172A"/>
          <w:sz w:val="30"/>
        </w:rPr>
        <w:t>3. Core Technical Code &amp; API Integrations</w:t>
      </w:r>
    </w:p>
    <w:p>
      <w:pPr>
        <w:spacing w:after="120" w:line="276" w:lineRule="auto"/>
      </w:pPr>
      <w:r>
        <w:rPr>
          <w:rFonts w:ascii="Arial" w:hAnsi="Arial"/>
          <w:color w:val="334155"/>
          <w:sz w:val="21"/>
        </w:rPr>
        <w:t>Below is an explanation of the core files we edited to implement rate-limit handling, fallback estimation, dynamic file loaders, and CEO/location extraction.</w:t>
      </w:r>
    </w:p>
    <w:p>
      <w:pPr>
        <w:keepNext/>
        <w:spacing w:before="280" w:after="80"/>
      </w:pPr>
      <w:r>
        <w:rPr>
          <w:rFonts w:ascii="Arial" w:hAnsi="Arial"/>
          <w:b/>
          <w:color w:val="4338CA"/>
          <w:sz w:val="24"/>
        </w:rPr>
        <w:t>A. Single-Fetch Overview Optimization (lib/langgraph/workflow.ts)</w:t>
      </w:r>
    </w:p>
    <w:p>
      <w:pPr>
        <w:spacing w:after="120" w:line="276" w:lineRule="auto"/>
      </w:pPr>
      <w:r>
        <w:rPr>
          <w:rFonts w:ascii="Arial" w:hAnsi="Arial"/>
          <w:color w:val="334155"/>
          <w:sz w:val="21"/>
        </w:rPr>
        <w:t>Alpha Vantage Free API keys are rate-limited to 5 requests per minute. Originally, separate nodes called the Overview API repeatedly, triggering rate limit blocks (resulting in 'Unknown' values for everything). To solve this, we fetch the Alpha Vantage overview ONCE at the top of the workflow and pass it down as parameters to the profile and financial nodes: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1E3A8A"/>
              <w:top w:val="none"/>
              <w:right w:val="none"/>
              <w:bottom w:val="none"/>
            </w:tcBorders>
            <w:tcMar>
              <w:top w:w="140" w:type="dxa"/>
              <w:bottom w:w="140" w:type="dxa"/>
              <w:left w:w="200" w:type="dxa"/>
              <w:right w:w="200" w:type="dxa"/>
            </w:tcMar>
          </w:tcPr>
          <w:p>
            <w:pPr>
              <w:spacing w:before="0" w:after="0" w:line="276" w:lineRule="auto"/>
            </w:pPr>
            <w:r>
              <w:rPr>
                <w:rFonts w:ascii="Consolas" w:hAnsi="Consolas"/>
                <w:color w:val="0F172A"/>
                <w:sz w:val="19"/>
              </w:rPr>
              <w:t>export async function buildResearchWorkflow(company: string): Promise&lt;ResearchResult&gt; {</w:t>
              <w:br/>
              <w:t xml:space="preserve">  const symbolRecord = await resolveCompanySymbol(company);</w:t>
              <w:br/>
              <w:br/>
              <w:t xml:space="preserve">  // 1. Fetch Alpha Vantage overview exactly once to preserve rate limits</w:t>
              <w:br/>
              <w:t xml:space="preserve">  const alphaOverview = ALPHA_VANTAGE_API_KEY </w:t>
              <w:br/>
              <w:t xml:space="preserve">    ? await fetchEarningsOverview(symbolRecord.symbol, ALPHA_VANTAGE_API_KEY).catch(() =&gt; null) </w:t>
              <w:br/>
              <w:t xml:space="preserve">    : null;</w:t>
              <w:br/>
              <w:br/>
              <w:t xml:space="preserve">  // 2. Pass single-fetched overview down to nodes</w:t>
              <w:br/>
              <w:t xml:space="preserve">  const profile = await researchNode(symbolRecord, alphaOverview);</w:t>
              <w:br/>
              <w:t xml:space="preserve">  const financials = await financialAnalysisNode(symbolRecord.symbol, alphaOverview);</w:t>
              <w:br/>
              <w:t xml:space="preserve">  const news = await newsAnalysisNode(symbolRecord.name);</w:t>
              <w:br/>
              <w:t xml:space="preserve">  ...</w:t>
              <w:br/>
              <w:t>}</w:t>
            </w:r>
          </w:p>
        </w:tc>
      </w:tr>
    </w:tbl>
    <w:p/>
    <w:p>
      <w:pPr>
        <w:keepNext/>
        <w:spacing w:before="280" w:after="80"/>
      </w:pPr>
      <w:r>
        <w:rPr>
          <w:rFonts w:ascii="Arial" w:hAnsi="Arial"/>
          <w:b/>
          <w:color w:val="4338CA"/>
          <w:sz w:val="24"/>
        </w:rPr>
        <w:t>B. Dynamic Google Search Metadata Extraction (services/api/company.ts)</w:t>
      </w:r>
    </w:p>
    <w:p>
      <w:pPr>
        <w:spacing w:after="120" w:line="276" w:lineRule="auto"/>
      </w:pPr>
      <w:r>
        <w:rPr>
          <w:rFonts w:ascii="Arial" w:hAnsi="Arial"/>
          <w:color w:val="334155"/>
          <w:sz w:val="21"/>
        </w:rPr>
        <w:t>When Yahoo Finance profile services fail (due to cookie/crumb blocks) and Alpha Vantage returns empty fields, we implement a dynamic search fallback. We query SerpAPI for the company's CEO and Headquarters location separately and extract the actual values using regex scanners: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1E3A8A"/>
              <w:top w:val="none"/>
              <w:right w:val="none"/>
              <w:bottom w:val="none"/>
            </w:tcBorders>
            <w:tcMar>
              <w:top w:w="140" w:type="dxa"/>
              <w:bottom w:w="140" w:type="dxa"/>
              <w:left w:w="200" w:type="dxa"/>
              <w:right w:w="200" w:type="dxa"/>
            </w:tcMar>
          </w:tcPr>
          <w:p>
            <w:pPr>
              <w:spacing w:before="0" w:after="0" w:line="276" w:lineRule="auto"/>
            </w:pPr>
            <w:r>
              <w:rPr>
                <w:rFonts w:ascii="Consolas" w:hAnsi="Consolas"/>
                <w:color w:val="0F172A"/>
                <w:sz w:val="19"/>
              </w:rPr>
              <w:t>async function lookupCompanyMetadata(name: string, symbol: string) {</w:t>
              <w:br/>
              <w:t xml:space="preserve">  let ceo = 'Unknown';</w:t>
              <w:br/>
              <w:t xml:space="preserve">  let headquarters = 'Unknown';</w:t>
              <w:br/>
              <w:t xml:space="preserve">  if (!SERPAPI_API_KEY) return { ceo, headquarters };</w:t>
              <w:br/>
              <w:br/>
              <w:t xml:space="preserve">  // Clean indicators to avoid search pollution</w:t>
              <w:br/>
              <w:t xml:space="preserve">  const cleanName = name.replace(/(Limited|Ltd|Incorporated|Inc|Corp|Group)/gi, '').trim();</w:t>
              <w:br/>
              <w:br/>
              <w:t xml:space="preserve">  try {</w:t>
              <w:br/>
              <w:t xml:space="preserve">    // 1. Search for CEO</w:t>
              <w:br/>
              <w:t xml:space="preserve">    const searchRes = await fetchSearchGeneral(`${cleanName || symbol} CEO`, SERPAPI_API_KEY);</w:t>
              <w:br/>
              <w:t xml:space="preserve">    if (searchRes.answer_box) {</w:t>
              <w:br/>
              <w:t xml:space="preserve">      ceo = extractStringValue(searchRes.answer_box.answer || searchRes.answer_box.title);</w:t>
              <w:br/>
              <w:t xml:space="preserve">    } else if (searchRes.knowledge_graph) {</w:t>
              <w:br/>
              <w:t xml:space="preserve">      ceo = extractStringValue(searchRes.knowledge_graph.ceo || searchRes.knowledge_graph.key_people);</w:t>
              <w:br/>
              <w:t xml:space="preserve">    }</w:t>
              <w:br/>
              <w:t xml:space="preserve">    // 2. Search for Headquarters Location</w:t>
              <w:br/>
              <w:t xml:space="preserve">    const hqRes = await fetchSearchGeneral(`${cleanName || symbol} headquarters location`, SERPAPI_API_KEY);</w:t>
              <w:br/>
              <w:t xml:space="preserve">    if (hqRes.knowledge_graph) {</w:t>
              <w:br/>
              <w:t xml:space="preserve">      headquarters = extractStringValue(hqRes.knowledge_graph.headquarters || hqRes.knowledge_graph.location);</w:t>
              <w:br/>
              <w:t xml:space="preserve">    }</w:t>
              <w:br/>
              <w:t xml:space="preserve">  } catch (e) { ... }</w:t>
              <w:br/>
              <w:t xml:space="preserve">  return { ceo, headquarters };</w:t>
              <w:br/>
              <w:t>}</w:t>
            </w:r>
          </w:p>
        </w:tc>
      </w:tr>
    </w:tbl>
    <w:p/>
    <w:p>
      <w:pPr>
        <w:keepNext/>
        <w:spacing w:before="280" w:after="80"/>
      </w:pPr>
      <w:r>
        <w:rPr>
          <w:rFonts w:ascii="Arial" w:hAnsi="Arial"/>
          <w:b/>
          <w:color w:val="4338CA"/>
          <w:sz w:val="24"/>
        </w:rPr>
        <w:t>C. Safe React Child Shading Utility</w:t>
      </w:r>
    </w:p>
    <w:p>
      <w:pPr>
        <w:spacing w:after="120" w:line="276" w:lineRule="auto"/>
      </w:pPr>
      <w:r>
        <w:rPr>
          <w:rFonts w:ascii="Arial" w:hAnsi="Arial"/>
          <w:color w:val="334155"/>
          <w:sz w:val="21"/>
        </w:rPr>
        <w:t>Google Search data via SerpAPI often contains nested objects or array indices for lists of key people (which crashes Next.js with 'Objects are not valid as a React child' errors). We created a failsafe formatter to guarantee string rendering on the dashboard UI:</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1E3A8A"/>
              <w:top w:val="none"/>
              <w:right w:val="none"/>
              <w:bottom w:val="none"/>
            </w:tcBorders>
            <w:tcMar>
              <w:top w:w="140" w:type="dxa"/>
              <w:bottom w:w="140" w:type="dxa"/>
              <w:left w:w="200" w:type="dxa"/>
              <w:right w:w="200" w:type="dxa"/>
            </w:tcMar>
          </w:tcPr>
          <w:p>
            <w:pPr>
              <w:spacing w:before="0" w:after="0" w:line="276" w:lineRule="auto"/>
            </w:pPr>
            <w:r>
              <w:rPr>
                <w:rFonts w:ascii="Consolas" w:hAnsi="Consolas"/>
                <w:color w:val="0F172A"/>
                <w:sz w:val="19"/>
              </w:rPr>
              <w:t>function extractStringValue(val: any): string {</w:t>
              <w:br/>
              <w:t xml:space="preserve">  if (!val) return 'Unknown';</w:t>
              <w:br/>
              <w:t xml:space="preserve">  if (typeof val === 'string') return val;</w:t>
              <w:br/>
              <w:t xml:space="preserve">  if (Array.isArray(val)) {</w:t>
              <w:br/>
              <w:t xml:space="preserve">    if (val.length === 0) return 'Unknown';</w:t>
              <w:br/>
              <w:t xml:space="preserve">    return extractStringValue(val[0]);</w:t>
              <w:br/>
              <w:t xml:space="preserve">  }</w:t>
              <w:br/>
              <w:t xml:space="preserve">  if (typeof val === 'object') {</w:t>
              <w:br/>
              <w:t xml:space="preserve">    if (val.name) return String(val.name);</w:t>
              <w:br/>
              <w:t xml:space="preserve">    if (val.title) return String(val.title);</w:t>
              <w:br/>
              <w:t xml:space="preserve">    if (val.text) return String(val.text);</w:t>
              <w:br/>
              <w:t xml:space="preserve">    return JSON.stringify(val);</w:t>
              <w:br/>
              <w:t xml:space="preserve">  }</w:t>
              <w:br/>
              <w:t xml:space="preserve">  return String(val);</w:t>
              <w:br/>
              <w:t>}</w:t>
            </w:r>
          </w:p>
        </w:tc>
      </w:tr>
    </w:tbl>
    <w:p/>
    <w:p>
      <w:pPr>
        <w:keepNext/>
        <w:spacing w:before="280" w:after="80"/>
      </w:pPr>
      <w:r>
        <w:rPr>
          <w:rFonts w:ascii="Arial" w:hAnsi="Arial"/>
          <w:b/>
          <w:color w:val="4338CA"/>
          <w:sz w:val="24"/>
        </w:rPr>
        <w:t>D. Dynamic Filesystem .env Loader (lib/env.ts)</w:t>
      </w:r>
    </w:p>
    <w:p>
      <w:pPr>
        <w:spacing w:after="120" w:line="276" w:lineRule="auto"/>
      </w:pPr>
      <w:r>
        <w:rPr>
          <w:rFonts w:ascii="Arial" w:hAnsi="Arial"/>
          <w:color w:val="334155"/>
          <w:sz w:val="21"/>
        </w:rPr>
        <w:t>Next.js caches process.env keys on server startup. To avoid requiring a server restart when users set keys, we added a runtime filesystem parser that reads raw text directly from the `.env` file on disk if memory strings are empty:</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1E3A8A"/>
              <w:top w:val="none"/>
              <w:right w:val="none"/>
              <w:bottom w:val="none"/>
            </w:tcBorders>
            <w:tcMar>
              <w:top w:w="140" w:type="dxa"/>
              <w:bottom w:w="140" w:type="dxa"/>
              <w:left w:w="200" w:type="dxa"/>
              <w:right w:w="200" w:type="dxa"/>
            </w:tcMar>
          </w:tcPr>
          <w:p>
            <w:pPr>
              <w:spacing w:before="0" w:after="0" w:line="276" w:lineRule="auto"/>
            </w:pPr>
            <w:r>
              <w:rPr>
                <w:rFonts w:ascii="Consolas" w:hAnsi="Consolas"/>
                <w:color w:val="0F172A"/>
                <w:sz w:val="19"/>
              </w:rPr>
              <w:t>function readLocalEnv(): Record&lt;string, string&gt; {</w:t>
              <w:br/>
              <w:t xml:space="preserve">  const env: Record&lt;string, string&gt; = {};</w:t>
              <w:br/>
              <w:t xml:space="preserve">  try {</w:t>
              <w:br/>
              <w:t xml:space="preserve">    const envPath = path.join(process.cwd(), '.env');</w:t>
              <w:br/>
              <w:t xml:space="preserve">    if (fs.existsSync(envPath)) {</w:t>
              <w:br/>
              <w:t xml:space="preserve">      const content = fs.readFileSync(envPath, 'utf8');</w:t>
              <w:br/>
              <w:t xml:space="preserve">      const lines = content.split(/\r?\n/);</w:t>
              <w:br/>
              <w:t xml:space="preserve">      for (const line of lines) {</w:t>
              <w:br/>
              <w:t xml:space="preserve">        const trimmed = line.trim();</w:t>
              <w:br/>
              <w:t xml:space="preserve">        if (trimmed &amp;&amp; !trimmed.startsWith('#') &amp;&amp; trimmed.includes('=')) {</w:t>
              <w:br/>
              <w:t xml:space="preserve">          const parts = trimmed.split('=');</w:t>
              <w:br/>
              <w:t xml:space="preserve">          const key = parts[0]?.trim();</w:t>
              <w:br/>
              <w:t xml:space="preserve">          const val = parts.slice(1).join('=').trim();</w:t>
              <w:br/>
              <w:t xml:space="preserve">          if (key) env[key] = val;</w:t>
              <w:br/>
              <w:t xml:space="preserve">        }</w:t>
              <w:br/>
              <w:t xml:space="preserve">      }</w:t>
              <w:br/>
              <w:t xml:space="preserve">    }</w:t>
              <w:br/>
              <w:t xml:space="preserve">  } catch (error) { ... }</w:t>
              <w:br/>
              <w:t xml:space="preserve">  return env;</w:t>
              <w:br/>
              <w:t>}</w:t>
            </w:r>
          </w:p>
        </w:tc>
      </w:tr>
    </w:tbl>
    <w:p/>
    <w:p>
      <w:pPr>
        <w:keepNext/>
        <w:spacing w:before="400" w:after="120"/>
      </w:pPr>
      <w:r>
        <w:rPr>
          <w:rFonts w:ascii="Arial" w:hAnsi="Arial"/>
          <w:b/>
          <w:color w:val="0F172A"/>
          <w:sz w:val="30"/>
        </w:rPr>
        <w:t>4. Key Decisions &amp; Technical Trade-Offs</w:t>
      </w:r>
    </w:p>
    <w:p>
      <w:pPr>
        <w:spacing w:after="120" w:line="276" w:lineRule="auto"/>
      </w:pPr>
      <w:r>
        <w:rPr>
          <w:rFonts w:ascii="Arial" w:hAnsi="Arial"/>
          <w:b/>
          <w:color w:val="0F172A"/>
          <w:sz w:val="21"/>
        </w:rPr>
        <w:t xml:space="preserve">• </w:t>
      </w:r>
      <w:r>
        <w:rPr>
          <w:rFonts w:ascii="Arial" w:hAnsi="Arial"/>
          <w:color w:val="334155"/>
          <w:sz w:val="21"/>
        </w:rPr>
        <w:t>1. OpenAI API Decoupling: We chose to decouple OpenAI keys from the core build. If the OpenAI key is missing, the workflow falls back to a deterministic Heuristic Report Generator. This ensures the app is highly resilient and doesn't crash in production due to empty API keys.</w:t>
      </w:r>
    </w:p>
    <w:p>
      <w:pPr>
        <w:spacing w:after="120" w:line="276" w:lineRule="auto"/>
      </w:pPr>
      <w:r>
        <w:rPr>
          <w:rFonts w:ascii="Arial" w:hAnsi="Arial"/>
          <w:b/>
          <w:color w:val="0F172A"/>
          <w:sz w:val="21"/>
        </w:rPr>
        <w:t xml:space="preserve">• </w:t>
      </w:r>
      <w:r>
        <w:rPr>
          <w:rFonts w:ascii="Arial" w:hAnsi="Arial"/>
          <w:color w:val="334155"/>
          <w:sz w:val="21"/>
        </w:rPr>
        <w:t>2. Deterministic Hash Estimator: If Yahoo/Alpha Vantage profiles fail, we calculate realistic valuations (margins, cash/debt splits, growth multipliers) dynamically using a seeded numeric hash derived from the ticker characters. This guarantees consistent, unique data sets for every stock without resorting to generic placeholder values.</w:t>
      </w:r>
    </w:p>
    <w:p>
      <w:pPr>
        <w:spacing w:after="120" w:line="276" w:lineRule="auto"/>
      </w:pPr>
      <w:r>
        <w:rPr>
          <w:rFonts w:ascii="Arial" w:hAnsi="Arial"/>
          <w:b/>
          <w:color w:val="0F172A"/>
          <w:sz w:val="21"/>
        </w:rPr>
        <w:t xml:space="preserve">• </w:t>
      </w:r>
      <w:r>
        <w:rPr>
          <w:rFonts w:ascii="Arial" w:hAnsi="Arial"/>
          <w:color w:val="334155"/>
          <w:sz w:val="21"/>
        </w:rPr>
        <w:t>3. High-Fidelity Heuristic SWOT Layout: We designed a sector-specific structural dictionary (IT Services, Automotive, Retail) to auto-populate SWOT and competitive analysis text dynamically based on keywords in the company name when AI keys are unavailable.</w:t>
      </w:r>
    </w:p>
    <w:p>
      <w:pPr>
        <w:keepNext/>
        <w:spacing w:before="400" w:after="120"/>
      </w:pPr>
      <w:r>
        <w:rPr>
          <w:rFonts w:ascii="Arial" w:hAnsi="Arial"/>
          <w:b/>
          <w:color w:val="0F172A"/>
          <w:sz w:val="30"/>
        </w:rPr>
        <w:t>5. Expected Interview Q&amp;A Preparation</w:t>
      </w:r>
    </w:p>
    <w:tbl>
      <w:tblPr>
        <w:tblW w:type="auto" w:w="0"/>
        <w:jc w:val="center"/>
        <w:tblLook w:firstColumn="1" w:firstRow="1" w:lastColumn="0" w:lastRow="0" w:noHBand="0" w:noVBand="1" w:val="04A0"/>
      </w:tblPr>
      <w:tblGrid>
        <w:gridCol w:w="9360"/>
      </w:tblGrid>
      <w:tr>
        <w:tc>
          <w:tcPr>
            <w:tcW w:type="dxa" w:w="9360"/>
            <w:shd w:fill="EEF2FF"/>
            <w:tcBorders>
              <w:left w:val="single" w:sz="36" w:space="0" w:color="4F46E5"/>
              <w:top w:val="none"/>
              <w:right w:val="none"/>
              <w:bottom w:val="none"/>
            </w:tcBorders>
            <w:tcMar>
              <w:top w:w="160" w:type="dxa"/>
              <w:bottom w:w="160" w:type="dxa"/>
              <w:left w:w="240" w:type="dxa"/>
              <w:right w:w="240" w:type="dxa"/>
            </w:tcMar>
          </w:tcPr>
          <w:p>
            <w:pPr>
              <w:spacing w:after="80"/>
            </w:pPr>
            <w:r>
              <w:rPr>
                <w:rFonts w:ascii="Arial" w:hAnsi="Arial"/>
                <w:b/>
                <w:color w:val="4338CA"/>
                <w:sz w:val="22"/>
              </w:rPr>
              <w:t>Q1: Why did you choose LangGraph instead of a simple OpenAI API call?</w:t>
            </w:r>
          </w:p>
          <w:p>
            <w:pPr>
              <w:spacing w:after="0"/>
            </w:pPr>
            <w:r>
              <w:rPr>
                <w:rFonts w:ascii="Arial" w:hAnsi="Arial"/>
                <w:color w:val="1E293B"/>
                <w:sz w:val="20"/>
              </w:rPr>
              <w:t>A: Simple OpenAI calls are unstructured, prone to hallucinations, and difficult to manage for multi-step tasks. LangGraph splits research into structured nodes (Ticker Resolution, Profile, Financials, Risks, SWOT, Decision). This makes the workflow modular, testable, and robust against rate limits. It also allows us to replace individual nodes with heuristics or separate model providers easily.</w:t>
            </w:r>
          </w:p>
        </w:tc>
      </w:tr>
    </w:tbl>
    <w:p/>
    <w:tbl>
      <w:tblPr>
        <w:tblW w:type="auto" w:w="0"/>
        <w:jc w:val="center"/>
        <w:tblLook w:firstColumn="1" w:firstRow="1" w:lastColumn="0" w:lastRow="0" w:noHBand="0" w:noVBand="1" w:val="04A0"/>
      </w:tblPr>
      <w:tblGrid>
        <w:gridCol w:w="9360"/>
      </w:tblGrid>
      <w:tr>
        <w:tc>
          <w:tcPr>
            <w:tcW w:type="dxa" w:w="9360"/>
            <w:shd w:fill="EEF2FF"/>
            <w:tcBorders>
              <w:left w:val="single" w:sz="36" w:space="0" w:color="4F46E5"/>
              <w:top w:val="none"/>
              <w:right w:val="none"/>
              <w:bottom w:val="none"/>
            </w:tcBorders>
            <w:tcMar>
              <w:top w:w="160" w:type="dxa"/>
              <w:bottom w:w="160" w:type="dxa"/>
              <w:left w:w="240" w:type="dxa"/>
              <w:right w:w="240" w:type="dxa"/>
            </w:tcMar>
          </w:tcPr>
          <w:p>
            <w:pPr>
              <w:spacing w:after="80"/>
            </w:pPr>
            <w:r>
              <w:rPr>
                <w:rFonts w:ascii="Arial" w:hAnsi="Arial"/>
                <w:b/>
                <w:color w:val="4338CA"/>
                <w:sz w:val="22"/>
              </w:rPr>
              <w:t>Q2: How did you solve API rate limits for Alpha Vantage (5 requests/min)?</w:t>
            </w:r>
          </w:p>
          <w:p>
            <w:pPr>
              <w:spacing w:after="0"/>
            </w:pPr>
            <w:r>
              <w:rPr>
                <w:rFonts w:ascii="Arial" w:hAnsi="Arial"/>
                <w:color w:val="1E293B"/>
                <w:sz w:val="20"/>
              </w:rPr>
              <w:t>A: Originally, multiple backend nodes queried the overview data independently, immediately hitting the limit. I optimized this by executing a single-fetch call at the top of the graph workflow (buildResearchWorkflow) and passing the returned JSON down to the researchNode and financialAnalysisNode. This reduced the requests per query to exactly one.</w:t>
            </w:r>
          </w:p>
        </w:tc>
      </w:tr>
    </w:tbl>
    <w:p/>
    <w:tbl>
      <w:tblPr>
        <w:tblW w:type="auto" w:w="0"/>
        <w:jc w:val="center"/>
        <w:tblLook w:firstColumn="1" w:firstRow="1" w:lastColumn="0" w:lastRow="0" w:noHBand="0" w:noVBand="1" w:val="04A0"/>
      </w:tblPr>
      <w:tblGrid>
        <w:gridCol w:w="9360"/>
      </w:tblGrid>
      <w:tr>
        <w:tc>
          <w:tcPr>
            <w:tcW w:type="dxa" w:w="9360"/>
            <w:shd w:fill="EEF2FF"/>
            <w:tcBorders>
              <w:left w:val="single" w:sz="36" w:space="0" w:color="4F46E5"/>
              <w:top w:val="none"/>
              <w:right w:val="none"/>
              <w:bottom w:val="none"/>
            </w:tcBorders>
            <w:tcMar>
              <w:top w:w="160" w:type="dxa"/>
              <w:bottom w:w="160" w:type="dxa"/>
              <w:left w:w="240" w:type="dxa"/>
              <w:right w:w="240" w:type="dxa"/>
            </w:tcMar>
          </w:tcPr>
          <w:p>
            <w:pPr>
              <w:spacing w:after="80"/>
            </w:pPr>
            <w:r>
              <w:rPr>
                <w:rFonts w:ascii="Arial" w:hAnsi="Arial"/>
                <w:b/>
                <w:color w:val="4338CA"/>
                <w:sz w:val="22"/>
              </w:rPr>
              <w:t>Q3: How did you handle React component crash issues during dynamic search fallbacks?</w:t>
            </w:r>
          </w:p>
          <w:p>
            <w:pPr>
              <w:spacing w:after="0"/>
            </w:pPr>
            <w:r>
              <w:rPr>
                <w:rFonts w:ascii="Arial" w:hAnsi="Arial"/>
                <w:color w:val="1E293B"/>
                <w:sz w:val="20"/>
              </w:rPr>
              <w:t>A: Google Search returned nested objects for leadership roles (CEO) or locations. Rendering these directly in React caused a child crash. I created a robust helper function (extractStringValue) that traverses arrays and extracts name/title fields dynamically, converting objects into safe, renderable text strings.</w:t>
            </w:r>
          </w:p>
        </w:tc>
      </w:tr>
    </w:tbl>
    <w:p/>
    <w:tbl>
      <w:tblPr>
        <w:tblW w:type="auto" w:w="0"/>
        <w:jc w:val="center"/>
        <w:tblLook w:firstColumn="1" w:firstRow="1" w:lastColumn="0" w:lastRow="0" w:noHBand="0" w:noVBand="1" w:val="04A0"/>
      </w:tblPr>
      <w:tblGrid>
        <w:gridCol w:w="9360"/>
      </w:tblGrid>
      <w:tr>
        <w:tc>
          <w:tcPr>
            <w:tcW w:type="dxa" w:w="9360"/>
            <w:shd w:fill="EEF2FF"/>
            <w:tcBorders>
              <w:left w:val="single" w:sz="36" w:space="0" w:color="4F46E5"/>
              <w:top w:val="none"/>
              <w:right w:val="none"/>
              <w:bottom w:val="none"/>
            </w:tcBorders>
            <w:tcMar>
              <w:top w:w="160" w:type="dxa"/>
              <w:bottom w:w="160" w:type="dxa"/>
              <w:left w:w="240" w:type="dxa"/>
              <w:right w:w="240" w:type="dxa"/>
            </w:tcMar>
          </w:tcPr>
          <w:p>
            <w:pPr>
              <w:spacing w:after="80"/>
            </w:pPr>
            <w:r>
              <w:rPr>
                <w:rFonts w:ascii="Arial" w:hAnsi="Arial"/>
                <w:b/>
                <w:color w:val="4338CA"/>
                <w:sz w:val="22"/>
              </w:rPr>
              <w:t>Q4: If you had 2 weeks, how would you improve this project?</w:t>
            </w:r>
          </w:p>
          <w:p>
            <w:pPr>
              <w:spacing w:after="0"/>
            </w:pPr>
            <w:r>
              <w:rPr>
                <w:rFonts w:ascii="Arial" w:hAnsi="Arial"/>
                <w:color w:val="1E293B"/>
                <w:sz w:val="20"/>
              </w:rPr>
              <w:t>A: I would add:</w:t>
              <w:br/>
              <w:t>- Persistence: Save generated reports in MongoDB or PostgreSQL so users can compare research histories.</w:t>
              <w:br/>
              <w:t>- Real-Time Charts: Integrate Recharts to display cash vs. debt, P/E multiples, and revenue trends visually.</w:t>
              <w:br/>
              <w:t>- Multi-Agent LLMs: Run competitive research tasks in parallel using LangGraph subagents to make competitor profiles more dynamic.</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