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sz w:val="36"/>
        </w:rPr>
        <w:t>Supporting Information</w:t>
      </w:r>
    </w:p>
    <w:p>
      <w:pPr>
        <w:spacing w:after="100" w:line="259" w:lineRule="auto"/>
      </w:pPr>
      <w:r>
        <w:rPr>
          <w:rFonts w:ascii="Arial" w:hAnsi="Arial"/>
          <w:b/>
          <w:sz w:val="21"/>
        </w:rPr>
        <w:t>Auditing an AI-Agent Computational Drug-Discovery Workflow Through an SMPD1 Case Study</w:t>
      </w:r>
    </w:p>
    <w:p>
      <w:pPr>
        <w:spacing w:after="100" w:line="259" w:lineRule="auto"/>
      </w:pPr>
      <w:r>
        <w:rPr>
          <w:rFonts w:ascii="Arial" w:hAnsi="Arial"/>
          <w:sz w:val="21"/>
        </w:rPr>
        <w:t>Yiming Zuo</w:t>
      </w:r>
    </w:p>
    <w:p>
      <w:pPr>
        <w:spacing w:after="100" w:line="259" w:lineRule="auto"/>
      </w:pPr>
      <w:r>
        <w:rPr>
          <w:rFonts w:ascii="Arial" w:hAnsi="Arial"/>
          <w:sz w:val="21"/>
        </w:rPr>
        <w:t>School of Chemistry, Chemical Engineering and Life Sciences, Wuhan University of Technology, Wuhan 430070, China</w:t>
      </w:r>
    </w:p>
    <w:p>
      <w:pPr>
        <w:pStyle w:val="Heading1"/>
      </w:pPr>
      <w:r>
        <w:t>SI-1: Complete evidence matrix (22-gene panel)</w:t>
      </w:r>
    </w:p>
    <w:p>
      <w:pPr>
        <w:spacing w:after="100" w:line="259" w:lineRule="auto"/>
      </w:pPr>
      <w:r>
        <w:rPr>
          <w:rFonts w:ascii="Arial" w:hAnsi="Arial"/>
          <w:sz w:val="21"/>
        </w:rPr>
        <w:t xml:space="preserve">Full weighted scoring table. Source: </w:t>
      </w:r>
      <w:r>
        <w:rPr>
          <w:rFonts w:ascii="Consolas" w:hAnsi="Consolas"/>
          <w:sz w:val="18"/>
        </w:rPr>
        <w:t>data/panel_scores.json</w:t>
      </w:r>
      <w:r>
        <w:rPr>
          <w:rFonts w:ascii="Arial" w:hAnsi="Arial"/>
          <w:sz w:val="21"/>
        </w:rPr>
        <w:t xml:space="preserve">, </w:t>
      </w:r>
      <w:r>
        <w:rPr>
          <w:rFonts w:ascii="Consolas" w:hAnsi="Consolas"/>
          <w:sz w:val="18"/>
        </w:rPr>
        <w:t>data/ot_associations.json</w:t>
      </w:r>
      <w:r>
        <w:rPr>
          <w:rFonts w:ascii="Arial" w:hAnsi="Arial"/>
          <w:sz w:val="21"/>
        </w:rPr>
        <w:t xml:space="preserve">, </w:t>
      </w:r>
      <w:r>
        <w:rPr>
          <w:rFonts w:ascii="Consolas" w:hAnsi="Consolas"/>
          <w:sz w:val="18"/>
        </w:rPr>
        <w:t>data/pubmed_trends.json</w:t>
      </w:r>
      <w:r>
        <w:rPr>
          <w:rFonts w:ascii="Arial" w:hAnsi="Arial"/>
          <w:sz w:val="21"/>
        </w:rPr>
        <w:t xml:space="preserve">, </w:t>
      </w:r>
      <w:r>
        <w:rPr>
          <w:rFonts w:ascii="Consolas" w:hAnsi="Consolas"/>
          <w:sz w:val="18"/>
        </w:rPr>
        <w:t>scripts/score_panel.py</w:t>
      </w:r>
      <w:r>
        <w:rPr>
          <w:rFonts w:ascii="Arial" w:hAnsi="Arial"/>
          <w:sz w:val="21"/>
        </w:rPr>
        <w:t>.</w:t>
      </w:r>
    </w:p>
    <w:p>
      <w:pPr>
        <w:spacing w:after="100" w:line="259" w:lineRule="auto"/>
      </w:pPr>
      <w:r>
        <w:rPr>
          <w:rFonts w:ascii="Arial" w:hAnsi="Arial"/>
          <w:sz w:val="21"/>
        </w:rPr>
        <w:t>Weights: genetics/omics 0.30, mechanism 0.20, novelty 0.20, safety 0.20, druggability 0.10.</w:t>
      </w:r>
    </w:p>
    <w:p>
      <w:pPr>
        <w:spacing w:after="100" w:line="259" w:lineRule="auto"/>
      </w:pPr>
      <w:r>
        <w:rPr>
          <w:rFonts w:ascii="Arial" w:hAnsi="Arial"/>
          <w:sz w:val="21"/>
        </w:rPr>
        <w:t>Columns: gene, total score, genetics, mechanism, novelty, safety, druggability, approved drugs, clinical candidates, notes.</w:t>
      </w:r>
    </w:p>
    <w:p>
      <w:pPr>
        <w:pStyle w:val="Heading1"/>
      </w:pPr>
      <w:r>
        <w:t>SI-2: Screening funnel and full ranked output</w:t>
      </w:r>
    </w:p>
    <w:p>
      <w:pPr>
        <w:pStyle w:val="ListBullet"/>
      </w:pPr>
      <w:r>
        <w:rPr>
          <w:rFonts w:ascii="Arial" w:hAnsi="Arial"/>
          <w:sz w:val="21"/>
        </w:rPr>
        <w:t xml:space="preserve">Library: </w:t>
      </w:r>
      <w:r>
        <w:rPr>
          <w:rFonts w:ascii="Consolas" w:hAnsi="Consolas"/>
          <w:sz w:val="18"/>
        </w:rPr>
        <w:t>data/chembl_library.jsonl</w:t>
      </w:r>
      <w:r>
        <w:rPr>
          <w:rFonts w:ascii="Arial" w:hAnsi="Arial"/>
          <w:sz w:val="21"/>
        </w:rPr>
        <w:t xml:space="preserve"> (20,111 ChEMBL entries, CNS filters)</w:t>
      </w:r>
    </w:p>
    <w:p>
      <w:pPr>
        <w:pStyle w:val="ListBullet"/>
      </w:pPr>
      <w:r>
        <w:rPr>
          <w:rFonts w:ascii="Arial" w:hAnsi="Arial"/>
          <w:sz w:val="21"/>
        </w:rPr>
        <w:t xml:space="preserve">Filtered: </w:t>
      </w:r>
      <w:r>
        <w:rPr>
          <w:rFonts w:ascii="Consolas" w:hAnsi="Consolas"/>
          <w:sz w:val="18"/>
        </w:rPr>
        <w:t>data/library_filtered.csv</w:t>
      </w:r>
      <w:r>
        <w:rPr>
          <w:rFonts w:ascii="Arial" w:hAnsi="Arial"/>
          <w:sz w:val="21"/>
        </w:rPr>
        <w:t xml:space="preserve"> (11,758 passing PAINS/Brenk/charge)</w:t>
      </w:r>
    </w:p>
    <w:p>
      <w:pPr>
        <w:pStyle w:val="ListBullet"/>
      </w:pPr>
      <w:r>
        <w:rPr>
          <w:rFonts w:ascii="Arial" w:hAnsi="Arial"/>
          <w:sz w:val="21"/>
        </w:rPr>
        <w:t xml:space="preserve">Dock set: </w:t>
      </w:r>
      <w:r>
        <w:rPr>
          <w:rFonts w:ascii="Consolas" w:hAnsi="Consolas"/>
          <w:sz w:val="18"/>
        </w:rPr>
        <w:t>data/dock_set.smi</w:t>
      </w:r>
      <w:r>
        <w:rPr>
          <w:rFonts w:ascii="Arial" w:hAnsi="Arial"/>
          <w:sz w:val="21"/>
        </w:rPr>
        <w:t xml:space="preserve"> (3,500 scaffold-capped)</w:t>
      </w:r>
    </w:p>
    <w:p>
      <w:pPr>
        <w:pStyle w:val="ListBullet"/>
      </w:pPr>
      <w:r>
        <w:rPr>
          <w:rFonts w:ascii="Arial" w:hAnsi="Arial"/>
          <w:sz w:val="21"/>
        </w:rPr>
        <w:t xml:space="preserve">Full ranking: </w:t>
      </w:r>
      <w:r>
        <w:rPr>
          <w:rFonts w:ascii="Consolas" w:hAnsi="Consolas"/>
          <w:sz w:val="18"/>
        </w:rPr>
        <w:t>results/hits_ranked.csv</w:t>
      </w:r>
      <w:r>
        <w:rPr>
          <w:rFonts w:ascii="Arial" w:hAnsi="Arial"/>
          <w:sz w:val="21"/>
        </w:rPr>
        <w:t xml:space="preserve"> (3,642 rows: ligand, Vina score, properties, novelty)</w:t>
      </w:r>
    </w:p>
    <w:p>
      <w:pPr>
        <w:pStyle w:val="ListBullet"/>
      </w:pPr>
      <w:r>
        <w:rPr>
          <w:rFonts w:ascii="Arial" w:hAnsi="Arial"/>
          <w:sz w:val="21"/>
        </w:rPr>
        <w:t xml:space="preserve">Funnel registry: </w:t>
      </w:r>
      <w:r>
        <w:rPr>
          <w:rFonts w:ascii="Consolas" w:hAnsi="Consolas"/>
          <w:sz w:val="18"/>
        </w:rPr>
        <w:t>results/funnel_registry.json</w:t>
      </w:r>
    </w:p>
    <w:p>
      <w:pPr>
        <w:pStyle w:val="ListBullet"/>
      </w:pPr>
      <w:r>
        <w:rPr>
          <w:rFonts w:ascii="Arial" w:hAnsi="Arial"/>
          <w:sz w:val="21"/>
        </w:rPr>
        <w:t xml:space="preserve">Preparation failures: </w:t>
      </w:r>
      <w:r>
        <w:rPr>
          <w:rFonts w:ascii="Consolas" w:hAnsi="Consolas"/>
          <w:sz w:val="18"/>
        </w:rPr>
        <w:t>data/prep_failures.json</w:t>
      </w:r>
      <w:r>
        <w:rPr>
          <w:rFonts w:ascii="Arial" w:hAnsi="Arial"/>
          <w:sz w:val="21"/>
        </w:rPr>
        <w:t xml:space="preserve"> (10 embed-failures)</w:t>
      </w:r>
    </w:p>
    <w:p>
      <w:pPr>
        <w:pStyle w:val="Heading1"/>
      </w:pPr>
      <w:r>
        <w:t>SI-3: Analog expansion results</w:t>
      </w:r>
    </w:p>
    <w:p>
      <w:pPr>
        <w:spacing w:after="100" w:line="259" w:lineRule="auto"/>
      </w:pPr>
      <w:r>
        <w:rPr>
          <w:rFonts w:ascii="Arial" w:hAnsi="Arial"/>
          <w:sz w:val="21"/>
        </w:rPr>
        <w:t>225 analogs (F/Cl/OH/OMe/CN/CF₃/Me at aromatic C–H positions of 6 priority hits), all prepped, docked, 0 failures.</w:t>
      </w:r>
    </w:p>
    <w:p>
      <w:pPr>
        <w:spacing w:after="100" w:line="259" w:lineRule="auto"/>
      </w:pPr>
      <w:r>
        <w:rPr>
          <w:rFonts w:ascii="Consolas" w:hAnsi="Consolas"/>
          <w:sz w:val="18"/>
        </w:rPr>
        <w:t>results/expansion_results.json</w:t>
      </w:r>
    </w:p>
    <w:p>
      <w:pPr>
        <w:pStyle w:val="Heading1"/>
      </w:pPr>
      <w:r>
        <w:t>SI-4: ADMET and hERG/DILI predictions</w:t>
      </w:r>
    </w:p>
    <w:p>
      <w:pPr>
        <w:pStyle w:val="ListBullet"/>
      </w:pPr>
      <w:r>
        <w:rPr>
          <w:rFonts w:ascii="Arial" w:hAnsi="Arial"/>
          <w:sz w:val="21"/>
        </w:rPr>
        <w:t xml:space="preserve">DeepPurpose ADMET (BBB, P-gp, CYP3A4/2D6, Caco-2, HIA, ClinTox) for top 20: </w:t>
      </w:r>
      <w:r>
        <w:rPr>
          <w:rFonts w:ascii="Consolas" w:hAnsi="Consolas"/>
          <w:sz w:val="18"/>
        </w:rPr>
        <w:t>results/admet_predictions.csv</w:t>
      </w:r>
    </w:p>
    <w:p>
      <w:pPr>
        <w:pStyle w:val="ListBullet"/>
      </w:pPr>
      <w:r>
        <w:rPr>
          <w:rFonts w:ascii="Arial" w:hAnsi="Arial"/>
          <w:sz w:val="21"/>
        </w:rPr>
        <w:t xml:space="preserve">Self-trained RF500 hERG (655-mol set) + RF500 DILI (475-mol set): </w:t>
      </w:r>
      <w:r>
        <w:rPr>
          <w:rFonts w:ascii="Consolas" w:hAnsi="Consolas"/>
          <w:sz w:val="18"/>
        </w:rPr>
        <w:t>results/herg_dili_predictions.csv</w:t>
      </w:r>
    </w:p>
    <w:p>
      <w:pPr>
        <w:pStyle w:val="ListBullet"/>
      </w:pPr>
      <w:r>
        <w:rPr>
          <w:rFonts w:ascii="Arial" w:hAnsi="Arial"/>
          <w:sz w:val="21"/>
        </w:rPr>
        <w:t xml:space="preserve">hERG_Central RF300 reproducibility package: </w:t>
      </w:r>
      <w:r>
        <w:rPr>
          <w:rFonts w:ascii="Consolas" w:hAnsi="Consolas"/>
          <w:sz w:val="18"/>
        </w:rPr>
        <w:t>results/herg_central_repro/</w:t>
      </w:r>
      <w:r>
        <w:rPr>
          <w:rFonts w:ascii="Arial" w:hAnsi="Arial"/>
          <w:sz w:val="21"/>
        </w:rPr>
        <w:t xml:space="preserve"> (dataset SHA256, split indices, metrics, candidate overlap)</w:t>
      </w:r>
    </w:p>
    <w:p>
      <w:pPr>
        <w:pStyle w:val="Heading1"/>
      </w:pPr>
      <w:r>
        <w:t>SI-5: MD trajectories and analyses</w:t>
      </w:r>
    </w:p>
    <w:p>
      <w:pPr>
        <w:pStyle w:val="ListBullet"/>
      </w:pPr>
      <w:r>
        <w:rPr>
          <w:rFonts w:ascii="Arial" w:hAnsi="Arial"/>
          <w:sz w:val="21"/>
        </w:rPr>
        <w:t xml:space="preserve">Apo frozen-pocket MD: </w:t>
      </w:r>
      <w:r>
        <w:rPr>
          <w:rFonts w:ascii="Consolas" w:hAnsi="Consolas"/>
          <w:sz w:val="18"/>
        </w:rPr>
        <w:t>md/prod.dcd</w:t>
      </w:r>
      <w:r>
        <w:rPr>
          <w:rFonts w:ascii="Arial" w:hAnsi="Arial"/>
          <w:sz w:val="21"/>
        </w:rPr>
        <w:t xml:space="preserve"> (1,161 frames in the audited trajectory inventory), </w:t>
      </w:r>
      <w:r>
        <w:rPr>
          <w:rFonts w:ascii="Consolas" w:hAnsi="Consolas"/>
          <w:sz w:val="18"/>
        </w:rPr>
        <w:t>md/solvated.pdb</w:t>
      </w:r>
      <w:r>
        <w:rPr>
          <w:rFonts w:ascii="Arial" w:hAnsi="Arial"/>
          <w:sz w:val="21"/>
        </w:rPr>
        <w:t xml:space="preserve">, </w:t>
      </w:r>
      <w:r>
        <w:rPr>
          <w:rFonts w:ascii="Consolas" w:hAnsi="Consolas"/>
          <w:sz w:val="18"/>
        </w:rPr>
        <w:t>md/log.csv</w:t>
      </w:r>
    </w:p>
    <w:p>
      <w:pPr>
        <w:pStyle w:val="ListBullet"/>
      </w:pPr>
      <w:r>
        <w:rPr>
          <w:rFonts w:ascii="Arial" w:hAnsi="Arial"/>
          <w:sz w:val="21"/>
        </w:rPr>
        <w:t xml:space="preserve">Bound v1 (Li-2013 12-6 Zn): </w:t>
      </w:r>
      <w:r>
        <w:rPr>
          <w:rFonts w:ascii="Consolas" w:hAnsi="Consolas"/>
          <w:sz w:val="18"/>
        </w:rPr>
        <w:t>md/bound.dcd</w:t>
      </w:r>
      <w:r>
        <w:rPr>
          <w:rFonts w:ascii="Arial" w:hAnsi="Arial"/>
          <w:sz w:val="21"/>
        </w:rPr>
        <w:t xml:space="preserve">, </w:t>
      </w:r>
      <w:r>
        <w:rPr>
          <w:rFonts w:ascii="Consolas" w:hAnsi="Consolas"/>
          <w:sz w:val="18"/>
        </w:rPr>
        <w:t>md/bound_log.csv</w:t>
      </w:r>
      <w:r>
        <w:rPr>
          <w:rFonts w:ascii="Arial" w:hAnsi="Arial"/>
          <w:sz w:val="21"/>
        </w:rPr>
        <w:t xml:space="preserve"> — </w:t>
      </w:r>
      <w:r>
        <w:rPr>
          <w:rFonts w:ascii="Arial" w:hAnsi="Arial"/>
          <w:b/>
          <w:sz w:val="21"/>
        </w:rPr>
        <w:t>superseded by v2</w:t>
      </w:r>
    </w:p>
    <w:p>
      <w:pPr>
        <w:pStyle w:val="ListBullet"/>
      </w:pPr>
      <w:r>
        <w:rPr>
          <w:rFonts w:ascii="Arial" w:hAnsi="Arial"/>
          <w:sz w:val="21"/>
        </w:rPr>
        <w:t xml:space="preserve">Bound v2 (12-6 subset of 12-6-4): </w:t>
      </w:r>
      <w:r>
        <w:rPr>
          <w:rFonts w:ascii="Consolas" w:hAnsi="Consolas"/>
          <w:sz w:val="18"/>
        </w:rPr>
        <w:t>md/bound_v2.dcd</w:t>
      </w:r>
      <w:r>
        <w:rPr>
          <w:rFonts w:ascii="Arial" w:hAnsi="Arial"/>
          <w:sz w:val="21"/>
        </w:rPr>
        <w:t xml:space="preserve">, </w:t>
      </w:r>
      <w:r>
        <w:rPr>
          <w:rFonts w:ascii="Consolas" w:hAnsi="Consolas"/>
          <w:sz w:val="18"/>
        </w:rPr>
        <w:t>md/bound_v2_log.csv</w:t>
      </w:r>
      <w:r>
        <w:rPr>
          <w:rFonts w:ascii="Arial" w:hAnsi="Arial"/>
          <w:sz w:val="21"/>
        </w:rPr>
        <w:t xml:space="preserve">, </w:t>
      </w:r>
      <w:r>
        <w:rPr>
          <w:rFonts w:ascii="Consolas" w:hAnsi="Consolas"/>
          <w:sz w:val="18"/>
        </w:rPr>
        <w:t>md/bound_ref.pdb</w:t>
      </w:r>
      <w:r>
        <w:rPr>
          <w:rFonts w:ascii="Arial" w:hAnsi="Arial"/>
          <w:sz w:val="21"/>
        </w:rPr>
        <w:t xml:space="preserve">, </w:t>
      </w:r>
      <w:r>
        <w:rPr>
          <w:rFonts w:ascii="Consolas" w:hAnsi="Consolas"/>
          <w:sz w:val="18"/>
        </w:rPr>
        <w:t>md/bound_analysis_pre_registered.json</w:t>
      </w:r>
    </w:p>
    <w:p>
      <w:pPr>
        <w:pStyle w:val="ListBullet"/>
      </w:pPr>
      <w:r>
        <w:rPr>
          <w:rFonts w:ascii="Arial" w:hAnsi="Arial"/>
          <w:sz w:val="21"/>
        </w:rPr>
        <w:t xml:space="preserve">Pocket-residence analysis: </w:t>
      </w:r>
      <w:r>
        <w:rPr>
          <w:rFonts w:ascii="Consolas" w:hAnsi="Consolas"/>
          <w:sz w:val="18"/>
        </w:rPr>
        <w:t>runs/audit-20260913/tasks/sim-02/attempt-1/pocket_residence.json</w:t>
      </w:r>
    </w:p>
    <w:p>
      <w:pPr>
        <w:pStyle w:val="ListBullet"/>
      </w:pPr>
      <w:r>
        <w:rPr>
          <w:rFonts w:ascii="Arial" w:hAnsi="Arial"/>
          <w:sz w:val="21"/>
        </w:rPr>
        <w:t xml:space="preserve">Snapshots: </w:t>
      </w:r>
      <w:r>
        <w:rPr>
          <w:rFonts w:ascii="Consolas" w:hAnsi="Consolas"/>
          <w:sz w:val="18"/>
        </w:rPr>
        <w:t>md/snapshot_{1..5}ns_al.pdb</w:t>
      </w:r>
      <w:r>
        <w:rPr>
          <w:rFonts w:ascii="Arial" w:hAnsi="Arial"/>
          <w:sz w:val="21"/>
        </w:rPr>
        <w:t xml:space="preserve"> (crystal-aligned)</w:t>
      </w:r>
    </w:p>
    <w:p>
      <w:pPr>
        <w:pStyle w:val="ListBullet"/>
      </w:pPr>
      <w:r>
        <w:rPr>
          <w:rFonts w:ascii="Arial" w:hAnsi="Arial"/>
          <w:sz w:val="21"/>
        </w:rPr>
        <w:t xml:space="preserve">MD ensemble docking: </w:t>
      </w:r>
      <w:r>
        <w:rPr>
          <w:rFonts w:ascii="Consolas" w:hAnsi="Consolas"/>
          <w:sz w:val="18"/>
        </w:rPr>
        <w:t>results/md_ensemble_docking.csv</w:t>
      </w:r>
    </w:p>
    <w:p>
      <w:pPr>
        <w:pStyle w:val="Heading1"/>
      </w:pPr>
      <w:r>
        <w:t>SI-6: Audit trail</w:t>
      </w:r>
    </w:p>
    <w:p>
      <w:pPr>
        <w:pStyle w:val="ListBullet"/>
      </w:pPr>
      <w:r>
        <w:rPr>
          <w:rFonts w:ascii="Arial" w:hAnsi="Arial"/>
          <w:sz w:val="21"/>
        </w:rPr>
        <w:t xml:space="preserve">Round-1 audit: </w:t>
      </w:r>
      <w:r>
        <w:rPr>
          <w:rFonts w:ascii="Consolas" w:hAnsi="Consolas"/>
          <w:sz w:val="18"/>
        </w:rPr>
        <w:t>independent-audit/REPORT.md</w:t>
      </w:r>
      <w:r>
        <w:rPr>
          <w:rFonts w:ascii="Arial" w:hAnsi="Arial"/>
          <w:sz w:val="21"/>
        </w:rPr>
        <w:t xml:space="preserve"> + 5 verification JSONs</w:t>
      </w:r>
    </w:p>
    <w:p>
      <w:pPr>
        <w:pStyle w:val="ListBullet"/>
      </w:pPr>
      <w:r>
        <w:rPr>
          <w:rFonts w:ascii="Arial" w:hAnsi="Arial"/>
          <w:sz w:val="21"/>
        </w:rPr>
        <w:t xml:space="preserve">Round-3 re-review: </w:t>
      </w:r>
      <w:r>
        <w:rPr>
          <w:rFonts w:ascii="Consolas" w:hAnsi="Consolas"/>
          <w:sz w:val="18"/>
        </w:rPr>
        <w:t>independent-audit/rereview-r3/REPORT.md</w:t>
      </w:r>
      <w:r>
        <w:rPr>
          <w:rFonts w:ascii="Arial" w:hAnsi="Arial"/>
          <w:sz w:val="21"/>
        </w:rPr>
        <w:t xml:space="preserve"> + checks</w:t>
      </w:r>
    </w:p>
    <w:p>
      <w:pPr>
        <w:pStyle w:val="ListBullet"/>
      </w:pPr>
      <w:r>
        <w:rPr>
          <w:rFonts w:ascii="Arial" w:hAnsi="Arial"/>
          <w:sz w:val="21"/>
        </w:rPr>
        <w:t xml:space="preserve">Round-4 adjudication: </w:t>
      </w:r>
      <w:r>
        <w:rPr>
          <w:rFonts w:ascii="Consolas" w:hAnsi="Consolas"/>
          <w:sz w:val="18"/>
        </w:rPr>
        <w:t>independent-audit/round4-acceptance/adjudication.md</w:t>
      </w:r>
    </w:p>
    <w:p>
      <w:pPr>
        <w:pStyle w:val="ListBullet"/>
      </w:pPr>
      <w:r>
        <w:rPr>
          <w:rFonts w:ascii="Arial" w:hAnsi="Arial"/>
          <w:sz w:val="21"/>
        </w:rPr>
        <w:t xml:space="preserve">Round-11 acceptance: </w:t>
      </w:r>
      <w:r>
        <w:rPr>
          <w:rFonts w:ascii="Consolas" w:hAnsi="Consolas"/>
          <w:sz w:val="18"/>
        </w:rPr>
        <w:t>independent-audit/round11-acceptance/round11-acceptance.md</w:t>
      </w:r>
    </w:p>
    <w:p>
      <w:pPr>
        <w:pStyle w:val="ListBullet"/>
      </w:pPr>
      <w:r>
        <w:rPr>
          <w:rFonts w:ascii="Arial" w:hAnsi="Arial"/>
          <w:sz w:val="21"/>
        </w:rPr>
        <w:t xml:space="preserve">Final acceptance: </w:t>
      </w:r>
      <w:r>
        <w:rPr>
          <w:rFonts w:ascii="Consolas" w:hAnsi="Consolas"/>
          <w:sz w:val="18"/>
        </w:rPr>
        <w:t>independent-audit/final-acceptance/final-acceptance.md</w:t>
      </w:r>
      <w:r>
        <w:rPr>
          <w:rFonts w:ascii="Arial" w:hAnsi="Arial"/>
          <w:sz w:val="21"/>
        </w:rPr>
        <w:t xml:space="preserve"> + </w:t>
      </w:r>
      <w:r>
        <w:rPr>
          <w:rFonts w:ascii="Consolas" w:hAnsi="Consolas"/>
          <w:sz w:val="18"/>
        </w:rPr>
        <w:t>final_checks.json</w:t>
      </w:r>
    </w:p>
    <w:p>
      <w:pPr>
        <w:pStyle w:val="ListBullet"/>
      </w:pPr>
      <w:r>
        <w:rPr>
          <w:rFonts w:ascii="Arial" w:hAnsi="Arial"/>
          <w:sz w:val="21"/>
        </w:rPr>
        <w:t xml:space="preserve">Verdict-authority resolution: </w:t>
      </w:r>
      <w:r>
        <w:rPr>
          <w:rFonts w:ascii="Consolas" w:hAnsi="Consolas"/>
          <w:sz w:val="18"/>
        </w:rPr>
        <w:t>independent-audit/round4-acceptance/verdict-authority-status.json</w:t>
      </w:r>
      <w:r>
        <w:rPr>
          <w:rFonts w:ascii="Arial" w:hAnsi="Arial"/>
          <w:sz w:val="21"/>
        </w:rPr>
        <w:t xml:space="preserve"> (superseded by adjudication)</w:t>
      </w:r>
    </w:p>
    <w:p>
      <w:pPr>
        <w:pStyle w:val="Heading1"/>
      </w:pPr>
      <w:r>
        <w:t>SI-7: Seeded-error benchmark</w:t>
      </w:r>
    </w:p>
    <w:p>
      <w:pPr>
        <w:pStyle w:val="ListBullet"/>
      </w:pPr>
      <w:r>
        <w:rPr>
          <w:rFonts w:ascii="Arial" w:hAnsi="Arial"/>
          <w:sz w:val="21"/>
        </w:rPr>
        <w:t>18 seeded cases across 9 error classes, plus the recorded controls</w:t>
      </w:r>
    </w:p>
    <w:p>
      <w:pPr>
        <w:pStyle w:val="ListBullet"/>
      </w:pPr>
      <w:r>
        <w:rPr>
          <w:rFonts w:ascii="Arial" w:hAnsi="Arial"/>
          <w:sz w:val="21"/>
        </w:rPr>
        <w:t xml:space="preserve">Expected outcomes frozen in </w:t>
      </w:r>
      <w:r>
        <w:rPr>
          <w:rFonts w:ascii="Consolas" w:hAnsi="Consolas"/>
          <w:sz w:val="18"/>
        </w:rPr>
        <w:t>scripts/benchmark_full.py</w:t>
      </w:r>
      <w:r>
        <w:rPr>
          <w:rFonts w:ascii="Arial" w:hAnsi="Arial"/>
          <w:sz w:val="21"/>
        </w:rPr>
        <w:t xml:space="preserve"> before that development run; the cases and checks were designed within the same project and were not independently preregistered or held out</w:t>
      </w:r>
    </w:p>
    <w:p>
      <w:pPr>
        <w:pStyle w:val="ListBullet"/>
      </w:pPr>
      <w:r>
        <w:rPr>
          <w:rFonts w:ascii="Arial" w:hAnsi="Arial"/>
          <w:sz w:val="21"/>
        </w:rPr>
        <w:t xml:space="preserve">Results: </w:t>
      </w:r>
      <w:r>
        <w:rPr>
          <w:rFonts w:ascii="Consolas" w:hAnsi="Consolas"/>
          <w:sz w:val="18"/>
        </w:rPr>
        <w:t>runs/benchmark-full/benchmark_full_results.json</w:t>
      </w:r>
    </w:p>
    <w:p>
      <w:pPr>
        <w:pStyle w:val="ListBullet"/>
      </w:pPr>
      <w:r>
        <w:rPr>
          <w:rFonts w:ascii="Arial" w:hAnsi="Arial"/>
          <w:sz w:val="21"/>
        </w:rPr>
        <w:t xml:space="preserve">Real-findings replay (13 executed): </w:t>
      </w:r>
      <w:r>
        <w:rPr>
          <w:rFonts w:ascii="Consolas" w:hAnsi="Consolas"/>
          <w:sz w:val="18"/>
        </w:rPr>
        <w:t>runs/benchmark-seeded/real_findings_replay_executed.json</w:t>
      </w:r>
    </w:p>
    <w:p>
      <w:pPr>
        <w:pStyle w:val="ListBullet"/>
      </w:pPr>
      <w:r>
        <w:rPr>
          <w:rFonts w:ascii="Arial" w:hAnsi="Arial"/>
          <w:sz w:val="21"/>
        </w:rPr>
        <w:t>Miss analysis: C4-b (numeric-only check cannot catch citation mismatch), C6-a (atom-name filter cannot catch residue-name contamination), C8-c (naive numbering cannot catch mapping errors). C9-b exposed a control-label/semantics defect; no zero-false-positive claim is made.</w:t>
      </w:r>
    </w:p>
    <w:p>
      <w:pPr>
        <w:pStyle w:val="Heading1"/>
      </w:pPr>
      <w:r>
        <w:t>SI-8: Frozen integrity manifest</w:t>
      </w:r>
    </w:p>
    <w:p>
      <w:pPr>
        <w:spacing w:after="100" w:line="259" w:lineRule="auto"/>
      </w:pPr>
      <w:r>
        <w:rPr>
          <w:rFonts w:ascii="Consolas" w:hAnsi="Consolas"/>
          <w:sz w:val="18"/>
        </w:rPr>
        <w:t>audit_manifest.json</w:t>
      </w:r>
      <w:r>
        <w:rPr>
          <w:rFonts w:ascii="Arial" w:hAnsi="Arial"/>
          <w:sz w:val="21"/>
        </w:rPr>
        <w:t>: 5-level leaf-to-root SHA256 manifest (L1 evidence, L2 scripts, L3 reports, L4 nested handoffs, L5 audit artifacts). No self-reference. 77 entries. research-log.md frozen at D23 state.</w:t>
      </w:r>
    </w:p>
    <w:p>
      <w:pPr>
        <w:pStyle w:val="Heading1"/>
      </w:pPr>
      <w:r>
        <w:t>SI-9: GNINA CNN rescoring</w:t>
      </w:r>
    </w:p>
    <w:p>
      <w:pPr>
        <w:spacing w:after="100" w:line="259" w:lineRule="auto"/>
      </w:pPr>
      <w:r>
        <w:rPr>
          <w:rFonts w:ascii="Arial" w:hAnsi="Arial"/>
          <w:sz w:val="21"/>
        </w:rPr>
        <w:t xml:space="preserve">9 poses (6 candidates + 3 references). CNNscore and CNNaffinity table. Source: </w:t>
      </w:r>
      <w:r>
        <w:rPr>
          <w:rFonts w:ascii="Consolas" w:hAnsi="Consolas"/>
          <w:sz w:val="18"/>
        </w:rPr>
        <w:t>results/gnina_rescoring.json</w:t>
      </w:r>
      <w:r>
        <w:rPr>
          <w:rFonts w:ascii="Arial" w:hAnsi="Arial"/>
          <w:sz w:val="21"/>
        </w:rPr>
        <w:t>.</w:t>
      </w:r>
    </w:p>
    <w:p>
      <w:pPr>
        <w:pStyle w:val="Heading1"/>
      </w:pPr>
      <w:r>
        <w:t>SI-10: P2Rank pocket prediction</w:t>
      </w:r>
    </w:p>
    <w:p>
      <w:pPr>
        <w:spacing w:after="100" w:line="259" w:lineRule="auto"/>
      </w:pPr>
      <w:r>
        <w:rPr>
          <w:rFonts w:ascii="Arial" w:hAnsi="Arial"/>
          <w:sz w:val="21"/>
        </w:rPr>
        <w:t xml:space="preserve">Top pocket: score 39.05, probability 0.961 (6× runner-up), centers overlap with docking box. Source: </w:t>
      </w:r>
      <w:r>
        <w:rPr>
          <w:rFonts w:ascii="Consolas" w:hAnsi="Consolas"/>
          <w:sz w:val="18"/>
        </w:rPr>
        <w:t>results/p2rank_out/</w:t>
      </w:r>
      <w:r>
        <w:rPr>
          <w:rFonts w:ascii="Arial" w:hAnsi="Arial"/>
          <w:sz w:val="21"/>
        </w:rPr>
        <w:t>.</w:t>
      </w:r>
    </w:p>
    <w:p>
      <w:pPr>
        <w:pStyle w:val="Heading1"/>
      </w:pPr>
      <w:r>
        <w:t>SI-11: Model separation</w:t>
      </w:r>
    </w:p>
    <w:p>
      <w:pPr>
        <w:spacing w:after="100" w:line="259" w:lineRule="auto"/>
      </w:pPr>
      <w:r>
        <w:rPr>
          <w:rFonts w:ascii="Arial" w:hAnsi="Arial"/>
          <w:sz w:val="21"/>
        </w:rPr>
        <w:t xml:space="preserve">MODEL-A (RF500 full-data legacy) vs MODEL-B (RF300 held-out split) — candidate probabilities side-by-side. Source: </w:t>
      </w:r>
      <w:r>
        <w:rPr>
          <w:rFonts w:ascii="Consolas" w:hAnsi="Consolas"/>
          <w:sz w:val="18"/>
        </w:rPr>
        <w:t>results/herg_central_repro/models/candidate_predictions_by_model.csv</w:t>
      </w:r>
      <w:r>
        <w:rPr>
          <w:rFonts w:ascii="Arial" w:hAnsi="Arial"/>
          <w:sz w:val="21"/>
        </w:rPr>
        <w:t xml:space="preserve">, </w:t>
      </w:r>
      <w:r>
        <w:rPr>
          <w:rFonts w:ascii="Consolas" w:hAnsi="Consolas"/>
          <w:sz w:val="18"/>
        </w:rPr>
        <w:t>results/herg_central_repro/models/model_provenance.json</w:t>
      </w:r>
      <w:r>
        <w:rPr>
          <w:rFonts w:ascii="Arial" w:hAnsi="Arial"/>
          <w:sz w:val="21"/>
        </w:rPr>
        <w:t>.</w:t>
      </w:r>
    </w:p>
    <w:p>
      <w:pPr>
        <w:pStyle w:val="Heading1"/>
      </w:pPr>
      <w:r>
        <w:t>SI-12: Homolog selectivity</w:t>
      </w:r>
    </w:p>
    <w:p>
      <w:pPr>
        <w:spacing w:after="100" w:line="259" w:lineRule="auto"/>
      </w:pPr>
      <w:r>
        <w:rPr>
          <w:rFonts w:ascii="Arial" w:hAnsi="Arial"/>
          <w:sz w:val="21"/>
        </w:rPr>
        <w:t xml:space="preserve">Max Tanimoto vs SMPD3/SMPD2/SMPD4/ASAH1/ASAH2/NAAA ligand sets ≤ 0.31 for all top-20. Source: </w:t>
      </w:r>
      <w:r>
        <w:rPr>
          <w:rFonts w:ascii="Consolas" w:hAnsi="Consolas"/>
          <w:sz w:val="18"/>
        </w:rPr>
        <w:t>results/homolog_selectivity.csv</w:t>
      </w:r>
      <w:r>
        <w:rPr>
          <w:rFonts w:ascii="Arial" w:hAnsi="Arial"/>
          <w:sz w:val="21"/>
        </w:rPr>
        <w:t>.</w:t>
      </w:r>
    </w:p>
    <w:p>
      <w:pPr>
        <w:spacing w:after="100" w:line="259" w:lineRule="auto"/>
      </w:pPr>
      <w:r>
        <w:rPr>
          <w:rFonts w:ascii="Arial" w:hAnsi="Arial"/>
          <w:b/>
          <w:sz w:val="21"/>
        </w:rPr>
        <w:t>All SI items are included in the project directory and are individually hash-tracked via audit_manifest.json.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