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r>
        <w:rPr>
          <w:rFonts w:ascii="EB Garamond" w:hAnsi="EB Garamond" w:eastAsia="EB Garamond" w:cs="EB Garamond"/>
          <w:b/>
          <w:sz w:val="60"/>
          <w:szCs w:val="60"/>
        </w:rPr>
        <w:t>BAIT3273 Tutorial 5</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Core Cloud Services - Manage services with the Azure portal</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Azure Portal  </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Power Shell, Azure CLI</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Azure Marketplace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bookmarkStart w:id="0" w:name="_GoBack"/>
      <w:bookmarkEnd w:id="0"/>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1: Azure Portal </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Azure is a cloud platform that provides the compute, storage, and networking resources needed to build cloud-hosted applications. As a new user, the Azure portal is likely to be the primary way you will interact with Azure. The Azure portal lets you create and manage all your Azure resources. For example, you can set up a new database, increase the compute power of your virtual machines, and monitor your monthly costs.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You can configure and manage Azure using a broad range of tools and platforms. There are tools available for the command line, language-specific Software Development Kits (SDKs), developer tools, tools for migration, and many others.</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Tools that are commonly used for day-to-day management and interaction include:</w:t>
      </w:r>
    </w:p>
    <w:p>
      <w:pPr>
        <w:jc w:val="both"/>
        <w:rPr>
          <w:rFonts w:ascii="EB Garamond" w:hAnsi="EB Garamond" w:eastAsia="EB Garamond" w:cs="EB Garamond"/>
          <w:sz w:val="28"/>
          <w:szCs w:val="28"/>
          <w:lang w:val="en-US"/>
        </w:rPr>
      </w:pP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Azure portal </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Azure PowerShell and Azure Command-Line Interface (CLI) </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Azure Cloud Shell </w:t>
      </w:r>
    </w:p>
    <w:p>
      <w:pPr>
        <w:jc w:val="both"/>
        <w:rPr>
          <w:rFonts w:ascii="EB Garamond" w:hAnsi="EB Garamond" w:eastAsia="EB Garamond" w:cs="EB Garamond"/>
          <w:b/>
          <w:bCs/>
          <w:sz w:val="28"/>
          <w:szCs w:val="28"/>
          <w:lang w:val="en-US"/>
        </w:rPr>
      </w:pPr>
      <w:r>
        <w:rPr>
          <w:rFonts w:ascii="EB Garamond" w:hAnsi="EB Garamond" w:eastAsia="EB Garamond" w:cs="EB Garamond"/>
          <w:b/>
          <w:bCs/>
          <w:sz w:val="28"/>
          <w:szCs w:val="28"/>
          <w:lang w:val="en-US"/>
        </w:rPr>
        <w:t xml:space="preserve">Azure mobile app </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Explain the usage of above tools.</w:t>
      </w:r>
    </w:p>
    <w:tbl>
      <w:tblPr>
        <w:tblStyle w:val="14"/>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54" w:hRule="atLeast"/>
        </w:trPr>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jc w:val="both"/>
              <w:rPr>
                <w:rFonts w:ascii="EB Garamond" w:hAnsi="EB Garamond" w:eastAsia="EB Garamond" w:cs="EB Garamond"/>
                <w:b/>
                <w:bCs/>
                <w:sz w:val="28"/>
                <w:szCs w:val="28"/>
                <w:lang w:val="en-US"/>
              </w:rPr>
            </w:pPr>
            <w:r>
              <w:drawing>
                <wp:inline distT="0" distB="0" distL="114300" distR="114300">
                  <wp:extent cx="4572000" cy="14097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72000" cy="1409700"/>
                          </a:xfrm>
                          <a:prstGeom prst="rect">
                            <a:avLst/>
                          </a:prstGeom>
                          <a:noFill/>
                          <a:ln>
                            <a:noFill/>
                          </a:ln>
                        </pic:spPr>
                      </pic:pic>
                    </a:graphicData>
                  </a:graphic>
                </wp:inline>
              </w:drawing>
            </w:r>
          </w:p>
          <w:p>
            <w:pPr>
              <w:jc w:val="both"/>
              <w:rPr>
                <w:rFonts w:ascii="EB Garamond" w:hAnsi="EB Garamond" w:eastAsia="EB Garamond" w:cs="EB Garamond"/>
                <w:sz w:val="28"/>
                <w:szCs w:val="28"/>
              </w:rPr>
            </w:pPr>
            <w:r>
              <w:drawing>
                <wp:inline distT="0" distB="0" distL="114300" distR="114300">
                  <wp:extent cx="3829050" cy="176212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829050" cy="176212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 xml:space="preserve">Azure PowerShell provides the New-AzVM command that creates a virtual machine (VM) for you inside your Azure subscription. Given the resource group name is “lckResourceGroup”, the name of the VM is “myVM” and the image is “UbuntuLTS”. Write out the command to create this VM. </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lang w:val="en-US"/>
              </w:rPr>
            </w:pPr>
            <w:r>
              <w:drawing>
                <wp:inline distT="0" distB="0" distL="114300" distR="114300">
                  <wp:extent cx="3200400" cy="11049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200400" cy="110490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1.b </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Write out the command to create the above VM by using Azure CLI.</w:t>
      </w:r>
    </w:p>
    <w:tbl>
      <w:tblPr>
        <w:tblStyle w:val="19"/>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pPr>
            <w:r>
              <w:drawing>
                <wp:inline distT="0" distB="0" distL="114300" distR="114300">
                  <wp:extent cx="2914650" cy="1381125"/>
                  <wp:effectExtent l="0" t="0" r="1143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914650" cy="1381125"/>
                          </a:xfrm>
                          <a:prstGeom prst="rect">
                            <a:avLst/>
                          </a:prstGeom>
                          <a:noFill/>
                          <a:ln>
                            <a:noFill/>
                          </a:ln>
                        </pic:spPr>
                      </pic:pic>
                    </a:graphicData>
                  </a:graphic>
                </wp:inline>
              </w:drawing>
            </w:r>
          </w:p>
          <w:p>
            <w:pPr>
              <w:widowControl w:val="0"/>
              <w:spacing w:line="240" w:lineRule="auto"/>
              <w:jc w:val="both"/>
              <w:rPr>
                <w:lang w:val="en-US"/>
              </w:rPr>
            </w:pP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2: </w:t>
      </w:r>
      <w:r>
        <w:rPr>
          <w:rFonts w:ascii="EB Garamond" w:hAnsi="EB Garamond" w:eastAsia="EB Garamond" w:cs="EB Garamond"/>
          <w:b/>
          <w:sz w:val="36"/>
          <w:szCs w:val="36"/>
          <w:lang w:val="en-US"/>
        </w:rPr>
        <w:t>Azure Marketplace</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r>
        <w:rPr>
          <w:rFonts w:ascii="EB Garamond" w:hAnsi="EB Garamond" w:eastAsia="EB Garamond" w:cs="EB Garamond"/>
          <w:sz w:val="28"/>
          <w:szCs w:val="28"/>
          <w:lang w:val="en-US"/>
        </w:rPr>
        <w:t>What is the Azure Marketplace?</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r>
              <w:rPr>
                <w:rFonts w:hint="default" w:ascii="EB Garamond" w:hAnsi="EB Garamond" w:eastAsia="EB Garamond"/>
                <w:sz w:val="28"/>
                <w:szCs w:val="28"/>
              </w:rPr>
              <w:t>The Microsoft Azure Marketplace is an online store that offers applications and services either built on or designed to integrate with Microsoft's Azure public cloud. The products and services sold through the Microsoft Azure Marketplace come from either Microsoft directly or its technology partners.</w:t>
            </w:r>
          </w:p>
          <w:p>
            <w:pPr>
              <w:widowControl w:val="0"/>
              <w:spacing w:line="240" w:lineRule="auto"/>
              <w:jc w:val="both"/>
              <w:rPr>
                <w:rFonts w:ascii="EB Garamond" w:hAnsi="EB Garamond" w:eastAsia="EB Garamond" w:cs="EB Garamond"/>
                <w:sz w:val="28"/>
                <w:szCs w:val="28"/>
                <w:lang w:val="en-US"/>
              </w:rPr>
            </w:pP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4591050" cy="1619250"/>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591050" cy="1619250"/>
                          </a:xfrm>
                          <a:prstGeom prst="rect">
                            <a:avLst/>
                          </a:prstGeom>
                          <a:noFill/>
                          <a:ln>
                            <a:noFill/>
                          </a:ln>
                        </pic:spPr>
                      </pic:pic>
                    </a:graphicData>
                  </a:graphic>
                </wp:inline>
              </w:drawing>
            </w:r>
          </w:p>
          <w:p>
            <w:pPr>
              <w:widowControl w:val="0"/>
              <w:spacing w:line="240" w:lineRule="auto"/>
              <w:jc w:val="both"/>
              <w:rPr>
                <w:rFonts w:ascii="EB Garamond" w:hAnsi="EB Garamond" w:eastAsia="EB Garamond" w:cs="EB Garamond"/>
                <w:sz w:val="28"/>
                <w:szCs w:val="28"/>
                <w:lang w:val="en-US"/>
              </w:rPr>
            </w:pP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EB Garamond">
    <w:altName w:val="Calibri"/>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rFonts w:hint="default"/>
        <w:lang w:val="en-GB"/>
      </w:rPr>
    </w:pPr>
    <w:r>
      <w:rPr>
        <w:rFonts w:hint="default"/>
        <w:lang w:val="en-GB"/>
      </w:rPr>
      <w:t>2008867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0C04EE"/>
    <w:rsid w:val="00161747"/>
    <w:rsid w:val="00193D76"/>
    <w:rsid w:val="001E7CD7"/>
    <w:rsid w:val="00240B54"/>
    <w:rsid w:val="002C30C3"/>
    <w:rsid w:val="00314668"/>
    <w:rsid w:val="003368E4"/>
    <w:rsid w:val="00376EF9"/>
    <w:rsid w:val="003C18F3"/>
    <w:rsid w:val="003C4A81"/>
    <w:rsid w:val="00512EEB"/>
    <w:rsid w:val="00556EFF"/>
    <w:rsid w:val="006539E7"/>
    <w:rsid w:val="00693FF7"/>
    <w:rsid w:val="00703389"/>
    <w:rsid w:val="00757142"/>
    <w:rsid w:val="007C7E14"/>
    <w:rsid w:val="00853848"/>
    <w:rsid w:val="00881CA8"/>
    <w:rsid w:val="00A0773C"/>
    <w:rsid w:val="00A12CC7"/>
    <w:rsid w:val="00A15979"/>
    <w:rsid w:val="00AC5450"/>
    <w:rsid w:val="00AE0F7F"/>
    <w:rsid w:val="00B10154"/>
    <w:rsid w:val="00B64EF2"/>
    <w:rsid w:val="00BF1429"/>
    <w:rsid w:val="00BF6B3C"/>
    <w:rsid w:val="00C746E4"/>
    <w:rsid w:val="00CA5303"/>
    <w:rsid w:val="00D50F48"/>
    <w:rsid w:val="00DE0F27"/>
    <w:rsid w:val="00E340F9"/>
    <w:rsid w:val="00E441C4"/>
    <w:rsid w:val="00E63AE1"/>
    <w:rsid w:val="00E90B50"/>
    <w:rsid w:val="00EA47B1"/>
    <w:rsid w:val="1D7D181F"/>
    <w:rsid w:val="767D0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2"/>
    <w:unhideWhenUsed/>
    <w:qFormat/>
    <w:uiPriority w:val="99"/>
    <w:pPr>
      <w:tabs>
        <w:tab w:val="center" w:pos="4680"/>
        <w:tab w:val="right" w:pos="9360"/>
      </w:tabs>
      <w:spacing w:line="240" w:lineRule="auto"/>
    </w:pPr>
  </w:style>
  <w:style w:type="paragraph" w:styleId="11">
    <w:name w:val="header"/>
    <w:basedOn w:val="1"/>
    <w:link w:val="31"/>
    <w:unhideWhenUsed/>
    <w:qFormat/>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qFormat/>
    <w:uiPriority w:val="0"/>
    <w:tblPr>
      <w:tblCellMar>
        <w:top w:w="100" w:type="dxa"/>
        <w:left w:w="100" w:type="dxa"/>
        <w:bottom w:w="100" w:type="dxa"/>
        <w:right w:w="100"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table" w:customStyle="1" w:styleId="17">
    <w:name w:val="_Style 14"/>
    <w:basedOn w:val="9"/>
    <w:qFormat/>
    <w:uiPriority w:val="0"/>
    <w:tblPr>
      <w:tblCellMar>
        <w:top w:w="100" w:type="dxa"/>
        <w:left w:w="100" w:type="dxa"/>
        <w:bottom w:w="100" w:type="dxa"/>
        <w:right w:w="100" w:type="dxa"/>
      </w:tblCellMar>
    </w:tblPr>
  </w:style>
  <w:style w:type="table" w:customStyle="1" w:styleId="18">
    <w:name w:val="_Style 15"/>
    <w:basedOn w:val="9"/>
    <w:qFormat/>
    <w:uiPriority w:val="0"/>
    <w:tblPr>
      <w:tblCellMar>
        <w:top w:w="100" w:type="dxa"/>
        <w:left w:w="100" w:type="dxa"/>
        <w:bottom w:w="100" w:type="dxa"/>
        <w:right w:w="100" w:type="dxa"/>
      </w:tblCellMar>
    </w:tblPr>
  </w:style>
  <w:style w:type="table" w:customStyle="1" w:styleId="19">
    <w:name w:val="_Style 16"/>
    <w:basedOn w:val="9"/>
    <w:qFormat/>
    <w:uiPriority w:val="0"/>
    <w:tblPr>
      <w:tblCellMar>
        <w:top w:w="100" w:type="dxa"/>
        <w:left w:w="100" w:type="dxa"/>
        <w:bottom w:w="100" w:type="dxa"/>
        <w:right w:w="100" w:type="dxa"/>
      </w:tblCellMar>
    </w:tblPr>
  </w:style>
  <w:style w:type="table" w:customStyle="1" w:styleId="20">
    <w:name w:val="_Style 17"/>
    <w:basedOn w:val="9"/>
    <w:qFormat/>
    <w:uiPriority w:val="0"/>
    <w:tblPr>
      <w:tblCellMar>
        <w:top w:w="100" w:type="dxa"/>
        <w:left w:w="100" w:type="dxa"/>
        <w:bottom w:w="100" w:type="dxa"/>
        <w:right w:w="100" w:type="dxa"/>
      </w:tblCellMar>
    </w:tblPr>
  </w:style>
  <w:style w:type="table" w:customStyle="1" w:styleId="21">
    <w:name w:val="_Style 18"/>
    <w:basedOn w:val="9"/>
    <w:qFormat/>
    <w:uiPriority w:val="0"/>
    <w:tblPr>
      <w:tblCellMar>
        <w:top w:w="100" w:type="dxa"/>
        <w:left w:w="100" w:type="dxa"/>
        <w:bottom w:w="100" w:type="dxa"/>
        <w:right w:w="100" w:type="dxa"/>
      </w:tblCellMar>
    </w:tblPr>
  </w:style>
  <w:style w:type="table" w:customStyle="1" w:styleId="22">
    <w:name w:val="_Style 19"/>
    <w:basedOn w:val="9"/>
    <w:qFormat/>
    <w:uiPriority w:val="0"/>
    <w:tblPr>
      <w:tblCellMar>
        <w:top w:w="100" w:type="dxa"/>
        <w:left w:w="100" w:type="dxa"/>
        <w:bottom w:w="100" w:type="dxa"/>
        <w:right w:w="100" w:type="dxa"/>
      </w:tblCellMar>
    </w:tblPr>
  </w:style>
  <w:style w:type="table" w:customStyle="1" w:styleId="23">
    <w:name w:val="_Style 20"/>
    <w:basedOn w:val="9"/>
    <w:qFormat/>
    <w:uiPriority w:val="0"/>
    <w:tblPr>
      <w:tblCellMar>
        <w:top w:w="100" w:type="dxa"/>
        <w:left w:w="100" w:type="dxa"/>
        <w:bottom w:w="100" w:type="dxa"/>
        <w:right w:w="100" w:type="dxa"/>
      </w:tblCellMar>
    </w:tbl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 w:type="table" w:customStyle="1" w:styleId="26">
    <w:name w:val="_Style 23"/>
    <w:basedOn w:val="9"/>
    <w:qFormat/>
    <w:uiPriority w:val="0"/>
    <w:tblPr>
      <w:tblCellMar>
        <w:top w:w="100" w:type="dxa"/>
        <w:left w:w="100" w:type="dxa"/>
        <w:bottom w:w="100" w:type="dxa"/>
        <w:right w:w="100" w:type="dxa"/>
      </w:tblCellMar>
    </w:tblPr>
  </w:style>
  <w:style w:type="table" w:customStyle="1" w:styleId="27">
    <w:name w:val="_Style 24"/>
    <w:basedOn w:val="9"/>
    <w:uiPriority w:val="0"/>
    <w:tblPr>
      <w:tblCellMar>
        <w:top w:w="100" w:type="dxa"/>
        <w:left w:w="100" w:type="dxa"/>
        <w:bottom w:w="100" w:type="dxa"/>
        <w:right w:w="100" w:type="dxa"/>
      </w:tblCellMar>
    </w:tblPr>
  </w:style>
  <w:style w:type="table" w:customStyle="1" w:styleId="28">
    <w:name w:val="_Style 25"/>
    <w:basedOn w:val="9"/>
    <w:uiPriority w:val="0"/>
    <w:tblPr>
      <w:tblCellMar>
        <w:top w:w="100" w:type="dxa"/>
        <w:left w:w="100" w:type="dxa"/>
        <w:bottom w:w="100" w:type="dxa"/>
        <w:right w:w="100" w:type="dxa"/>
      </w:tblCellMar>
    </w:tblPr>
  </w:style>
  <w:style w:type="table" w:customStyle="1" w:styleId="29">
    <w:name w:val="_Style 26"/>
    <w:basedOn w:val="9"/>
    <w:qFormat/>
    <w:uiPriority w:val="0"/>
    <w:tblPr>
      <w:tblCellMar>
        <w:top w:w="100" w:type="dxa"/>
        <w:left w:w="100" w:type="dxa"/>
        <w:bottom w:w="100" w:type="dxa"/>
        <w:right w:w="100" w:type="dxa"/>
      </w:tblCellMar>
    </w:tblPr>
  </w:style>
  <w:style w:type="table" w:customStyle="1" w:styleId="30">
    <w:name w:val="_Style 27"/>
    <w:basedOn w:val="9"/>
    <w:qFormat/>
    <w:uiPriority w:val="0"/>
    <w:tblPr>
      <w:tblCellMar>
        <w:top w:w="100" w:type="dxa"/>
        <w:left w:w="100" w:type="dxa"/>
        <w:bottom w:w="100" w:type="dxa"/>
        <w:right w:w="100" w:type="dxa"/>
      </w:tblCellMar>
    </w:tblPr>
  </w:style>
  <w:style w:type="character" w:customStyle="1" w:styleId="31">
    <w:name w:val="Header Char"/>
    <w:basedOn w:val="8"/>
    <w:link w:val="11"/>
    <w:qFormat/>
    <w:uiPriority w:val="99"/>
  </w:style>
  <w:style w:type="character" w:customStyle="1" w:styleId="32">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300</Words>
  <Characters>1715</Characters>
  <Lines>14</Lines>
  <Paragraphs>4</Paragraphs>
  <TotalTime>132</TotalTime>
  <ScaleCrop>false</ScaleCrop>
  <LinksUpToDate>false</LinksUpToDate>
  <CharactersWithSpaces>2011</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2021-08-05T04:42:09Z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2057-11.2.0.10223</vt:lpwstr>
  </property>
</Properties>
</file>