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EB Garamond" w:hAnsi="EB Garamond" w:eastAsia="EB Garamond" w:cs="EB Garamond"/>
          <w:b/>
          <w:sz w:val="60"/>
          <w:szCs w:val="60"/>
        </w:rPr>
      </w:pPr>
      <w:r>
        <w:rPr>
          <w:rFonts w:ascii="EB Garamond" w:hAnsi="EB Garamond" w:eastAsia="EB Garamond" w:cs="EB Garamond"/>
          <w:b/>
          <w:sz w:val="60"/>
          <w:szCs w:val="60"/>
        </w:rPr>
        <w:t>BAIT3273 Tutorial 12</w:t>
      </w:r>
    </w:p>
    <w:p>
      <w:pPr>
        <w:jc w:val="both"/>
        <w:rPr>
          <w:rFonts w:ascii="EB Garamond" w:hAnsi="EB Garamond" w:eastAsia="EB Garamond" w:cs="EB Garamond"/>
          <w:b/>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Azure Policy</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Policy vs RBAC</w:t>
      </w:r>
    </w:p>
    <w:p>
      <w:pPr>
        <w:ind w:left="283" w:hanging="283"/>
        <w:jc w:val="both"/>
        <w:rPr>
          <w:rFonts w:ascii="EB Garamond" w:hAnsi="EB Garamond" w:eastAsia="EB Garamond" w:cs="EB Garamond"/>
          <w:sz w:val="28"/>
          <w:szCs w:val="28"/>
          <w:lang w:val="en-US"/>
        </w:rPr>
      </w:pPr>
      <w:r>
        <w:rPr>
          <w:rFonts w:ascii="EB Garamond" w:hAnsi="EB Garamond" w:eastAsia="EB Garamond" w:cs="EB Garamond"/>
          <w:sz w:val="28"/>
          <w:szCs w:val="28"/>
        </w:rPr>
        <w:t>• Policy definition</w:t>
      </w:r>
    </w:p>
    <w:p>
      <w:pPr>
        <w:ind w:left="283" w:hanging="283"/>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Instructions</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Please use this document to answer all the questions in this tutorial.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Rename the file with your student code and tutorial group number. For example, </w:t>
      </w:r>
      <w:r>
        <w:rPr>
          <w:rFonts w:ascii="EB Garamond" w:hAnsi="EB Garamond" w:eastAsia="EB Garamond" w:cs="EB Garamond"/>
          <w:color w:val="FF0000"/>
          <w:sz w:val="28"/>
          <w:szCs w:val="28"/>
        </w:rPr>
        <w:t>1909846</w:t>
      </w:r>
      <w:r>
        <w:rPr>
          <w:rFonts w:ascii="EB Garamond" w:hAnsi="EB Garamond" w:eastAsia="EB Garamond" w:cs="EB Garamond"/>
          <w:sz w:val="28"/>
          <w:szCs w:val="28"/>
        </w:rPr>
        <w:t>-BAIT3273-S1-2020-Tut1-R</w:t>
      </w:r>
      <w:r>
        <w:rPr>
          <w:rFonts w:ascii="EB Garamond" w:hAnsi="EB Garamond" w:eastAsia="EB Garamond" w:cs="EB Garamond"/>
          <w:color w:val="FF0000"/>
          <w:sz w:val="28"/>
          <w:szCs w:val="28"/>
        </w:rPr>
        <w:t>DS</w:t>
      </w:r>
      <w:r>
        <w:rPr>
          <w:rFonts w:ascii="EB Garamond" w:hAnsi="EB Garamond" w:eastAsia="EB Garamond" w:cs="EB Garamond"/>
          <w:sz w:val="28"/>
          <w:szCs w:val="28"/>
        </w:rPr>
        <w:t>G</w:t>
      </w:r>
      <w:r>
        <w:rPr>
          <w:rFonts w:ascii="EB Garamond" w:hAnsi="EB Garamond" w:eastAsia="EB Garamond" w:cs="EB Garamond"/>
          <w:color w:val="FF0000"/>
          <w:sz w:val="28"/>
          <w:szCs w:val="28"/>
        </w:rPr>
        <w:t>01</w:t>
      </w:r>
      <w:r>
        <w:rPr>
          <w:rFonts w:ascii="EB Garamond" w:hAnsi="EB Garamond" w:eastAsia="EB Garamond" w:cs="EB Garamond"/>
          <w:sz w:val="28"/>
          <w:szCs w:val="28"/>
        </w:rPr>
        <w:t xml:space="preserve"> with RDSG01 as your respective programme and group number. Besides, replace </w:t>
      </w:r>
      <w:r>
        <w:rPr>
          <w:rFonts w:ascii="EB Garamond" w:hAnsi="EB Garamond" w:eastAsia="EB Garamond" w:cs="EB Garamond"/>
          <w:i/>
          <w:sz w:val="28"/>
          <w:szCs w:val="28"/>
        </w:rPr>
        <w:t>XXXXXXXX</w:t>
      </w:r>
      <w:r>
        <w:rPr>
          <w:rFonts w:ascii="EB Garamond" w:hAnsi="EB Garamond" w:eastAsia="EB Garamond" w:cs="EB Garamond"/>
          <w:sz w:val="28"/>
          <w:szCs w:val="28"/>
        </w:rPr>
        <w:t xml:space="preserve"> at the header with your student code.</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Every student must submit this doc individually at the end of the tutorial to google classroom.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lang w:val="en-US"/>
        </w:rPr>
      </w:pPr>
      <w:r>
        <w:rPr>
          <w:rFonts w:ascii="EB Garamond" w:hAnsi="EB Garamond" w:eastAsia="EB Garamond" w:cs="EB Garamond"/>
          <w:b/>
          <w:sz w:val="36"/>
          <w:szCs w:val="36"/>
        </w:rPr>
        <w:t xml:space="preserve">Task 1: </w:t>
      </w:r>
      <w:r>
        <w:rPr>
          <w:rFonts w:ascii="EB Garamond" w:hAnsi="EB Garamond" w:eastAsia="EB Garamond" w:cs="EB Garamond"/>
          <w:b/>
          <w:sz w:val="36"/>
          <w:szCs w:val="36"/>
          <w:lang w:val="en-US"/>
        </w:rPr>
        <w:t>Define IT compliance with Azure Policy</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Planning out a consistent cloud infrastructure starts with setting up policy. Your policies will enforce your rules for created resources, so your infrastructure stays compliant with your corporate standards, cost requirements, and any service-level agreements (SLAs) you have with your customers.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b/>
          <w:bCs/>
          <w:sz w:val="28"/>
          <w:szCs w:val="28"/>
          <w:lang w:val="en-US"/>
        </w:rPr>
        <w:t>Azure Policy</w:t>
      </w:r>
      <w:r>
        <w:rPr>
          <w:rFonts w:ascii="EB Garamond" w:hAnsi="EB Garamond" w:eastAsia="EB Garamond" w:cs="EB Garamond"/>
          <w:sz w:val="28"/>
          <w:szCs w:val="28"/>
          <w:lang w:val="en-US"/>
        </w:rPr>
        <w:t xml:space="preserve"> is an Azure service you use to create, assign and, manage policies. These policies enforce different rules and effects over your resources so that those resources stay compliant with your corporate standards and service level agreements. Azure Policy meets this need by evaluating your resources for noncompliance with assigned policies. For example, you might have a policy that allows virtual machines of only a certain size in your environment. After this</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policy is implemented, new and existing resources are evaluated for compliance. With the right type of policy, existing resources can be brought into compliance.</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 xml:space="preserve">Imagine we allow anyone in our organization to create virtual machines (VMs). We want to control costs, so the administrator of our Azure tenant defines a policy that prohibits the creation of any VM with more than 4 CPUs. Once the policy is implemented, Azure Policy will stop anyone from creating a new VM outside the list of allowed stock keeping units (SKUs). Also, if you try to update an existing VM, it will be checked against policy. Finally, Azure Policy will audit all the existing VMs in our organization to ensure our policy is enforced. It can audit non-compliant resources, alter the resource properties, or stop the resource from being created. </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1.a </w:t>
      </w: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 xml:space="preserve">Distinguish the different between </w:t>
      </w:r>
      <w:r>
        <w:rPr>
          <w:rFonts w:ascii="EB Garamond" w:hAnsi="EB Garamond" w:eastAsia="EB Garamond" w:cs="EB Garamond"/>
          <w:b/>
          <w:bCs/>
          <w:sz w:val="28"/>
          <w:szCs w:val="28"/>
          <w:lang w:val="en-US"/>
        </w:rPr>
        <w:t xml:space="preserve">Azure policy </w:t>
      </w:r>
      <w:r>
        <w:rPr>
          <w:rFonts w:ascii="EB Garamond" w:hAnsi="EB Garamond" w:eastAsia="EB Garamond" w:cs="EB Garamond"/>
          <w:sz w:val="28"/>
          <w:szCs w:val="28"/>
          <w:lang w:val="en-US"/>
        </w:rPr>
        <w:t xml:space="preserve">and </w:t>
      </w:r>
      <w:r>
        <w:rPr>
          <w:rFonts w:ascii="EB Garamond" w:hAnsi="EB Garamond" w:eastAsia="EB Garamond" w:cs="EB Garamond"/>
          <w:b/>
          <w:bCs/>
          <w:sz w:val="28"/>
          <w:szCs w:val="28"/>
          <w:lang w:val="en-US"/>
        </w:rPr>
        <w:t>RBAC</w:t>
      </w:r>
      <w:r>
        <w:rPr>
          <w:rFonts w:ascii="EB Garamond" w:hAnsi="EB Garamond" w:eastAsia="EB Garamond" w:cs="EB Garamond"/>
          <w:sz w:val="28"/>
          <w:szCs w:val="28"/>
          <w:lang w:val="en-US"/>
        </w:rPr>
        <w:t xml:space="preserve">. </w:t>
      </w:r>
    </w:p>
    <w:tbl>
      <w:tblPr>
        <w:tblStyle w:val="14"/>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r>
              <w:drawing>
                <wp:inline distT="0" distB="0" distL="114300" distR="114300">
                  <wp:extent cx="560578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05780" cy="265747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w:t>
      </w:r>
      <w:r>
        <w:rPr>
          <w:rFonts w:ascii="EB Garamond" w:hAnsi="EB Garamond" w:eastAsia="EB Garamond" w:cs="EB Garamond"/>
          <w:sz w:val="28"/>
          <w:szCs w:val="28"/>
          <w:lang w:val="en-US"/>
        </w:rPr>
        <w:t xml:space="preserve"> Give the 3 steps to create a policy in Azure. </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9030" w:type="dxa"/>
            <w:shd w:val="clear" w:color="auto" w:fill="auto"/>
            <w:tcMar>
              <w:top w:w="100" w:type="dxa"/>
              <w:left w:w="100" w:type="dxa"/>
              <w:bottom w:w="100" w:type="dxa"/>
              <w:right w:w="100" w:type="dxa"/>
            </w:tcMar>
          </w:tcPr>
          <w:p>
            <w:pPr>
              <w:autoSpaceDE w:val="0"/>
              <w:autoSpaceDN w:val="0"/>
              <w:adjustRightInd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 xml:space="preserve">Answer: </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4476750" cy="1009650"/>
                  <wp:effectExtent l="0" t="0" r="381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476750" cy="1009650"/>
                          </a:xfrm>
                          <a:prstGeom prst="rect">
                            <a:avLst/>
                          </a:prstGeom>
                          <a:noFill/>
                          <a:ln>
                            <a:noFill/>
                          </a:ln>
                        </pic:spPr>
                      </pic:pic>
                    </a:graphicData>
                  </a:graphic>
                </wp:inline>
              </w:drawing>
            </w:r>
            <w:bookmarkStart w:id="0" w:name="_GoBack"/>
            <w:bookmarkEnd w:id="0"/>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w:t>
      </w:r>
      <w:r>
        <w:rPr>
          <w:rFonts w:ascii="EB Garamond" w:hAnsi="EB Garamond" w:eastAsia="EB Garamond" w:cs="EB Garamond"/>
          <w:sz w:val="28"/>
          <w:szCs w:val="28"/>
          <w:lang w:val="en-US"/>
        </w:rPr>
        <w:t xml:space="preserve"> What is a policy definition?</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autoSpaceDE w:val="0"/>
              <w:autoSpaceDN w:val="0"/>
              <w:adjustRightInd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 xml:space="preserve">Answer: </w:t>
            </w:r>
          </w:p>
          <w:p>
            <w:pPr>
              <w:autoSpaceDE w:val="0"/>
              <w:autoSpaceDN w:val="0"/>
              <w:adjustRightInd w:val="0"/>
              <w:spacing w:line="240" w:lineRule="auto"/>
              <w:jc w:val="both"/>
              <w:rPr>
                <w:rFonts w:ascii="EB Garamond" w:hAnsi="EB Garamond" w:eastAsia="EB Garamond" w:cs="EB Garamond"/>
                <w:sz w:val="28"/>
                <w:szCs w:val="28"/>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p>
        </w:tc>
      </w:tr>
    </w:tbl>
    <w:p>
      <w:pPr>
        <w:jc w:val="both"/>
        <w:rPr>
          <w:rFonts w:ascii="EB Garamond" w:hAnsi="EB Garamond" w:eastAsia="EB Garamond" w:cs="EB Garamond"/>
          <w:b/>
          <w:sz w:val="36"/>
          <w:szCs w:val="36"/>
          <w:lang w:val="en-US"/>
        </w:rPr>
      </w:pPr>
      <w:r>
        <w:rPr>
          <w:rFonts w:ascii="EB Garamond" w:hAnsi="EB Garamond" w:eastAsia="EB Garamond" w:cs="EB Garamond"/>
          <w:b/>
          <w:sz w:val="36"/>
          <w:szCs w:val="36"/>
        </w:rPr>
        <w:t xml:space="preserve">Task 2: </w:t>
      </w:r>
      <w:r>
        <w:rPr>
          <w:rFonts w:ascii="EB Garamond" w:hAnsi="EB Garamond" w:eastAsia="EB Garamond" w:cs="EB Garamond"/>
          <w:b/>
          <w:sz w:val="36"/>
          <w:szCs w:val="36"/>
          <w:lang w:val="en-US"/>
        </w:rPr>
        <w:t xml:space="preserve">Working with Power Shell </w:t>
      </w:r>
    </w:p>
    <w:p>
      <w:pPr>
        <w:jc w:val="both"/>
        <w:rPr>
          <w:rFonts w:ascii="EB Garamond" w:hAnsi="EB Garamond" w:eastAsia="EB Garamond" w:cs="EB Garamond"/>
          <w:sz w:val="28"/>
          <w:szCs w:val="28"/>
        </w:rPr>
      </w:pPr>
      <w:r>
        <w:rPr>
          <w:rFonts w:ascii="EB Garamond" w:hAnsi="EB Garamond" w:eastAsia="EB Garamond" w:cs="EB Garamond"/>
          <w:sz w:val="28"/>
          <w:szCs w:val="28"/>
        </w:rPr>
        <w:t>2.</w:t>
      </w:r>
    </w:p>
    <w:p>
      <w:pPr>
        <w:jc w:val="both"/>
        <w:rPr>
          <w:rFonts w:ascii="EB Garamond" w:hAnsi="EB Garamond" w:eastAsia="EB Garamond" w:cs="EB Garamond"/>
          <w:sz w:val="28"/>
          <w:szCs w:val="28"/>
        </w:rPr>
      </w:pPr>
    </w:p>
    <w:p>
      <w:pPr>
        <w:ind w:left="283"/>
        <w:jc w:val="both"/>
        <w:rPr>
          <w:rFonts w:ascii="EB Garamond" w:hAnsi="EB Garamond" w:eastAsia="EB Garamond" w:cs="EB Garamond"/>
          <w:bCs/>
          <w:sz w:val="28"/>
          <w:szCs w:val="28"/>
          <w:lang w:val="en-US"/>
        </w:rPr>
      </w:pPr>
      <w:r>
        <w:rPr>
          <w:rFonts w:ascii="EB Garamond" w:hAnsi="EB Garamond" w:eastAsia="EB Garamond" w:cs="EB Garamond"/>
          <w:sz w:val="28"/>
          <w:szCs w:val="28"/>
        </w:rPr>
        <w:t xml:space="preserve">• </w:t>
      </w:r>
      <w:r>
        <w:rPr>
          <w:rFonts w:ascii="EB Garamond" w:hAnsi="EB Garamond" w:eastAsia="EB Garamond" w:cs="EB Garamond"/>
          <w:bCs/>
          <w:sz w:val="28"/>
          <w:szCs w:val="28"/>
          <w:lang w:val="en-US"/>
        </w:rPr>
        <w:t>Use the Power Shell command-line to identify the resources in your resource group that are non-compliant to the policy assignment.</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A41515"/>
                <w:lang w:val="en-US"/>
              </w:rPr>
            </w:pPr>
          </w:p>
          <w:p>
            <w:pPr>
              <w:widowControl w:val="0"/>
              <w:spacing w:line="240" w:lineRule="auto"/>
              <w:jc w:val="both"/>
              <w:rPr>
                <w:rFonts w:ascii="Times New Roman" w:hAnsi="Times New Roman" w:cs="Times New Roman"/>
                <w:color w:val="A41515"/>
                <w:lang w:val="en-US"/>
              </w:rPr>
            </w:pPr>
          </w:p>
          <w:p>
            <w:pPr>
              <w:widowControl w:val="0"/>
              <w:spacing w:line="240" w:lineRule="auto"/>
              <w:jc w:val="both"/>
              <w:rPr>
                <w:rFonts w:ascii="Times New Roman" w:hAnsi="Times New Roman" w:cs="Times New Roman"/>
                <w:color w:val="A41515"/>
                <w:lang w:val="en-US"/>
              </w:rPr>
            </w:pPr>
          </w:p>
          <w:p>
            <w:pPr>
              <w:widowControl w:val="0"/>
              <w:spacing w:line="240" w:lineRule="auto"/>
              <w:jc w:val="both"/>
              <w:rPr>
                <w:rFonts w:ascii="Times New Roman" w:hAnsi="Times New Roman" w:cs="Times New Roman"/>
                <w:color w:val="A41515"/>
                <w:lang w:val="en-US"/>
              </w:rPr>
            </w:pPr>
          </w:p>
          <w:p>
            <w:pPr>
              <w:widowControl w:val="0"/>
              <w:spacing w:line="240" w:lineRule="auto"/>
              <w:jc w:val="both"/>
              <w:rPr>
                <w:rFonts w:ascii="EB Garamond" w:hAnsi="EB Garamond" w:eastAsia="EB Garamond" w:cs="EB Garamond"/>
                <w:sz w:val="28"/>
                <w:szCs w:val="28"/>
                <w:lang w:val="en-US"/>
              </w:rPr>
            </w:pP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bCs/>
          <w:sz w:val="28"/>
          <w:szCs w:val="28"/>
          <w:lang w:val="en-US"/>
        </w:rPr>
      </w:pPr>
      <w:r>
        <w:rPr>
          <w:rFonts w:ascii="EB Garamond" w:hAnsi="EB Garamond" w:eastAsia="EB Garamond" w:cs="EB Garamond"/>
          <w:sz w:val="28"/>
          <w:szCs w:val="28"/>
        </w:rPr>
        <w:t xml:space="preserve">• </w:t>
      </w:r>
      <w:r>
        <w:rPr>
          <w:rFonts w:ascii="EB Garamond" w:hAnsi="EB Garamond" w:eastAsia="EB Garamond" w:cs="EB Garamond"/>
          <w:bCs/>
          <w:sz w:val="28"/>
          <w:szCs w:val="28"/>
          <w:lang w:val="en-US"/>
        </w:rPr>
        <w:t>Use the Power Shell command-line to remove a policy definition.</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Times New Roman" w:hAnsi="Times New Roman" w:cs="Times New Roman"/>
                <w:color w:val="0101FE"/>
                <w:lang w:val="en-US"/>
              </w:rPr>
            </w:pPr>
          </w:p>
          <w:p>
            <w:pPr>
              <w:widowControl w:val="0"/>
              <w:spacing w:line="240" w:lineRule="auto"/>
              <w:jc w:val="both"/>
              <w:rPr>
                <w:rFonts w:ascii="EB Garamond" w:hAnsi="EB Garamond" w:eastAsia="EB Garamond" w:cs="EB Garamond"/>
                <w:sz w:val="28"/>
                <w:szCs w:val="28"/>
                <w:lang w:val="en-US"/>
              </w:rPr>
            </w:pPr>
          </w:p>
        </w:tc>
      </w:tr>
    </w:tbl>
    <w:p>
      <w:pPr>
        <w:jc w:val="both"/>
        <w:rPr>
          <w:rFonts w:ascii="EB Garamond" w:hAnsi="EB Garamond" w:eastAsia="EB Garamond" w:cs="EB Garamond"/>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B Garamond">
    <w:altName w:val="Calibri"/>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t xml:space="preserve">BAIT3273 Cloud Computing </w:t>
    </w:r>
  </w:p>
  <w:p>
    <w:pPr>
      <w:rPr>
        <w:lang w:val="en-US"/>
      </w:rPr>
    </w:pPr>
    <w:r>
      <w:rPr>
        <w:rFonts w:ascii="EB Garamond" w:hAnsi="EB Garamond" w:eastAsia="EB Garamond" w:cs="EB Garamond"/>
        <w:i/>
        <w:sz w:val="28"/>
        <w:szCs w:val="28"/>
      </w:rPr>
      <w:t>XXXXXXXX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F7"/>
    <w:rsid w:val="000879AB"/>
    <w:rsid w:val="000C04EE"/>
    <w:rsid w:val="00161747"/>
    <w:rsid w:val="00193D76"/>
    <w:rsid w:val="001E7CD7"/>
    <w:rsid w:val="001F6C7B"/>
    <w:rsid w:val="00240B54"/>
    <w:rsid w:val="002C30C3"/>
    <w:rsid w:val="002E40E1"/>
    <w:rsid w:val="00314668"/>
    <w:rsid w:val="00327AC0"/>
    <w:rsid w:val="003368E4"/>
    <w:rsid w:val="00376EF9"/>
    <w:rsid w:val="003C4A81"/>
    <w:rsid w:val="00463033"/>
    <w:rsid w:val="00512EEB"/>
    <w:rsid w:val="00531B2E"/>
    <w:rsid w:val="00556EFF"/>
    <w:rsid w:val="006539E7"/>
    <w:rsid w:val="0068758C"/>
    <w:rsid w:val="00693FF7"/>
    <w:rsid w:val="00703389"/>
    <w:rsid w:val="00726A0C"/>
    <w:rsid w:val="00757142"/>
    <w:rsid w:val="007C2C4D"/>
    <w:rsid w:val="007C7E14"/>
    <w:rsid w:val="007D6577"/>
    <w:rsid w:val="00853848"/>
    <w:rsid w:val="00881CA8"/>
    <w:rsid w:val="00A0773C"/>
    <w:rsid w:val="00A12CC7"/>
    <w:rsid w:val="00A15979"/>
    <w:rsid w:val="00A55664"/>
    <w:rsid w:val="00AC5450"/>
    <w:rsid w:val="00AC7C94"/>
    <w:rsid w:val="00AE0F7F"/>
    <w:rsid w:val="00B10154"/>
    <w:rsid w:val="00B21097"/>
    <w:rsid w:val="00B64EF2"/>
    <w:rsid w:val="00B82D82"/>
    <w:rsid w:val="00BF1429"/>
    <w:rsid w:val="00BF6B3C"/>
    <w:rsid w:val="00C1028A"/>
    <w:rsid w:val="00C17B31"/>
    <w:rsid w:val="00C25188"/>
    <w:rsid w:val="00CA5303"/>
    <w:rsid w:val="00D50F48"/>
    <w:rsid w:val="00DA5938"/>
    <w:rsid w:val="00DD54D2"/>
    <w:rsid w:val="00DE0F27"/>
    <w:rsid w:val="00E05E91"/>
    <w:rsid w:val="00E340F9"/>
    <w:rsid w:val="00E441C4"/>
    <w:rsid w:val="00E90B50"/>
    <w:rsid w:val="00E94C1F"/>
    <w:rsid w:val="00EA47B1"/>
    <w:rsid w:val="00F55E0A"/>
    <w:rsid w:val="00F57383"/>
    <w:rsid w:val="00F712E2"/>
    <w:rsid w:val="6C315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2"/>
    <w:unhideWhenUsed/>
    <w:qFormat/>
    <w:uiPriority w:val="99"/>
    <w:pPr>
      <w:tabs>
        <w:tab w:val="center" w:pos="4680"/>
        <w:tab w:val="right" w:pos="9360"/>
      </w:tabs>
      <w:spacing w:line="240" w:lineRule="auto"/>
    </w:pPr>
  </w:style>
  <w:style w:type="paragraph" w:styleId="11">
    <w:name w:val="header"/>
    <w:basedOn w:val="1"/>
    <w:link w:val="31"/>
    <w:unhideWhenUsed/>
    <w:qFormat/>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12"/>
    <w:basedOn w:val="9"/>
    <w:qFormat/>
    <w:uiPriority w:val="0"/>
    <w:tblPr>
      <w:tblCellMar>
        <w:top w:w="100" w:type="dxa"/>
        <w:left w:w="100" w:type="dxa"/>
        <w:bottom w:w="100" w:type="dxa"/>
        <w:right w:w="100" w:type="dxa"/>
      </w:tblCellMar>
    </w:tblPr>
  </w:style>
  <w:style w:type="table" w:customStyle="1" w:styleId="16">
    <w:name w:val="_Style 13"/>
    <w:basedOn w:val="9"/>
    <w:qFormat/>
    <w:uiPriority w:val="0"/>
    <w:tblPr>
      <w:tblCellMar>
        <w:top w:w="100" w:type="dxa"/>
        <w:left w:w="100" w:type="dxa"/>
        <w:bottom w:w="100" w:type="dxa"/>
        <w:right w:w="100" w:type="dxa"/>
      </w:tblCellMar>
    </w:tblPr>
  </w:style>
  <w:style w:type="table" w:customStyle="1" w:styleId="17">
    <w:name w:val="_Style 14"/>
    <w:basedOn w:val="9"/>
    <w:qFormat/>
    <w:uiPriority w:val="0"/>
    <w:tblPr>
      <w:tblCellMar>
        <w:top w:w="100" w:type="dxa"/>
        <w:left w:w="100" w:type="dxa"/>
        <w:bottom w:w="100" w:type="dxa"/>
        <w:right w:w="100" w:type="dxa"/>
      </w:tblCellMar>
    </w:tblPr>
  </w:style>
  <w:style w:type="table" w:customStyle="1" w:styleId="18">
    <w:name w:val="_Style 15"/>
    <w:basedOn w:val="9"/>
    <w:qFormat/>
    <w:uiPriority w:val="0"/>
    <w:tblPr>
      <w:tblCellMar>
        <w:top w:w="100" w:type="dxa"/>
        <w:left w:w="100" w:type="dxa"/>
        <w:bottom w:w="100" w:type="dxa"/>
        <w:right w:w="100" w:type="dxa"/>
      </w:tblCellMar>
    </w:tblPr>
  </w:style>
  <w:style w:type="table" w:customStyle="1" w:styleId="19">
    <w:name w:val="_Style 16"/>
    <w:basedOn w:val="9"/>
    <w:qFormat/>
    <w:uiPriority w:val="0"/>
    <w:tblPr>
      <w:tblCellMar>
        <w:top w:w="100" w:type="dxa"/>
        <w:left w:w="100" w:type="dxa"/>
        <w:bottom w:w="100" w:type="dxa"/>
        <w:right w:w="100" w:type="dxa"/>
      </w:tblCellMar>
    </w:tblPr>
  </w:style>
  <w:style w:type="table" w:customStyle="1" w:styleId="20">
    <w:name w:val="_Style 17"/>
    <w:basedOn w:val="9"/>
    <w:qFormat/>
    <w:uiPriority w:val="0"/>
    <w:tblPr>
      <w:tblCellMar>
        <w:top w:w="100" w:type="dxa"/>
        <w:left w:w="100" w:type="dxa"/>
        <w:bottom w:w="100" w:type="dxa"/>
        <w:right w:w="100" w:type="dxa"/>
      </w:tblCellMar>
    </w:tblPr>
  </w:style>
  <w:style w:type="table" w:customStyle="1" w:styleId="21">
    <w:name w:val="_Style 18"/>
    <w:basedOn w:val="9"/>
    <w:qFormat/>
    <w:uiPriority w:val="0"/>
    <w:tblPr>
      <w:tblCellMar>
        <w:top w:w="100" w:type="dxa"/>
        <w:left w:w="100" w:type="dxa"/>
        <w:bottom w:w="100" w:type="dxa"/>
        <w:right w:w="100" w:type="dxa"/>
      </w:tblCellMar>
    </w:tblPr>
  </w:style>
  <w:style w:type="table" w:customStyle="1" w:styleId="22">
    <w:name w:val="_Style 19"/>
    <w:basedOn w:val="9"/>
    <w:qFormat/>
    <w:uiPriority w:val="0"/>
    <w:tblPr>
      <w:tblCellMar>
        <w:top w:w="100" w:type="dxa"/>
        <w:left w:w="100" w:type="dxa"/>
        <w:bottom w:w="100" w:type="dxa"/>
        <w:right w:w="100" w:type="dxa"/>
      </w:tblCellMar>
    </w:tblPr>
  </w:style>
  <w:style w:type="table" w:customStyle="1" w:styleId="23">
    <w:name w:val="_Style 20"/>
    <w:basedOn w:val="9"/>
    <w:qFormat/>
    <w:uiPriority w:val="0"/>
    <w:tblPr>
      <w:tblCellMar>
        <w:top w:w="100" w:type="dxa"/>
        <w:left w:w="100" w:type="dxa"/>
        <w:bottom w:w="100" w:type="dxa"/>
        <w:right w:w="100" w:type="dxa"/>
      </w:tblCellMar>
    </w:tblPr>
  </w:style>
  <w:style w:type="table" w:customStyle="1" w:styleId="24">
    <w:name w:val="_Style 21"/>
    <w:basedOn w:val="9"/>
    <w:qFormat/>
    <w:uiPriority w:val="0"/>
    <w:tblPr>
      <w:tblCellMar>
        <w:top w:w="100" w:type="dxa"/>
        <w:left w:w="100" w:type="dxa"/>
        <w:bottom w:w="100" w:type="dxa"/>
        <w:right w:w="100" w:type="dxa"/>
      </w:tblCellMar>
    </w:tblPr>
  </w:style>
  <w:style w:type="table" w:customStyle="1" w:styleId="25">
    <w:name w:val="_Style 22"/>
    <w:basedOn w:val="9"/>
    <w:qFormat/>
    <w:uiPriority w:val="0"/>
    <w:tblPr>
      <w:tblCellMar>
        <w:top w:w="100" w:type="dxa"/>
        <w:left w:w="100" w:type="dxa"/>
        <w:bottom w:w="100" w:type="dxa"/>
        <w:right w:w="100" w:type="dxa"/>
      </w:tblCellMar>
    </w:tblPr>
  </w:style>
  <w:style w:type="table" w:customStyle="1" w:styleId="26">
    <w:name w:val="_Style 23"/>
    <w:basedOn w:val="9"/>
    <w:qFormat/>
    <w:uiPriority w:val="0"/>
    <w:tblPr>
      <w:tblCellMar>
        <w:top w:w="100" w:type="dxa"/>
        <w:left w:w="100" w:type="dxa"/>
        <w:bottom w:w="100" w:type="dxa"/>
        <w:right w:w="100" w:type="dxa"/>
      </w:tblCellMar>
    </w:tblPr>
  </w:style>
  <w:style w:type="table" w:customStyle="1" w:styleId="27">
    <w:name w:val="_Style 24"/>
    <w:basedOn w:val="9"/>
    <w:qFormat/>
    <w:uiPriority w:val="0"/>
    <w:tblPr>
      <w:tblCellMar>
        <w:top w:w="100" w:type="dxa"/>
        <w:left w:w="100" w:type="dxa"/>
        <w:bottom w:w="100" w:type="dxa"/>
        <w:right w:w="100" w:type="dxa"/>
      </w:tblCellMar>
    </w:tblPr>
  </w:style>
  <w:style w:type="table" w:customStyle="1" w:styleId="28">
    <w:name w:val="_Style 25"/>
    <w:basedOn w:val="9"/>
    <w:qFormat/>
    <w:uiPriority w:val="0"/>
    <w:tblPr>
      <w:tblCellMar>
        <w:top w:w="100" w:type="dxa"/>
        <w:left w:w="100" w:type="dxa"/>
        <w:bottom w:w="100" w:type="dxa"/>
        <w:right w:w="100" w:type="dxa"/>
      </w:tblCellMar>
    </w:tblPr>
  </w:style>
  <w:style w:type="table" w:customStyle="1" w:styleId="29">
    <w:name w:val="_Style 26"/>
    <w:basedOn w:val="9"/>
    <w:qFormat/>
    <w:uiPriority w:val="0"/>
    <w:tblPr>
      <w:tblCellMar>
        <w:top w:w="100" w:type="dxa"/>
        <w:left w:w="100" w:type="dxa"/>
        <w:bottom w:w="100" w:type="dxa"/>
        <w:right w:w="100" w:type="dxa"/>
      </w:tblCellMar>
    </w:tblPr>
  </w:style>
  <w:style w:type="table" w:customStyle="1" w:styleId="30">
    <w:name w:val="_Style 27"/>
    <w:basedOn w:val="9"/>
    <w:qFormat/>
    <w:uiPriority w:val="0"/>
    <w:tblPr>
      <w:tblCellMar>
        <w:top w:w="100" w:type="dxa"/>
        <w:left w:w="100" w:type="dxa"/>
        <w:bottom w:w="100" w:type="dxa"/>
        <w:right w:w="100" w:type="dxa"/>
      </w:tblCellMar>
    </w:tblPr>
  </w:style>
  <w:style w:type="character" w:customStyle="1" w:styleId="31">
    <w:name w:val="Header Char"/>
    <w:basedOn w:val="8"/>
    <w:link w:val="11"/>
    <w:qFormat/>
    <w:uiPriority w:val="99"/>
  </w:style>
  <w:style w:type="character" w:customStyle="1" w:styleId="32">
    <w:name w:val="Footer Char"/>
    <w:basedOn w:val="8"/>
    <w:link w:val="10"/>
    <w:qFormat/>
    <w:uiPriority w:val="99"/>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395</Words>
  <Characters>2258</Characters>
  <Lines>18</Lines>
  <Paragraphs>5</Paragraphs>
  <TotalTime>203</TotalTime>
  <ScaleCrop>false</ScaleCrop>
  <LinksUpToDate>false</LinksUpToDate>
  <CharactersWithSpaces>2648</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2021-09-09T04:43:20Z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E9DB75B8C2054373B81E19044E908F85</vt:lpwstr>
  </property>
</Properties>
</file>