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bfbfbf" w:val="clea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TUNKU ABDUL RAHMAN UNIVERSITY COLLEGE</w:t>
      </w:r>
    </w:p>
    <w:p w:rsidR="00000000" w:rsidDel="00000000" w:rsidP="00000000" w:rsidRDefault="00000000" w:rsidRPr="00000000" w14:paraId="00000002">
      <w:pPr>
        <w:pageBreakBefore w:val="0"/>
        <w:shd w:fill="bfbfbf" w:val="clea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Social Science and Humanities</w:t>
      </w:r>
    </w:p>
    <w:p w:rsidR="00000000" w:rsidDel="00000000" w:rsidP="00000000" w:rsidRDefault="00000000" w:rsidRPr="00000000" w14:paraId="00000003">
      <w:pPr>
        <w:pageBreakBefore w:val="0"/>
        <w:shd w:fill="bfbfbf" w:val="clea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Mata Pelajaran Pengajian Umum</w:t>
      </w:r>
    </w:p>
    <w:p w:rsidR="00000000" w:rsidDel="00000000" w:rsidP="00000000" w:rsidRDefault="00000000" w:rsidRPr="00000000" w14:paraId="00000004">
      <w:pPr>
        <w:pageBreakBefore w:val="0"/>
        <w:shd w:fill="bfbfbf" w:val="clea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2 2020/2021 (202009)</w:t>
      </w:r>
    </w:p>
    <w:p w:rsidR="00000000" w:rsidDel="00000000" w:rsidP="00000000" w:rsidRDefault="00000000" w:rsidRPr="00000000" w14:paraId="00000005">
      <w:pPr>
        <w:pageBreakBefore w:val="0"/>
        <w:shd w:fill="bfbfbf" w:val="clea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shd w:fill="bfbfbf" w:val="clea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MPU-3123 TAMADUN ISLAM DAN ASIA</w:t>
      </w:r>
    </w:p>
    <w:p w:rsidR="00000000" w:rsidDel="00000000" w:rsidP="00000000" w:rsidRDefault="00000000" w:rsidRPr="00000000" w14:paraId="00000007">
      <w:pPr>
        <w:pageBreakBefore w:val="0"/>
        <w:shd w:fill="bfbfbf" w:val="clea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PENILAIAN 3</w:t>
      </w:r>
    </w:p>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2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5"/>
        <w:gridCol w:w="3990"/>
        <w:tblGridChange w:id="0">
          <w:tblGrid>
            <w:gridCol w:w="5295"/>
            <w:gridCol w:w="3990"/>
          </w:tblGrid>
        </w:tblGridChange>
      </w:tblGrid>
      <w:tr>
        <w:trPr>
          <w:cantSplit w:val="0"/>
          <w:tblHeader w:val="0"/>
        </w:trPr>
        <w:tc>
          <w:tcPr/>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Pelajar </w:t>
            </w:r>
            <w:r w:rsidDel="00000000" w:rsidR="00000000" w:rsidRPr="00000000">
              <w:rPr>
                <w:rFonts w:ascii="Times New Roman" w:cs="Times New Roman" w:eastAsia="Times New Roman" w:hAnsi="Times New Roman"/>
                <w:i w:val="1"/>
                <w:color w:val="bfbfbf"/>
                <w:sz w:val="16"/>
                <w:szCs w:val="16"/>
                <w:rtl w:val="0"/>
              </w:rPr>
              <w:t xml:space="preserve">(seperti dalam IC)</w:t>
            </w:r>
            <w:r w:rsidDel="00000000" w:rsidR="00000000" w:rsidRPr="00000000">
              <w:rPr>
                <w:rtl w:val="0"/>
              </w:rPr>
            </w:r>
          </w:p>
        </w:tc>
        <w:tc>
          <w:tcPr/>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Ong T’nsam</w:t>
            </w:r>
            <w:r w:rsidDel="00000000" w:rsidR="00000000" w:rsidRPr="00000000">
              <w:rPr>
                <w:rtl w:val="0"/>
              </w:rPr>
            </w:r>
          </w:p>
        </w:tc>
        <w:tc>
          <w:tcPr/>
          <w:p w:rsidR="00000000" w:rsidDel="00000000" w:rsidP="00000000" w:rsidRDefault="00000000" w:rsidRPr="00000000" w14:paraId="0000000C">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20WMR08883</w:t>
            </w: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Kong Mun Jun</w:t>
            </w:r>
            <w:r w:rsidDel="00000000" w:rsidR="00000000" w:rsidRPr="00000000">
              <w:rPr>
                <w:rtl w:val="0"/>
              </w:rPr>
            </w:r>
          </w:p>
        </w:tc>
        <w:tc>
          <w:tcPr/>
          <w:p w:rsidR="00000000" w:rsidDel="00000000" w:rsidP="00000000" w:rsidRDefault="00000000" w:rsidRPr="00000000" w14:paraId="0000000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20WMR08867</w:t>
            </w: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Lee Jun Xian</w:t>
            </w:r>
            <w:r w:rsidDel="00000000" w:rsidR="00000000" w:rsidRPr="00000000">
              <w:rPr>
                <w:rtl w:val="0"/>
              </w:rPr>
            </w:r>
          </w:p>
        </w:tc>
        <w:tc>
          <w:tcPr/>
          <w:p w:rsidR="00000000" w:rsidDel="00000000" w:rsidP="00000000" w:rsidRDefault="00000000" w:rsidRPr="00000000" w14:paraId="00000010">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20WMR08873</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Lim Yih Feng</w:t>
            </w:r>
            <w:r w:rsidDel="00000000" w:rsidR="00000000" w:rsidRPr="00000000">
              <w:rPr>
                <w:rtl w:val="0"/>
              </w:rPr>
            </w:r>
          </w:p>
        </w:tc>
        <w:tc>
          <w:tcPr/>
          <w:p w:rsidR="00000000" w:rsidDel="00000000" w:rsidP="00000000" w:rsidRDefault="00000000" w:rsidRPr="00000000" w14:paraId="00000012">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20WMR08880</w:t>
            </w:r>
            <w:r w:rsidDel="00000000" w:rsidR="00000000" w:rsidRPr="00000000">
              <w:rPr>
                <w:rtl w:val="0"/>
              </w:rPr>
            </w:r>
          </w:p>
        </w:tc>
      </w:tr>
      <w:tr>
        <w:trPr>
          <w:cantSplit w:val="0"/>
          <w:tblHeader w:val="0"/>
        </w:trPr>
        <w:tc>
          <w:tcPr/>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14">
            <w:pPr>
              <w:pageBreakBefore w:val="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16">
            <w:pPr>
              <w:pageBreakBefore w:val="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dan kumpulan tutorial </w:t>
      </w:r>
      <w:r w:rsidDel="00000000" w:rsidR="00000000" w:rsidRPr="00000000">
        <w:rPr>
          <w:rFonts w:ascii="Times New Roman" w:cs="Times New Roman" w:eastAsia="Times New Roman" w:hAnsi="Times New Roman"/>
          <w:i w:val="1"/>
          <w:color w:val="bfbfbf"/>
          <w:sz w:val="16"/>
          <w:szCs w:val="16"/>
          <w:rtl w:val="0"/>
        </w:rPr>
        <w:t xml:space="preserve">(cth: RAC1 Sem 1, Group 1)</w:t>
      </w:r>
      <w:r w:rsidDel="00000000" w:rsidR="00000000" w:rsidRPr="00000000">
        <w:rPr>
          <w:rFonts w:ascii="Times New Roman" w:cs="Times New Roman" w:eastAsia="Times New Roman" w:hAnsi="Times New Roman"/>
          <w:b w:val="1"/>
          <w:sz w:val="24"/>
          <w:szCs w:val="24"/>
          <w:rtl w:val="0"/>
        </w:rPr>
        <w:t xml:space="preserve">: RDS3S2G3</w:t>
      </w:r>
    </w:p>
    <w:p w:rsidR="00000000" w:rsidDel="00000000" w:rsidP="00000000" w:rsidRDefault="00000000" w:rsidRPr="00000000" w14:paraId="00000019">
      <w:pPr>
        <w:pageBreakBefore w:val="0"/>
        <w:spacing w:after="0" w:line="240" w:lineRule="auto"/>
        <w:jc w:val="both"/>
        <w:rPr>
          <w:rFonts w:ascii="Times New Roman" w:cs="Times New Roman" w:eastAsia="Times New Roman" w:hAnsi="Times New Roman"/>
          <w:color w:val="bfbfbf"/>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14:paraId="0000001A">
      <w:pPr>
        <w:pageBreakBefore w:val="0"/>
        <w:shd w:fill="bfbfb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Arahan kepada calon:</w:t>
      </w:r>
    </w:p>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Pelajar perlu menjawab secara berkumpulan. Ketua perlu mengagihkan bahagian yang perlu diselesaikan oleh setiap ahli. (Klik "Share" pada </w:t>
      </w:r>
      <w:r w:rsidDel="00000000" w:rsidR="00000000" w:rsidRPr="00000000">
        <w:rPr>
          <w:rFonts w:ascii="Times New Roman" w:cs="Times New Roman" w:eastAsia="Times New Roman" w:hAnsi="Times New Roman"/>
          <w:i w:val="1"/>
          <w:color w:val="000000"/>
          <w:sz w:val="24"/>
          <w:szCs w:val="24"/>
          <w:rtl w:val="0"/>
        </w:rPr>
        <w:t xml:space="preserve">Google Doc</w:t>
      </w:r>
      <w:r w:rsidDel="00000000" w:rsidR="00000000" w:rsidRPr="00000000">
        <w:rPr>
          <w:rFonts w:ascii="Times New Roman" w:cs="Times New Roman" w:eastAsia="Times New Roman" w:hAnsi="Times New Roman"/>
          <w:color w:val="000000"/>
          <w:sz w:val="24"/>
          <w:szCs w:val="24"/>
          <w:rtl w:val="0"/>
        </w:rPr>
        <w:t xml:space="preserve"> ini dan kongsikan (</w:t>
      </w:r>
      <w:r w:rsidDel="00000000" w:rsidR="00000000" w:rsidRPr="00000000">
        <w:rPr>
          <w:rFonts w:ascii="Times New Roman" w:cs="Times New Roman" w:eastAsia="Times New Roman" w:hAnsi="Times New Roman"/>
          <w:i w:val="1"/>
          <w:color w:val="000000"/>
          <w:sz w:val="24"/>
          <w:szCs w:val="24"/>
          <w:rtl w:val="0"/>
        </w:rPr>
        <w:t xml:space="preserve">invite as editor</w:t>
      </w:r>
      <w:r w:rsidDel="00000000" w:rsidR="00000000" w:rsidRPr="00000000">
        <w:rPr>
          <w:rFonts w:ascii="Times New Roman" w:cs="Times New Roman" w:eastAsia="Times New Roman" w:hAnsi="Times New Roman"/>
          <w:color w:val="000000"/>
          <w:sz w:val="24"/>
          <w:szCs w:val="24"/>
          <w:rtl w:val="0"/>
        </w:rPr>
        <w:t xml:space="preserve">) dengan ahli kumpulan.</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Masa: </w:t>
      </w:r>
      <w:r w:rsidDel="00000000" w:rsidR="00000000" w:rsidRPr="00000000">
        <w:rPr>
          <w:rFonts w:ascii="Times New Roman" w:cs="Times New Roman" w:eastAsia="Times New Roman" w:hAnsi="Times New Roman"/>
          <w:sz w:val="24"/>
          <w:szCs w:val="24"/>
          <w:rtl w:val="0"/>
        </w:rPr>
        <w:t xml:space="preserve">1 jam (kelewatan dalam penghantaran akan menjejaskan markah)</w:t>
      </w:r>
      <w:r w:rsidDel="00000000" w:rsidR="00000000" w:rsidRPr="00000000">
        <w:rPr>
          <w:rtl w:val="0"/>
        </w:rPr>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Pelajar perlu memberi </w:t>
      </w:r>
      <w:r w:rsidDel="00000000" w:rsidR="00000000" w:rsidRPr="00000000">
        <w:rPr>
          <w:rFonts w:ascii="Times New Roman" w:cs="Times New Roman" w:eastAsia="Times New Roman" w:hAnsi="Times New Roman"/>
          <w:b w:val="1"/>
          <w:sz w:val="24"/>
          <w:szCs w:val="24"/>
          <w:rtl w:val="0"/>
        </w:rPr>
        <w:t xml:space="preserve">5 isi berserta 1 huraian setiap satu yang ditulis dalam bentuk esei 5 perenggan</w:t>
      </w:r>
      <w:r w:rsidDel="00000000" w:rsidR="00000000" w:rsidRPr="00000000">
        <w:rPr>
          <w:rFonts w:ascii="Times New Roman" w:cs="Times New Roman" w:eastAsia="Times New Roman" w:hAnsi="Times New Roman"/>
          <w:sz w:val="24"/>
          <w:szCs w:val="24"/>
          <w:rtl w:val="0"/>
        </w:rPr>
        <w:t xml:space="preserve">. (1 perenggan mengandungi 1 isi dan 1 huraian)</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Pelajar dilarang merujuk mana-mana sumber dan hasil tugasan mestilah tidak mengandungi unsur plagiarisme.</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Setelah selesai menjawab, ketua kumpulan klik </w:t>
      </w:r>
      <w:r w:rsidDel="00000000" w:rsidR="00000000" w:rsidRPr="00000000">
        <w:rPr>
          <w:rFonts w:ascii="Times New Roman" w:cs="Times New Roman" w:eastAsia="Times New Roman" w:hAnsi="Times New Roman"/>
          <w:b w:val="1"/>
          <w:color w:val="000000"/>
          <w:sz w:val="24"/>
          <w:szCs w:val="24"/>
          <w:rtl w:val="0"/>
        </w:rPr>
        <w:t xml:space="preserve">“Turn in”.</w:t>
      </w:r>
      <w:r w:rsidDel="00000000" w:rsidR="00000000" w:rsidRPr="00000000">
        <w:rPr>
          <w:rFonts w:ascii="Times New Roman" w:cs="Times New Roman" w:eastAsia="Times New Roman" w:hAnsi="Times New Roman"/>
          <w:color w:val="000000"/>
          <w:sz w:val="24"/>
          <w:szCs w:val="24"/>
          <w:rtl w:val="0"/>
        </w:rPr>
        <w:t xml:space="preserve"> (pastikan jawapan telah dilampirkan)</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sz w:val="24"/>
          <w:szCs w:val="24"/>
        </w:rPr>
      </w:pPr>
      <w:r w:rsidDel="00000000" w:rsidR="00000000" w:rsidRPr="00000000">
        <w:rPr>
          <w:rFonts w:ascii="Times New Roman" w:cs="Times New Roman" w:eastAsia="Times New Roman" w:hAnsi="Times New Roman"/>
          <w:sz w:val="24"/>
          <w:szCs w:val="24"/>
          <w:rtl w:val="0"/>
        </w:rPr>
        <w:t xml:space="preserve">Pelajar </w:t>
      </w:r>
      <w:r w:rsidDel="00000000" w:rsidR="00000000" w:rsidRPr="00000000">
        <w:rPr>
          <w:rFonts w:ascii="Times New Roman" w:cs="Times New Roman" w:eastAsia="Times New Roman" w:hAnsi="Times New Roman"/>
          <w:b w:val="1"/>
          <w:sz w:val="24"/>
          <w:szCs w:val="24"/>
          <w:rtl w:val="0"/>
        </w:rPr>
        <w:t xml:space="preserve">dilarang</w:t>
      </w:r>
      <w:r w:rsidDel="00000000" w:rsidR="00000000" w:rsidRPr="00000000">
        <w:rPr>
          <w:rFonts w:ascii="Times New Roman" w:cs="Times New Roman" w:eastAsia="Times New Roman" w:hAnsi="Times New Roman"/>
          <w:sz w:val="24"/>
          <w:szCs w:val="24"/>
          <w:rtl w:val="0"/>
        </w:rPr>
        <w:t xml:space="preserve"> menghantar semula jawapan atau </w:t>
      </w:r>
      <w:r w:rsidDel="00000000" w:rsidR="00000000" w:rsidRPr="00000000">
        <w:rPr>
          <w:rFonts w:ascii="Times New Roman" w:cs="Times New Roman" w:eastAsia="Times New Roman" w:hAnsi="Times New Roman"/>
          <w:b w:val="1"/>
          <w:sz w:val="24"/>
          <w:szCs w:val="24"/>
          <w:rtl w:val="0"/>
        </w:rPr>
        <w:t xml:space="preserve">“resubmit” </w:t>
      </w:r>
      <w:r w:rsidDel="00000000" w:rsidR="00000000" w:rsidRPr="00000000">
        <w:rPr>
          <w:rFonts w:ascii="Times New Roman" w:cs="Times New Roman" w:eastAsia="Times New Roman" w:hAnsi="Times New Roman"/>
          <w:sz w:val="24"/>
          <w:szCs w:val="24"/>
          <w:rtl w:val="0"/>
        </w:rPr>
        <w:t xml:space="preserve"> setelah klik “ Turn in”.</w:t>
      </w:r>
      <w:r w:rsidDel="00000000" w:rsidR="00000000" w:rsidRPr="00000000">
        <w:rPr>
          <w:rtl w:val="0"/>
        </w:rPr>
      </w:r>
    </w:p>
    <w:p w:rsidR="00000000" w:rsidDel="00000000" w:rsidP="00000000" w:rsidRDefault="00000000" w:rsidRPr="00000000" w14:paraId="00000022">
      <w:pPr>
        <w:pageBreakBefore w:val="0"/>
        <w:spacing w:after="0" w:line="240" w:lineRule="auto"/>
        <w:jc w:val="both"/>
        <w:rPr>
          <w:rFonts w:ascii="Times New Roman" w:cs="Times New Roman" w:eastAsia="Times New Roman" w:hAnsi="Times New Roman"/>
          <w:color w:val="bfbfbf"/>
          <w:sz w:val="24"/>
          <w:szCs w:val="24"/>
        </w:rPr>
      </w:pPr>
      <w:r w:rsidDel="00000000" w:rsidR="00000000" w:rsidRPr="00000000">
        <w:rPr>
          <w:rtl w:val="0"/>
        </w:rPr>
      </w:r>
    </w:p>
    <w:p w:rsidR="00000000" w:rsidDel="00000000" w:rsidP="00000000" w:rsidRDefault="00000000" w:rsidRPr="00000000" w14:paraId="00000023">
      <w:pPr>
        <w:pageBreakBefore w:val="0"/>
        <w:shd w:fill="bfbfb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Pemarkahan:</w:t>
      </w:r>
    </w:p>
    <w:p w:rsidR="00000000" w:rsidDel="00000000" w:rsidP="00000000" w:rsidRDefault="00000000" w:rsidRPr="00000000" w14:paraId="0000002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Satu isi yang tepat diberi 2 markah dan huraiannya 2 markah. Manakala gaya diberi 5 markah.</w:t>
      </w:r>
    </w:p>
    <w:p w:rsidR="00000000" w:rsidDel="00000000" w:rsidP="00000000" w:rsidRDefault="00000000" w:rsidRPr="00000000" w14:paraId="0000002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4875.0" w:type="dxa"/>
        <w:jc w:val="left"/>
        <w:tblInd w:w="2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390"/>
        <w:tblGridChange w:id="0">
          <w:tblGrid>
            <w:gridCol w:w="1485"/>
            <w:gridCol w:w="3390"/>
          </w:tblGrid>
        </w:tblGridChange>
      </w:tblGrid>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w:t>
            </w:r>
          </w:p>
        </w:tc>
        <w:tc>
          <w:tcPr>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14/20</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Gaya</w:t>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w:t>
            </w:r>
          </w:p>
        </w:tc>
      </w:tr>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tcMar>
              <w:top w:w="100.0" w:type="dxa"/>
              <w:left w:w="100.0" w:type="dxa"/>
              <w:bottom w:w="100.0" w:type="dxa"/>
              <w:right w:w="100.0" w:type="dxa"/>
            </w:tcMar>
          </w:tcPr>
          <w:p w:rsidR="00000000" w:rsidDel="00000000" w:rsidP="00000000" w:rsidRDefault="00000000" w:rsidRPr="00000000" w14:paraId="0000002C">
            <w:pPr>
              <w:pageBreakBefore w:val="0"/>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17/25 X 100 : </w:t>
            </w:r>
          </w:p>
        </w:tc>
      </w:tr>
    </w:tbl>
    <w:p w:rsidR="00000000" w:rsidDel="00000000" w:rsidP="00000000" w:rsidRDefault="00000000" w:rsidRPr="00000000" w14:paraId="0000002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line="240" w:lineRule="auto"/>
        <w:jc w:val="both"/>
        <w:rPr>
          <w:rFonts w:ascii="Times New Roman" w:cs="Times New Roman" w:eastAsia="Times New Roman" w:hAnsi="Times New Roman"/>
          <w:sz w:val="24"/>
          <w:szCs w:val="24"/>
        </w:rPr>
        <w:sectPr>
          <w:pgSz w:h="16838" w:w="11906" w:orient="portrait"/>
          <w:pgMar w:bottom="735" w:top="630" w:left="1440" w:right="1110" w:header="709" w:footer="709"/>
          <w:pgNumType w:start="1"/>
        </w:sectPr>
      </w:pPr>
      <w:r w:rsidDel="00000000" w:rsidR="00000000" w:rsidRPr="00000000">
        <w:rPr>
          <w:rtl w:val="0"/>
        </w:rPr>
      </w:r>
    </w:p>
    <w:p w:rsidR="00000000" w:rsidDel="00000000" w:rsidP="00000000" w:rsidRDefault="00000000" w:rsidRPr="00000000" w14:paraId="0000003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hd w:fill="bfbfb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Soalan: (Jawab SATU soalan sahaja)</w:t>
      </w:r>
    </w:p>
    <w:p w:rsidR="00000000" w:rsidDel="00000000" w:rsidP="00000000" w:rsidRDefault="00000000" w:rsidRPr="00000000" w14:paraId="0000003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w:t>
      </w:r>
      <w:r w:rsidDel="00000000" w:rsidR="00000000" w:rsidRPr="00000000">
        <w:rPr>
          <w:rFonts w:ascii="Times New Roman" w:cs="Times New Roman" w:eastAsia="Times New Roman" w:hAnsi="Times New Roman"/>
          <w:b w:val="1"/>
          <w:sz w:val="24"/>
          <w:szCs w:val="24"/>
          <w:u w:val="single"/>
          <w:rtl w:val="0"/>
        </w:rPr>
        <w:t xml:space="preserve"> 1</w:t>
      </w:r>
    </w:p>
    <w:p w:rsidR="00000000" w:rsidDel="00000000" w:rsidP="00000000" w:rsidRDefault="00000000" w:rsidRPr="00000000" w14:paraId="0000003A">
      <w:pPr>
        <w:spacing w:after="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Salah satu </w:t>
      </w:r>
      <w:r w:rsidDel="00000000" w:rsidR="00000000" w:rsidRPr="00000000">
        <w:rPr>
          <w:rFonts w:ascii="Times New Roman" w:cs="Times New Roman" w:eastAsia="Times New Roman" w:hAnsi="Times New Roman"/>
          <w:sz w:val="24"/>
          <w:szCs w:val="24"/>
          <w:rtl w:val="0"/>
        </w:rPr>
        <w:t xml:space="preserve">tanggungjawab</w:t>
      </w:r>
      <w:r w:rsidDel="00000000" w:rsidR="00000000" w:rsidRPr="00000000">
        <w:rPr>
          <w:rFonts w:ascii="Times New Roman" w:cs="Times New Roman" w:eastAsia="Times New Roman" w:hAnsi="Times New Roman"/>
          <w:sz w:val="24"/>
          <w:szCs w:val="24"/>
          <w:rtl w:val="0"/>
        </w:rPr>
        <w:t xml:space="preserve"> manusia dalam konsep kemanusiaan  Tamadun Islam adalah berkaitan dengan </w:t>
      </w:r>
      <w:r w:rsidDel="00000000" w:rsidR="00000000" w:rsidRPr="00000000">
        <w:rPr>
          <w:rFonts w:ascii="Times New Roman" w:cs="Times New Roman" w:eastAsia="Times New Roman" w:hAnsi="Times New Roman"/>
          <w:sz w:val="24"/>
          <w:szCs w:val="24"/>
          <w:rtl w:val="0"/>
        </w:rPr>
        <w:t xml:space="preserve">tanggungjawab</w:t>
      </w:r>
      <w:r w:rsidDel="00000000" w:rsidR="00000000" w:rsidRPr="00000000">
        <w:rPr>
          <w:rFonts w:ascii="Times New Roman" w:cs="Times New Roman" w:eastAsia="Times New Roman" w:hAnsi="Times New Roman"/>
          <w:sz w:val="24"/>
          <w:szCs w:val="24"/>
          <w:rtl w:val="0"/>
        </w:rPr>
        <w:t xml:space="preserve"> sesama manusia. Jelaskan </w:t>
      </w:r>
      <w:r w:rsidDel="00000000" w:rsidR="00000000" w:rsidRPr="00000000">
        <w:rPr>
          <w:rFonts w:ascii="Times New Roman" w:cs="Times New Roman" w:eastAsia="Times New Roman" w:hAnsi="Times New Roman"/>
          <w:b w:val="1"/>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kepentingan </w:t>
      </w:r>
      <w:r w:rsidDel="00000000" w:rsidR="00000000" w:rsidRPr="00000000">
        <w:rPr>
          <w:rFonts w:ascii="Times New Roman" w:cs="Times New Roman" w:eastAsia="Times New Roman" w:hAnsi="Times New Roman"/>
          <w:sz w:val="24"/>
          <w:szCs w:val="24"/>
          <w:rtl w:val="0"/>
        </w:rPr>
        <w:t xml:space="preserve">tanggungjawab</w:t>
      </w:r>
      <w:r w:rsidDel="00000000" w:rsidR="00000000" w:rsidRPr="00000000">
        <w:rPr>
          <w:rFonts w:ascii="Times New Roman" w:cs="Times New Roman" w:eastAsia="Times New Roman" w:hAnsi="Times New Roman"/>
          <w:sz w:val="24"/>
          <w:szCs w:val="24"/>
          <w:rtl w:val="0"/>
        </w:rPr>
        <w:t xml:space="preserve"> sesama manusia dalam kehidupan bermasyarakat.</w:t>
      </w:r>
      <w:r w:rsidDel="00000000" w:rsidR="00000000" w:rsidRPr="00000000">
        <w:rPr>
          <w:rFonts w:ascii="Times New Roman" w:cs="Times New Roman" w:eastAsia="Times New Roman" w:hAnsi="Times New Roman"/>
          <w:b w:val="1"/>
          <w:sz w:val="24"/>
          <w:szCs w:val="24"/>
          <w:rtl w:val="0"/>
        </w:rPr>
        <w:t xml:space="preserve"> </w:t>
        <w:tab/>
        <w:tab/>
        <w:tab/>
        <w:tab/>
        <w:t xml:space="preserve">  </w:t>
      </w:r>
    </w:p>
    <w:p w:rsidR="00000000" w:rsidDel="00000000" w:rsidP="00000000" w:rsidRDefault="00000000" w:rsidRPr="00000000" w14:paraId="0000003B">
      <w:pPr>
        <w:spacing w:after="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rtl w:val="0"/>
        </w:rPr>
        <w:t xml:space="preserve">Markah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C">
      <w:pPr>
        <w:spacing w:after="0" w:before="10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after="0" w:before="1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Soalan</w:t>
      </w:r>
      <w:r w:rsidDel="00000000" w:rsidR="00000000" w:rsidRPr="00000000">
        <w:rPr>
          <w:rFonts w:ascii="Times New Roman" w:cs="Times New Roman" w:eastAsia="Times New Roman" w:hAnsi="Times New Roman"/>
          <w:b w:val="1"/>
          <w:sz w:val="24"/>
          <w:szCs w:val="24"/>
          <w:u w:val="single"/>
          <w:rtl w:val="0"/>
        </w:rPr>
        <w:t xml:space="preserve"> 2</w:t>
      </w:r>
    </w:p>
    <w:p w:rsidR="00000000" w:rsidDel="00000000" w:rsidP="00000000" w:rsidRDefault="00000000" w:rsidRPr="00000000" w14:paraId="0000003E">
      <w:pPr>
        <w:spacing w:after="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Penguasaan teknologi pertanian merupakan asas kepada pembentukan Tamadun Melayu sehingga mampu membina sebuah kerajaan yang maju pada zaman kegemilangannya. Bincangkan </w:t>
      </w:r>
      <w:r w:rsidDel="00000000" w:rsidR="00000000" w:rsidRPr="00000000">
        <w:rPr>
          <w:rFonts w:ascii="Times New Roman" w:cs="Times New Roman" w:eastAsia="Times New Roman" w:hAnsi="Times New Roman"/>
          <w:b w:val="1"/>
          <w:sz w:val="24"/>
          <w:szCs w:val="24"/>
          <w:rtl w:val="0"/>
        </w:rPr>
        <w:t xml:space="preserve">LIMA</w:t>
      </w:r>
      <w:r w:rsidDel="00000000" w:rsidR="00000000" w:rsidRPr="00000000">
        <w:rPr>
          <w:rFonts w:ascii="Times New Roman" w:cs="Times New Roman" w:eastAsia="Times New Roman" w:hAnsi="Times New Roman"/>
          <w:sz w:val="24"/>
          <w:szCs w:val="24"/>
          <w:rtl w:val="0"/>
        </w:rPr>
        <w:t xml:space="preserve"> kebaikan aktiviti pertanian terhadap sesebuah negara.  </w:t>
      </w:r>
    </w:p>
    <w:p w:rsidR="00000000" w:rsidDel="00000000" w:rsidP="00000000" w:rsidRDefault="00000000" w:rsidRPr="00000000" w14:paraId="0000003F">
      <w:pPr>
        <w:spacing w:after="0" w:before="100" w:line="240" w:lineRule="auto"/>
        <w:ind w:left="72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(25 </w:t>
      </w:r>
      <w:r w:rsidDel="00000000" w:rsidR="00000000" w:rsidRPr="00000000">
        <w:rPr>
          <w:rFonts w:ascii="Times New Roman" w:cs="Times New Roman" w:eastAsia="Times New Roman" w:hAnsi="Times New Roman"/>
          <w:b w:val="1"/>
          <w:sz w:val="24"/>
          <w:szCs w:val="24"/>
          <w:rtl w:val="0"/>
        </w:rPr>
        <w:t xml:space="preserve">Markah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0">
      <w:pPr>
        <w:spacing w:after="0" w:before="10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pageBreakBefore w:val="0"/>
        <w:spacing w:after="0" w:line="240" w:lineRule="auto"/>
        <w:jc w:val="both"/>
        <w:rPr>
          <w:rFonts w:ascii="Times New Roman" w:cs="Times New Roman" w:eastAsia="Times New Roman" w:hAnsi="Times New Roman"/>
          <w:sz w:val="24"/>
          <w:szCs w:val="24"/>
        </w:rPr>
        <w:sectPr>
          <w:type w:val="nextPage"/>
          <w:pgSz w:h="16838" w:w="11906" w:orient="portrait"/>
          <w:pgMar w:bottom="735" w:top="630" w:left="1440" w:right="1110" w:header="709" w:footer="709"/>
        </w:sectPr>
      </w:pPr>
      <w:r w:rsidDel="00000000" w:rsidR="00000000" w:rsidRPr="00000000">
        <w:rPr>
          <w:rtl w:val="0"/>
        </w:rPr>
      </w:r>
    </w:p>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Soalan yang dipilih: 2</w:t>
      </w:r>
    </w:p>
    <w:p w:rsidR="00000000" w:rsidDel="00000000" w:rsidP="00000000" w:rsidRDefault="00000000" w:rsidRPr="00000000" w14:paraId="00000044">
      <w:pPr>
        <w:pageBreakBefore w:val="0"/>
        <w:shd w:fill="bfbfbf" w:val="clea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JAWAPAN:</w:t>
      </w:r>
    </w:p>
    <w:p w:rsidR="00000000" w:rsidDel="00000000" w:rsidP="00000000" w:rsidRDefault="00000000" w:rsidRPr="00000000" w14:paraId="00000045">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salah satu kebaikan aktiviti pertanian kepada negara ialah </w:t>
      </w:r>
      <w:r w:rsidDel="00000000" w:rsidR="00000000" w:rsidRPr="00000000">
        <w:rPr>
          <w:rFonts w:ascii="Times New Roman" w:cs="Times New Roman" w:eastAsia="Times New Roman" w:hAnsi="Times New Roman"/>
          <w:b w:val="1"/>
          <w:sz w:val="24"/>
          <w:szCs w:val="24"/>
          <w:rtl w:val="0"/>
        </w:rPr>
        <w:t xml:space="preserve">mewujudkan </w:t>
      </w:r>
      <w:r w:rsidDel="00000000" w:rsidR="00000000" w:rsidRPr="00000000">
        <w:rPr>
          <w:rFonts w:ascii="Times New Roman" w:cs="Times New Roman" w:eastAsia="Times New Roman" w:hAnsi="Times New Roman"/>
          <w:b w:val="1"/>
          <w:sz w:val="24"/>
          <w:szCs w:val="24"/>
          <w:rtl w:val="0"/>
        </w:rPr>
        <w:t xml:space="preserve">keberdikarian</w:t>
      </w:r>
      <w:r w:rsidDel="00000000" w:rsidR="00000000" w:rsidRPr="00000000">
        <w:rPr>
          <w:rFonts w:ascii="Times New Roman" w:cs="Times New Roman" w:eastAsia="Times New Roman" w:hAnsi="Times New Roman"/>
          <w:b w:val="1"/>
          <w:sz w:val="24"/>
          <w:szCs w:val="24"/>
          <w:rtl w:val="0"/>
        </w:rPr>
        <w:t xml:space="preserve"> bekalan makanan negara</w:t>
      </w:r>
      <w:r w:rsidDel="00000000" w:rsidR="00000000" w:rsidRPr="00000000">
        <w:rPr>
          <w:rFonts w:ascii="Times New Roman" w:cs="Times New Roman" w:eastAsia="Times New Roman" w:hAnsi="Times New Roman"/>
          <w:sz w:val="24"/>
          <w:szCs w:val="24"/>
          <w:rtl w:val="0"/>
        </w:rPr>
        <w:t xml:space="preserve">. (1m) Hal ini dikatakan demikian kerana keberdikarian bekalan makanan membolehkan negara tidak bergantung kepada bekalan makanan daripada negara lain dengan mempunyai sumber bekalan makanan sendiri melalui aktiviti pertanian. (1m) </w:t>
      </w:r>
    </w:p>
    <w:p w:rsidR="00000000" w:rsidDel="00000000" w:rsidP="00000000" w:rsidRDefault="00000000" w:rsidRPr="00000000" w14:paraId="00000046">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kebaikan aktiviti pertanian kepada negara termasuk </w:t>
      </w:r>
      <w:r w:rsidDel="00000000" w:rsidR="00000000" w:rsidRPr="00000000">
        <w:rPr>
          <w:rFonts w:ascii="Times New Roman" w:cs="Times New Roman" w:eastAsia="Times New Roman" w:hAnsi="Times New Roman"/>
          <w:b w:val="1"/>
          <w:sz w:val="24"/>
          <w:szCs w:val="24"/>
          <w:rtl w:val="0"/>
        </w:rPr>
        <w:t xml:space="preserve">meningkatkan pendapatan negara</w:t>
      </w:r>
      <w:r w:rsidDel="00000000" w:rsidR="00000000" w:rsidRPr="00000000">
        <w:rPr>
          <w:rFonts w:ascii="Times New Roman" w:cs="Times New Roman" w:eastAsia="Times New Roman" w:hAnsi="Times New Roman"/>
          <w:sz w:val="24"/>
          <w:szCs w:val="24"/>
          <w:rtl w:val="0"/>
        </w:rPr>
        <w:t xml:space="preserve">. (1m) Peningkatan aktiviti pertanian bukan sahaja dapat membekalkan sumber pertanian yang cukup bagi permintaan domestik, tetapi ia juga membolehkan negara untuk mengeksportkan hasil pertanian ke luar negara untuk pasaran antarabangsa bagi meningkatkan pendapatan eksport negara.  (2m)</w:t>
      </w:r>
    </w:p>
    <w:p w:rsidR="00000000" w:rsidDel="00000000" w:rsidP="00000000" w:rsidRDefault="00000000" w:rsidRPr="00000000" w14:paraId="00000048">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Seterusnya, kebaikan ketiga dalam aktiviti pertanian kepada negara ialah </w:t>
      </w:r>
      <w:r w:rsidDel="00000000" w:rsidR="00000000" w:rsidRPr="00000000">
        <w:rPr>
          <w:rFonts w:ascii="Times New Roman" w:cs="Times New Roman" w:eastAsia="Times New Roman" w:hAnsi="Times New Roman"/>
          <w:b w:val="1"/>
          <w:sz w:val="24"/>
          <w:szCs w:val="24"/>
          <w:rtl w:val="0"/>
        </w:rPr>
        <w:t xml:space="preserve">ekologi alam sekitar dapat dipelihara</w:t>
      </w:r>
      <w:r w:rsidDel="00000000" w:rsidR="00000000" w:rsidRPr="00000000">
        <w:rPr>
          <w:rFonts w:ascii="Times New Roman" w:cs="Times New Roman" w:eastAsia="Times New Roman" w:hAnsi="Times New Roman"/>
          <w:sz w:val="24"/>
          <w:szCs w:val="24"/>
          <w:rtl w:val="0"/>
        </w:rPr>
        <w:t xml:space="preserve">. (1m)  Hal ini dikatakan demikian kerana aktiviti pertanian dapat memelihara alam sekitar dan </w:t>
      </w:r>
      <w:r w:rsidDel="00000000" w:rsidR="00000000" w:rsidRPr="00000000">
        <w:rPr>
          <w:rFonts w:ascii="Times New Roman" w:cs="Times New Roman" w:eastAsia="Times New Roman" w:hAnsi="Times New Roman"/>
          <w:sz w:val="24"/>
          <w:szCs w:val="24"/>
          <w:rtl w:val="0"/>
        </w:rPr>
        <w:t xml:space="preserve">menyembuhkan</w:t>
      </w:r>
      <w:r w:rsidDel="00000000" w:rsidR="00000000" w:rsidRPr="00000000">
        <w:rPr>
          <w:rFonts w:ascii="Times New Roman" w:cs="Times New Roman" w:eastAsia="Times New Roman" w:hAnsi="Times New Roman"/>
          <w:sz w:val="24"/>
          <w:szCs w:val="24"/>
          <w:rtl w:val="0"/>
        </w:rPr>
        <w:t xml:space="preserve"> negara kita daripada pencemaran-pencemaran dari pembangunan dan perindustrian.(1m)</w:t>
      </w:r>
    </w:p>
    <w:p w:rsidR="00000000" w:rsidDel="00000000" w:rsidP="00000000" w:rsidRDefault="00000000" w:rsidRPr="00000000" w14:paraId="0000004A">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kebaikan yang keempat adalah </w:t>
      </w:r>
      <w:r w:rsidDel="00000000" w:rsidR="00000000" w:rsidRPr="00000000">
        <w:rPr>
          <w:rFonts w:ascii="Times New Roman" w:cs="Times New Roman" w:eastAsia="Times New Roman" w:hAnsi="Times New Roman"/>
          <w:b w:val="1"/>
          <w:sz w:val="24"/>
          <w:szCs w:val="24"/>
          <w:rtl w:val="0"/>
        </w:rPr>
        <w:t xml:space="preserve">memanfaatkan sumber yang dimiliki oleh negara</w:t>
      </w:r>
      <w:r w:rsidDel="00000000" w:rsidR="00000000" w:rsidRPr="00000000">
        <w:rPr>
          <w:rFonts w:ascii="Times New Roman" w:cs="Times New Roman" w:eastAsia="Times New Roman" w:hAnsi="Times New Roman"/>
          <w:sz w:val="24"/>
          <w:szCs w:val="24"/>
          <w:rtl w:val="0"/>
        </w:rPr>
        <w:t xml:space="preserve">. (1m) Mujurlah malaysia mempunyai sumber terbaik untuk memupuk industri pertanian kerana cuaca Malaysia adalah cuaca yang tersesuai untuk kebanyakan aktiviti pertanian seperti pertumbuhan tanaman, menternak ternakan dan sebagainya.(2m)</w:t>
      </w:r>
    </w:p>
    <w:p w:rsidR="00000000" w:rsidDel="00000000" w:rsidP="00000000" w:rsidRDefault="00000000" w:rsidRPr="00000000" w14:paraId="0000004C">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276" w:lineRule="auto"/>
        <w:jc w:val="both"/>
        <w:rPr>
          <w:rFonts w:ascii="Times New Roman" w:cs="Times New Roman" w:eastAsia="Times New Roman" w:hAnsi="Times New Roman"/>
          <w:sz w:val="24"/>
          <w:szCs w:val="24"/>
        </w:rPr>
        <w:sectPr>
          <w:type w:val="nextPage"/>
          <w:pgSz w:h="16838" w:w="11906" w:orient="portrait"/>
          <w:pgMar w:bottom="735" w:top="630" w:left="1440" w:right="1110" w:header="709" w:footer="709"/>
        </w:sectPr>
      </w:pPr>
      <w:r w:rsidDel="00000000" w:rsidR="00000000" w:rsidRPr="00000000">
        <w:rPr>
          <w:rFonts w:ascii="Times New Roman" w:cs="Times New Roman" w:eastAsia="Times New Roman" w:hAnsi="Times New Roman"/>
          <w:sz w:val="24"/>
          <w:szCs w:val="24"/>
          <w:rtl w:val="0"/>
        </w:rPr>
        <w:t xml:space="preserve">Akhir sekali, kebaikan yang terakhir ialah</w:t>
      </w:r>
      <w:r w:rsidDel="00000000" w:rsidR="00000000" w:rsidRPr="00000000">
        <w:rPr>
          <w:rFonts w:ascii="Times New Roman" w:cs="Times New Roman" w:eastAsia="Times New Roman" w:hAnsi="Times New Roman"/>
          <w:b w:val="1"/>
          <w:sz w:val="24"/>
          <w:szCs w:val="24"/>
          <w:rtl w:val="0"/>
        </w:rPr>
        <w:t xml:space="preserve"> meningkatkan pendapatan pengusaha pertanian </w:t>
      </w:r>
      <w:r w:rsidDel="00000000" w:rsidR="00000000" w:rsidRPr="00000000">
        <w:rPr>
          <w:rFonts w:ascii="Times New Roman" w:cs="Times New Roman" w:eastAsia="Times New Roman" w:hAnsi="Times New Roman"/>
          <w:sz w:val="24"/>
          <w:szCs w:val="24"/>
          <w:rtl w:val="0"/>
        </w:rPr>
        <w:t xml:space="preserve">seperti petani. (2m) Hal ini disebabkan oleh pengusaha pertanian boleh menjadikan kawasan pertanian sebagai tumpuan pelancong asing seperti Cameron Highlands bagi menarik ramai pelancong melancong ke kawasan pertanian dan hal ini dapat meningkatkan pendapatan pengusaha pertanian.(2m)</w:t>
      </w:r>
    </w:p>
    <w:p w:rsidR="00000000" w:rsidDel="00000000" w:rsidP="00000000" w:rsidRDefault="00000000" w:rsidRPr="00000000" w14:paraId="0000004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6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4200"/>
        <w:tblGridChange w:id="0">
          <w:tblGrid>
            <w:gridCol w:w="2445"/>
            <w:gridCol w:w="4200"/>
          </w:tblGrid>
        </w:tblGridChange>
      </w:tblGrid>
      <w:tr>
        <w:trPr>
          <w:cantSplit w:val="0"/>
          <w:trHeight w:val="267" w:hRule="atLeast"/>
          <w:tblHeader w:val="0"/>
        </w:trPr>
        <w:tc>
          <w:tcPr>
            <w:gridSpan w:val="2"/>
            <w:shd w:fill="auto" w:val="clear"/>
          </w:tcPr>
          <w:p w:rsidR="00000000" w:rsidDel="00000000" w:rsidP="00000000" w:rsidRDefault="00000000" w:rsidRPr="00000000" w14:paraId="00000050">
            <w:pPr>
              <w:pageBreakBefore w:val="0"/>
              <w:ind w:right="-3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Reviewer use only:</w:t>
            </w:r>
            <w:r w:rsidDel="00000000" w:rsidR="00000000" w:rsidRPr="00000000">
              <w:rPr>
                <w:rtl w:val="0"/>
              </w:rPr>
            </w:r>
          </w:p>
        </w:tc>
      </w:tr>
      <w:tr>
        <w:trPr>
          <w:cantSplit w:val="0"/>
          <w:trHeight w:val="267" w:hRule="atLeast"/>
          <w:tblHeader w:val="0"/>
        </w:trPr>
        <w:tc>
          <w:tcPr>
            <w:shd w:fill="auto" w:val="clear"/>
          </w:tcPr>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Examiner</w:t>
            </w:r>
          </w:p>
        </w:tc>
        <w:tc>
          <w:tcPr>
            <w:shd w:fill="auto" w:val="clear"/>
          </w:tcPr>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tc>
      </w:tr>
      <w:tr>
        <w:trPr>
          <w:cantSplit w:val="0"/>
          <w:trHeight w:val="267" w:hRule="atLeast"/>
          <w:tblHeader w:val="0"/>
        </w:trPr>
        <w:tc>
          <w:tcPr>
            <w:shd w:fill="auto" w:val="clear"/>
          </w:tcPr>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Reviewer</w:t>
            </w:r>
          </w:p>
        </w:tc>
        <w:tc>
          <w:tcPr>
            <w:shd w:fill="auto" w:val="clear"/>
          </w:tcPr>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tl w:val="0"/>
              </w:rPr>
            </w:r>
          </w:p>
        </w:tc>
      </w:tr>
      <w:tr>
        <w:trPr>
          <w:cantSplit w:val="0"/>
          <w:trHeight w:val="405" w:hRule="atLeast"/>
          <w:tblHeader w:val="0"/>
        </w:trPr>
        <w:tc>
          <w:tcPr>
            <w:shd w:fill="auto" w:val="clear"/>
          </w:tcPr>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Reviewer</w:t>
            </w:r>
          </w:p>
        </w:tc>
        <w:tc>
          <w:tcPr>
            <w:shd w:fill="auto" w:val="clear"/>
          </w:tcPr>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tl w:val="0"/>
              </w:rPr>
            </w:r>
          </w:p>
        </w:tc>
      </w:tr>
      <w:tr>
        <w:trPr>
          <w:cantSplit w:val="0"/>
          <w:trHeight w:val="267" w:hRule="atLeast"/>
          <w:tblHeader w:val="0"/>
        </w:trPr>
        <w:tc>
          <w:tcPr>
            <w:shd w:fill="auto" w:val="clear"/>
          </w:tcPr>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Pr>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735" w:top="63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rPr>
      <w:sz w:val="24"/>
      <w:szCs w:val="24"/>
    </w:r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