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42AC3" w14:textId="5C6CA8C0" w:rsidR="00CD77C5" w:rsidRPr="004E4A39" w:rsidRDefault="00CD77C5" w:rsidP="004E4A39">
      <w:pPr>
        <w:pStyle w:val="a3"/>
        <w:shd w:val="clear" w:color="auto" w:fill="FFFFFF"/>
        <w:ind w:firstLine="709"/>
        <w:jc w:val="both"/>
        <w:rPr>
          <w:rFonts w:ascii="Arial" w:hAnsi="Arial" w:cs="Arial"/>
          <w:color w:val="000000"/>
          <w:sz w:val="28"/>
          <w:szCs w:val="28"/>
        </w:rPr>
      </w:pPr>
      <w:r w:rsidRPr="004E4A39">
        <w:rPr>
          <w:rFonts w:ascii="Arial" w:hAnsi="Arial" w:cs="Arial"/>
          <w:color w:val="000000"/>
          <w:sz w:val="28"/>
          <w:szCs w:val="28"/>
        </w:rPr>
        <w:t>В 1960-1961 гг. в ОКБ-456 для первой ступени ракеты H1 начались проработки двигателя замкнутой схемы тягой 100-150 тонн и давлением до 15 МПа на различных компонентах топлива: азотная кислота — НДМГ (РД-220, РД-222), жидкий кислород — НДМГ (</w:t>
      </w:r>
      <w:r w:rsidRPr="004E4A39">
        <w:rPr>
          <w:rFonts w:ascii="Arial" w:hAnsi="Arial" w:cs="Arial"/>
          <w:sz w:val="28"/>
          <w:szCs w:val="28"/>
        </w:rPr>
        <w:t>РД-114, РД-115</w:t>
      </w:r>
      <w:r w:rsidRPr="004E4A39">
        <w:rPr>
          <w:rFonts w:ascii="Arial" w:hAnsi="Arial" w:cs="Arial"/>
          <w:color w:val="000000"/>
          <w:sz w:val="28"/>
          <w:szCs w:val="28"/>
        </w:rPr>
        <w:t>), и АТ — НДМГ (РД-253, РД-254). При этом создание двигателя замкнутой схемы указанной размерности на топливной паре кислород — керосин, по мнению В.П. Глушко, было связано с неприемлемо длительными сроками (до тех пор в ОКБ-456 не было опыта создания двигателей замкнутой схемы). Однако ОКБ-1 (разработчик ракеты) настаивало на применении керосина и жидкого кислорода. В результате разработка двигателей для ракеты Н1 была поручена ОКБ-276 Н.Д. Кузнецова.16 апреля 1962 года вышло Постановление Совета Министров СССР "О создании образцов межконтинентальных баллистических и глобальных ракет и носителей тяжелых космических объектов", предусматривающее, помимо прочего, разработку тяжелой четырехступенчатой ракеты Р-56 в ОКБ-586 М.К. Янгеля (ныне КБ "Южное"). На первой ступени предполагалось использовать 16 двигателей РД-253.</w:t>
      </w:r>
    </w:p>
    <w:p w14:paraId="7D195E1E" w14:textId="70D7EAF3" w:rsidR="00CD77C5" w:rsidRPr="004E4A39" w:rsidRDefault="00CD77C5" w:rsidP="004E4A39">
      <w:pPr>
        <w:widowControl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color w:val="000000"/>
          <w:sz w:val="28"/>
          <w:szCs w:val="28"/>
          <w:shd w:val="clear" w:color="auto" w:fill="FFFFFF"/>
        </w:rPr>
        <w:t>Двигатель выполнен по замкнутой схеме с дожиганием окислительного генераторного</w:t>
      </w:r>
      <w:r w:rsidR="002C1664" w:rsidRPr="004E4A39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4E4A39">
        <w:rPr>
          <w:rFonts w:ascii="Arial" w:hAnsi="Arial" w:cs="Arial"/>
          <w:color w:val="000000"/>
          <w:sz w:val="28"/>
          <w:szCs w:val="28"/>
          <w:shd w:val="clear" w:color="auto" w:fill="FFFFFF"/>
        </w:rPr>
        <w:t>газа</w:t>
      </w:r>
      <w:r w:rsidR="002C1664" w:rsidRPr="004E4A39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4E4A39">
        <w:rPr>
          <w:rFonts w:ascii="Arial" w:hAnsi="Arial" w:cs="Arial"/>
          <w:color w:val="000000"/>
          <w:sz w:val="28"/>
          <w:szCs w:val="28"/>
          <w:shd w:val="clear" w:color="auto" w:fill="FFFFFF"/>
        </w:rPr>
        <w:t>после</w:t>
      </w:r>
      <w:r w:rsidR="002C1664" w:rsidRPr="004E4A39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4E4A39">
        <w:rPr>
          <w:rFonts w:ascii="Arial" w:hAnsi="Arial" w:cs="Arial"/>
          <w:color w:val="000000"/>
          <w:sz w:val="28"/>
          <w:szCs w:val="28"/>
          <w:shd w:val="clear" w:color="auto" w:fill="FFFFFF"/>
        </w:rPr>
        <w:t>турбины. Компоненты топлива: окислитель - четырехокись азота (азотный тетраоксид, AT), горючее - несимметричный диметилгидразин (НДМГ).</w:t>
      </w:r>
    </w:p>
    <w:p w14:paraId="513C9896" w14:textId="083B5739" w:rsidR="00CD77C5" w:rsidRPr="004E4A39" w:rsidRDefault="00CD77C5" w:rsidP="004E4A39">
      <w:pPr>
        <w:widowControl/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Arial" w:hAnsi="Arial" w:cs="Arial"/>
          <w:color w:val="000000"/>
          <w:sz w:val="28"/>
          <w:szCs w:val="28"/>
        </w:rPr>
      </w:pPr>
      <w:r w:rsidRPr="004E4A39">
        <w:rPr>
          <w:rFonts w:ascii="Arial" w:hAnsi="Arial" w:cs="Arial"/>
          <w:color w:val="000000"/>
          <w:sz w:val="28"/>
          <w:szCs w:val="28"/>
        </w:rPr>
        <w:t xml:space="preserve">Двигатель содержит камеру сгорания, турбонасосный агрегат (ТНА) с турбиной и насосами </w:t>
      </w:r>
      <w:r w:rsidR="002C1664" w:rsidRPr="004E4A39">
        <w:rPr>
          <w:rFonts w:ascii="Arial" w:hAnsi="Arial" w:cs="Arial"/>
          <w:color w:val="000000"/>
          <w:sz w:val="28"/>
          <w:szCs w:val="28"/>
        </w:rPr>
        <w:t>окислителя</w:t>
      </w:r>
      <w:r w:rsidRPr="004E4A39">
        <w:rPr>
          <w:rFonts w:ascii="Arial" w:hAnsi="Arial" w:cs="Arial"/>
          <w:color w:val="000000"/>
          <w:sz w:val="28"/>
          <w:szCs w:val="28"/>
        </w:rPr>
        <w:t xml:space="preserve"> и горючего, газогенератор, струйный преднасос окислителя, </w:t>
      </w:r>
      <w:r w:rsidR="002C1664" w:rsidRPr="004E4A39">
        <w:rPr>
          <w:rFonts w:ascii="Arial" w:hAnsi="Arial" w:cs="Arial"/>
          <w:color w:val="000000"/>
          <w:sz w:val="28"/>
          <w:szCs w:val="28"/>
        </w:rPr>
        <w:t>генераторы</w:t>
      </w:r>
      <w:r w:rsidRPr="004E4A39">
        <w:rPr>
          <w:rFonts w:ascii="Arial" w:hAnsi="Arial" w:cs="Arial"/>
          <w:color w:val="000000"/>
          <w:sz w:val="28"/>
          <w:szCs w:val="28"/>
        </w:rPr>
        <w:t xml:space="preserve"> газа для наддува топливных баков, агрегаты автоматики и другие элементы.</w:t>
      </w:r>
    </w:p>
    <w:p w14:paraId="1CB69DB8" w14:textId="77777777" w:rsidR="00CD77C5" w:rsidRPr="004E4A39" w:rsidRDefault="00CD77C5" w:rsidP="004E4A39">
      <w:pPr>
        <w:widowControl/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Arial" w:hAnsi="Arial" w:cs="Arial"/>
          <w:color w:val="000000"/>
          <w:sz w:val="28"/>
          <w:szCs w:val="28"/>
        </w:rPr>
      </w:pPr>
      <w:r w:rsidRPr="004E4A39">
        <w:rPr>
          <w:rFonts w:ascii="Arial" w:hAnsi="Arial" w:cs="Arial"/>
          <w:color w:val="000000"/>
          <w:sz w:val="28"/>
          <w:szCs w:val="28"/>
        </w:rPr>
        <w:t>Управляющие моменты создаются качанием всего двигателя в шарнирном подвесе. Т.к. качание происходит в одной плоскости, в многодвигательной ДУ двигатели установлены с угловым смещением относительно друг друга.</w:t>
      </w:r>
    </w:p>
    <w:p w14:paraId="5DE7EE6D" w14:textId="4E19F0F0" w:rsidR="002C1664" w:rsidRPr="004E4A39" w:rsidRDefault="00CD77C5" w:rsidP="004E4A39">
      <w:pPr>
        <w:jc w:val="both"/>
        <w:rPr>
          <w:rFonts w:ascii="Arial" w:hAnsi="Arial" w:cs="Arial"/>
          <w:color w:val="000000"/>
          <w:sz w:val="28"/>
          <w:szCs w:val="28"/>
        </w:rPr>
      </w:pPr>
      <w:r w:rsidRPr="004E4A39">
        <w:rPr>
          <w:rFonts w:ascii="Arial" w:hAnsi="Arial" w:cs="Arial"/>
          <w:color w:val="000000"/>
          <w:sz w:val="28"/>
          <w:szCs w:val="28"/>
        </w:rPr>
        <w:t>Ранний вариант двигателя с пиротурбинным способом запуска содержал также пусковую турбину, расположенную на противоположном от основной турбины конце ТНА, работающую от специальной пирошашки с отводом отработанных газов с помощью выхлопного патрубка. Кроме того, его компоновка отличалась от современной. В частности, газогенератор был расположен выше смесительной головки камеры, а газоводы, соединяющие выход основной турбины и смесительную головку камеры, были более короткими</w:t>
      </w:r>
    </w:p>
    <w:p w14:paraId="0059A35C" w14:textId="7FE1F7AB" w:rsidR="00FC3756" w:rsidRDefault="002C1664" w:rsidP="00D13425">
      <w:pPr>
        <w:ind w:firstLine="708"/>
        <w:jc w:val="both"/>
        <w:rPr>
          <w:rFonts w:ascii="Arial" w:hAnsi="Arial" w:cs="Arial"/>
          <w:color w:val="000000"/>
          <w:sz w:val="28"/>
          <w:szCs w:val="28"/>
        </w:rPr>
      </w:pPr>
      <w:r w:rsidRPr="004E4A39">
        <w:rPr>
          <w:rFonts w:ascii="Arial" w:hAnsi="Arial" w:cs="Arial"/>
          <w:color w:val="000000"/>
          <w:sz w:val="28"/>
          <w:szCs w:val="28"/>
        </w:rPr>
        <w:br w:type="page"/>
      </w:r>
      <w:r w:rsidR="00FC3756">
        <w:rPr>
          <w:rFonts w:ascii="Arial" w:hAnsi="Arial" w:cs="Arial"/>
          <w:color w:val="000000"/>
          <w:sz w:val="28"/>
          <w:szCs w:val="28"/>
        </w:rPr>
        <w:lastRenderedPageBreak/>
        <w:t>Добрый день, члены уважаемой комиссии</w:t>
      </w:r>
      <w:r w:rsidR="00770786">
        <w:rPr>
          <w:rFonts w:ascii="Arial" w:hAnsi="Arial" w:cs="Arial"/>
          <w:color w:val="000000"/>
          <w:sz w:val="28"/>
          <w:szCs w:val="28"/>
        </w:rPr>
        <w:t>! К вашему вниманию представляется курсовой проект</w:t>
      </w:r>
      <w:r w:rsidR="008F635D">
        <w:rPr>
          <w:rFonts w:ascii="Arial" w:hAnsi="Arial" w:cs="Arial"/>
          <w:color w:val="000000"/>
          <w:sz w:val="28"/>
          <w:szCs w:val="28"/>
        </w:rPr>
        <w:t xml:space="preserve"> на тему «</w:t>
      </w:r>
      <w:r w:rsidR="00842182">
        <w:rPr>
          <w:rFonts w:ascii="Arial" w:hAnsi="Arial" w:cs="Arial"/>
          <w:color w:val="000000"/>
          <w:sz w:val="28"/>
          <w:szCs w:val="28"/>
        </w:rPr>
        <w:t>ДУ</w:t>
      </w:r>
      <w:r w:rsidR="00D8626A">
        <w:rPr>
          <w:rFonts w:ascii="Arial" w:hAnsi="Arial" w:cs="Arial"/>
          <w:color w:val="000000"/>
          <w:sz w:val="28"/>
          <w:szCs w:val="28"/>
        </w:rPr>
        <w:t xml:space="preserve"> </w:t>
      </w:r>
      <w:r w:rsidR="00842182">
        <w:rPr>
          <w:rFonts w:ascii="Arial" w:hAnsi="Arial" w:cs="Arial"/>
          <w:color w:val="000000"/>
          <w:sz w:val="28"/>
          <w:szCs w:val="28"/>
        </w:rPr>
        <w:t>РН</w:t>
      </w:r>
      <w:r w:rsidR="00D8626A">
        <w:rPr>
          <w:rFonts w:ascii="Arial" w:hAnsi="Arial" w:cs="Arial"/>
          <w:color w:val="000000"/>
          <w:sz w:val="28"/>
          <w:szCs w:val="28"/>
        </w:rPr>
        <w:t xml:space="preserve"> первой ступени </w:t>
      </w:r>
      <w:r w:rsidR="00D13425">
        <w:rPr>
          <w:rFonts w:ascii="Arial" w:hAnsi="Arial" w:cs="Arial"/>
          <w:color w:val="000000"/>
          <w:sz w:val="28"/>
          <w:szCs w:val="28"/>
        </w:rPr>
        <w:t>ракеты</w:t>
      </w:r>
      <w:r w:rsidR="008F635D">
        <w:rPr>
          <w:rFonts w:ascii="Arial" w:hAnsi="Arial" w:cs="Arial"/>
          <w:color w:val="000000"/>
          <w:sz w:val="28"/>
          <w:szCs w:val="28"/>
        </w:rPr>
        <w:t>»</w:t>
      </w:r>
      <w:r w:rsidR="00D13425">
        <w:rPr>
          <w:rFonts w:ascii="Arial" w:hAnsi="Arial" w:cs="Arial"/>
          <w:color w:val="000000"/>
          <w:sz w:val="28"/>
          <w:szCs w:val="28"/>
        </w:rPr>
        <w:t>.</w:t>
      </w:r>
      <w:r w:rsidR="002627AC">
        <w:rPr>
          <w:rFonts w:ascii="Arial" w:hAnsi="Arial" w:cs="Arial"/>
          <w:color w:val="000000"/>
          <w:sz w:val="28"/>
          <w:szCs w:val="28"/>
        </w:rPr>
        <w:t xml:space="preserve"> Прототипом проектирование </w:t>
      </w:r>
      <w:r w:rsidR="004746E1">
        <w:rPr>
          <w:rFonts w:ascii="Arial" w:hAnsi="Arial" w:cs="Arial"/>
          <w:color w:val="000000"/>
          <w:sz w:val="28"/>
          <w:szCs w:val="28"/>
        </w:rPr>
        <w:t>двигателя был выбран РД-253.</w:t>
      </w:r>
    </w:p>
    <w:tbl>
      <w:tblPr>
        <w:tblpPr w:leftFromText="180" w:rightFromText="180" w:vertAnchor="text" w:horzAnchor="margin" w:tblpXSpec="right" w:tblpY="28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68"/>
        <w:gridCol w:w="2660"/>
      </w:tblGrid>
      <w:tr w:rsidR="00D13425" w:rsidRPr="00DE0B8B" w14:paraId="59CA55C9" w14:textId="77777777" w:rsidTr="00D13425">
        <w:tc>
          <w:tcPr>
            <w:tcW w:w="5868" w:type="dxa"/>
            <w:vAlign w:val="center"/>
          </w:tcPr>
          <w:p w14:paraId="47B61B32" w14:textId="77777777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Двигатель–аналог</w:t>
            </w:r>
          </w:p>
        </w:tc>
        <w:tc>
          <w:tcPr>
            <w:tcW w:w="2660" w:type="dxa"/>
            <w:vAlign w:val="center"/>
          </w:tcPr>
          <w:p w14:paraId="303E1C24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РД–253</w:t>
            </w:r>
          </w:p>
        </w:tc>
      </w:tr>
      <w:tr w:rsidR="00D13425" w:rsidRPr="00DE0B8B" w14:paraId="3C499103" w14:textId="77777777" w:rsidTr="00D13425">
        <w:tc>
          <w:tcPr>
            <w:tcW w:w="5868" w:type="dxa"/>
            <w:vAlign w:val="center"/>
          </w:tcPr>
          <w:p w14:paraId="4249EF83" w14:textId="77777777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 xml:space="preserve">Окислитель </w:t>
            </w:r>
          </w:p>
        </w:tc>
        <w:tc>
          <w:tcPr>
            <w:tcW w:w="2660" w:type="dxa"/>
            <w:vAlign w:val="center"/>
          </w:tcPr>
          <w:p w14:paraId="29765938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i/>
                <w:sz w:val="28"/>
                <w:szCs w:val="28"/>
                <w:lang w:val="en-US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 xml:space="preserve">АТ </w:t>
            </w:r>
            <m:oMath>
              <m:r>
                <w:rPr>
                  <w:rFonts w:ascii="Cambria Math" w:hAnsi="Cambria Math" w:cs="Arial"/>
                  <w:sz w:val="28"/>
                  <w:szCs w:val="28"/>
                </w:rPr>
                <m:t>(HN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)</m:t>
              </m:r>
            </m:oMath>
          </w:p>
        </w:tc>
      </w:tr>
      <w:tr w:rsidR="00D13425" w:rsidRPr="00DE0B8B" w14:paraId="22B1BDA4" w14:textId="77777777" w:rsidTr="00D13425">
        <w:tc>
          <w:tcPr>
            <w:tcW w:w="5868" w:type="dxa"/>
            <w:vAlign w:val="center"/>
          </w:tcPr>
          <w:p w14:paraId="6D4CE77E" w14:textId="77777777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Горючее</w:t>
            </w:r>
          </w:p>
        </w:tc>
        <w:tc>
          <w:tcPr>
            <w:tcW w:w="2660" w:type="dxa"/>
            <w:vAlign w:val="center"/>
          </w:tcPr>
          <w:p w14:paraId="3A59D0F3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НДМГ (С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H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</w:rPr>
              <w:t>8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N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DE0B8B"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D13425" w:rsidRPr="00DE0B8B" w14:paraId="50A9D35B" w14:textId="77777777" w:rsidTr="00D13425">
        <w:tc>
          <w:tcPr>
            <w:tcW w:w="5868" w:type="dxa"/>
            <w:vAlign w:val="center"/>
          </w:tcPr>
          <w:p w14:paraId="17C4FB5F" w14:textId="77777777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Тяга в пустоте (Р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</w:rPr>
              <w:t>П</w:t>
            </w:r>
            <w:r w:rsidRPr="00DE0B8B">
              <w:rPr>
                <w:rFonts w:ascii="Arial" w:hAnsi="Arial" w:cs="Arial"/>
                <w:sz w:val="28"/>
                <w:szCs w:val="28"/>
              </w:rPr>
              <w:t>), [кН]</w:t>
            </w:r>
          </w:p>
        </w:tc>
        <w:tc>
          <w:tcPr>
            <w:tcW w:w="2660" w:type="dxa"/>
            <w:vAlign w:val="center"/>
          </w:tcPr>
          <w:p w14:paraId="7AEC273A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16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35</w:t>
            </w:r>
          </w:p>
        </w:tc>
      </w:tr>
      <w:tr w:rsidR="00D13425" w:rsidRPr="00DE0B8B" w14:paraId="6ACDF0D6" w14:textId="77777777" w:rsidTr="00D13425">
        <w:tc>
          <w:tcPr>
            <w:tcW w:w="5868" w:type="dxa"/>
            <w:vAlign w:val="center"/>
          </w:tcPr>
          <w:p w14:paraId="1E1E2A7E" w14:textId="77777777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Давление в камере сгорания (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p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</w:rPr>
              <w:t>к</w:t>
            </w:r>
            <w:r w:rsidRPr="00DE0B8B">
              <w:rPr>
                <w:rFonts w:ascii="Arial" w:hAnsi="Arial" w:cs="Arial"/>
                <w:sz w:val="28"/>
                <w:szCs w:val="28"/>
              </w:rPr>
              <w:t>), [МПа]</w:t>
            </w:r>
          </w:p>
        </w:tc>
        <w:tc>
          <w:tcPr>
            <w:tcW w:w="2660" w:type="dxa"/>
            <w:vAlign w:val="center"/>
          </w:tcPr>
          <w:p w14:paraId="0650F4DA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14,7</w:t>
            </w:r>
          </w:p>
        </w:tc>
      </w:tr>
      <w:tr w:rsidR="00D13425" w:rsidRPr="00DE0B8B" w14:paraId="111B18C7" w14:textId="77777777" w:rsidTr="00D13425">
        <w:tc>
          <w:tcPr>
            <w:tcW w:w="5868" w:type="dxa"/>
            <w:vAlign w:val="center"/>
          </w:tcPr>
          <w:p w14:paraId="799D30EF" w14:textId="77777777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Давление на срезе сопла (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p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  <w:lang w:val="en-US"/>
              </w:rPr>
              <w:t>a</w:t>
            </w:r>
            <w:r w:rsidRPr="00DE0B8B">
              <w:rPr>
                <w:rFonts w:ascii="Arial" w:hAnsi="Arial" w:cs="Arial"/>
                <w:sz w:val="28"/>
                <w:szCs w:val="28"/>
              </w:rPr>
              <w:t>), [МПа]</w:t>
            </w:r>
          </w:p>
        </w:tc>
        <w:tc>
          <w:tcPr>
            <w:tcW w:w="2660" w:type="dxa"/>
            <w:vAlign w:val="center"/>
          </w:tcPr>
          <w:p w14:paraId="1E6B2FF2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0,0</w:t>
            </w:r>
            <w:r w:rsidRPr="00DE0B8B">
              <w:rPr>
                <w:rFonts w:ascii="Arial" w:hAnsi="Arial" w:cs="Arial"/>
                <w:sz w:val="28"/>
                <w:szCs w:val="28"/>
              </w:rPr>
              <w:t>61</w:t>
            </w:r>
          </w:p>
        </w:tc>
      </w:tr>
      <w:tr w:rsidR="00D13425" w:rsidRPr="00DE0B8B" w14:paraId="057AB67D" w14:textId="77777777" w:rsidTr="00D13425">
        <w:tc>
          <w:tcPr>
            <w:tcW w:w="5868" w:type="dxa"/>
            <w:vAlign w:val="center"/>
          </w:tcPr>
          <w:p w14:paraId="5792572B" w14:textId="351764C5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Давление окружающей среды (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p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  <w:lang w:val="en-US"/>
              </w:rPr>
              <w:t>h</w:t>
            </w:r>
            <w:r w:rsidRPr="00DE0B8B">
              <w:rPr>
                <w:rFonts w:ascii="Arial" w:hAnsi="Arial" w:cs="Arial"/>
                <w:sz w:val="28"/>
                <w:szCs w:val="28"/>
              </w:rPr>
              <w:t>),</w:t>
            </w:r>
            <w:r w:rsidR="008C4C4D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E0B8B">
              <w:rPr>
                <w:rFonts w:ascii="Arial" w:hAnsi="Arial" w:cs="Arial"/>
                <w:sz w:val="28"/>
                <w:szCs w:val="28"/>
              </w:rPr>
              <w:t>[МПа]</w:t>
            </w:r>
          </w:p>
        </w:tc>
        <w:tc>
          <w:tcPr>
            <w:tcW w:w="2660" w:type="dxa"/>
            <w:vAlign w:val="center"/>
          </w:tcPr>
          <w:p w14:paraId="2426F466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0,1</w:t>
            </w:r>
          </w:p>
        </w:tc>
      </w:tr>
      <w:tr w:rsidR="00D13425" w:rsidRPr="00DE0B8B" w14:paraId="356C69AB" w14:textId="77777777" w:rsidTr="00D13425">
        <w:tc>
          <w:tcPr>
            <w:tcW w:w="5868" w:type="dxa"/>
            <w:vAlign w:val="center"/>
          </w:tcPr>
          <w:p w14:paraId="4FB78D2F" w14:textId="3C893DE0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Относительная площадь насадка</w:t>
            </w:r>
            <w:r w:rsidR="008C4C4D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E0B8B">
              <w:rPr>
                <w:rFonts w:ascii="Arial" w:hAnsi="Arial" w:cs="Arial"/>
                <w:sz w:val="28"/>
                <w:szCs w:val="28"/>
              </w:rPr>
              <w:t>(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F</w:t>
            </w:r>
            <w:r w:rsidRPr="00DE0B8B">
              <w:rPr>
                <w:rFonts w:ascii="Arial" w:hAnsi="Arial" w:cs="Arial"/>
                <w:sz w:val="28"/>
                <w:szCs w:val="28"/>
                <w:vertAlign w:val="subscript"/>
              </w:rPr>
              <w:t>н.отн</w:t>
            </w:r>
            <w:r w:rsidRPr="00DE0B8B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660" w:type="dxa"/>
            <w:vAlign w:val="center"/>
          </w:tcPr>
          <w:p w14:paraId="4FB0319E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1</w:t>
            </w:r>
            <w:r w:rsidRPr="00DE0B8B">
              <w:rPr>
                <w:rFonts w:ascii="Arial" w:hAnsi="Arial" w:cs="Arial"/>
                <w:sz w:val="28"/>
                <w:szCs w:val="28"/>
              </w:rPr>
              <w:t>,</w:t>
            </w:r>
            <w:r w:rsidRPr="00DE0B8B">
              <w:rPr>
                <w:rFonts w:ascii="Arial" w:hAnsi="Arial" w:cs="Arial"/>
                <w:sz w:val="28"/>
                <w:szCs w:val="28"/>
                <w:lang w:val="en-US"/>
              </w:rPr>
              <w:t>5</w:t>
            </w:r>
          </w:p>
        </w:tc>
      </w:tr>
      <w:tr w:rsidR="00D13425" w:rsidRPr="00DE0B8B" w14:paraId="7CA322C8" w14:textId="77777777" w:rsidTr="00D13425">
        <w:tc>
          <w:tcPr>
            <w:tcW w:w="5868" w:type="dxa"/>
            <w:vAlign w:val="center"/>
          </w:tcPr>
          <w:p w14:paraId="1B1E94D9" w14:textId="77777777" w:rsidR="00D13425" w:rsidRPr="00DE0B8B" w:rsidRDefault="00D13425" w:rsidP="00D13425">
            <w:pPr>
              <w:ind w:left="459" w:right="141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Число камер</w:t>
            </w:r>
          </w:p>
        </w:tc>
        <w:tc>
          <w:tcPr>
            <w:tcW w:w="2660" w:type="dxa"/>
            <w:vAlign w:val="center"/>
          </w:tcPr>
          <w:p w14:paraId="7F41067F" w14:textId="77777777" w:rsidR="00D13425" w:rsidRPr="00DE0B8B" w:rsidRDefault="00D13425" w:rsidP="00D13425">
            <w:pPr>
              <w:tabs>
                <w:tab w:val="left" w:pos="567"/>
              </w:tabs>
              <w:ind w:left="33" w:right="141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E0B8B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197A3B2F" w14:textId="77777777" w:rsidR="00D13425" w:rsidRPr="00DE0B8B" w:rsidRDefault="00D13425" w:rsidP="00D13425">
      <w:pPr>
        <w:tabs>
          <w:tab w:val="left" w:pos="567"/>
        </w:tabs>
        <w:ind w:left="709" w:right="141" w:firstLine="425"/>
        <w:jc w:val="both"/>
        <w:rPr>
          <w:rFonts w:ascii="Arial" w:hAnsi="Arial" w:cs="Arial"/>
          <w:b/>
          <w:sz w:val="28"/>
          <w:szCs w:val="28"/>
        </w:rPr>
      </w:pPr>
    </w:p>
    <w:p w14:paraId="2DEC0AAF" w14:textId="77777777" w:rsidR="00D13425" w:rsidRDefault="00D13425" w:rsidP="00A80DC8">
      <w:pPr>
        <w:jc w:val="both"/>
        <w:rPr>
          <w:rFonts w:ascii="Arial" w:hAnsi="Arial" w:cs="Arial"/>
          <w:color w:val="000000"/>
          <w:sz w:val="28"/>
          <w:szCs w:val="28"/>
        </w:rPr>
      </w:pPr>
    </w:p>
    <w:p w14:paraId="2E98A25B" w14:textId="23D6BE92" w:rsidR="00B02CFB" w:rsidRPr="00DE0B8B" w:rsidRDefault="004E4A39" w:rsidP="00890430">
      <w:pPr>
        <w:ind w:firstLine="70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E4A39">
        <w:rPr>
          <w:rFonts w:ascii="Arial" w:hAnsi="Arial" w:cs="Arial"/>
          <w:b/>
          <w:bCs/>
          <w:sz w:val="28"/>
          <w:szCs w:val="28"/>
          <w:u w:val="single"/>
        </w:rPr>
        <w:t>Работа двигателя</w:t>
      </w:r>
      <w:r w:rsidR="00AC061E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08E46A7E" w14:textId="64B84198" w:rsidR="004E4A39" w:rsidRPr="004E4A39" w:rsidRDefault="004E4A39" w:rsidP="004E4A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E4A39">
        <w:rPr>
          <w:rFonts w:ascii="Arial" w:hAnsi="Arial" w:cs="Arial"/>
          <w:b/>
          <w:bCs/>
          <w:sz w:val="28"/>
          <w:szCs w:val="28"/>
        </w:rPr>
        <w:t>Заправка</w:t>
      </w:r>
    </w:p>
    <w:p w14:paraId="59A87F86" w14:textId="2A5E42EC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Заправка баков изделия обеспечивает заполнение топливными компонентами магистралей двигателя до пусковых клапанов окислителя 5 и горючего 10. </w:t>
      </w:r>
    </w:p>
    <w:p w14:paraId="30311E68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>Исходное состояние агрегатов автоматики</w:t>
      </w:r>
    </w:p>
    <w:p w14:paraId="676856BE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Клапаны пуска "О" 5, пуска "Г" 10, клапаны 18, 19 преднасосов "О" и "Г" - закрыты. </w:t>
      </w:r>
    </w:p>
    <w:p w14:paraId="37905F7F" w14:textId="25CF1938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В полуоткрытом состоянии находятся клапан отсечки "О" 7, клапан "Г" главной ступени 12 и регулятор расхода "Г" 14. Клапан 22 открыт. </w:t>
      </w:r>
    </w:p>
    <w:p w14:paraId="15A0D2C0" w14:textId="77777777" w:rsidR="004E4A39" w:rsidRPr="004E4A39" w:rsidRDefault="004E4A39" w:rsidP="004E4A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E4A39">
        <w:rPr>
          <w:rFonts w:ascii="Arial" w:hAnsi="Arial" w:cs="Arial"/>
          <w:b/>
          <w:bCs/>
          <w:sz w:val="28"/>
          <w:szCs w:val="28"/>
        </w:rPr>
        <w:t>Запуск двигателя</w:t>
      </w:r>
    </w:p>
    <w:p w14:paraId="06E3F44E" w14:textId="684038A8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За 1±0.2 с до запуска от наземной установки в коллектор продувки поступает азот, который через обратные клапаны 23 поступает в полости камеры и газогенератора, продувая их. При поступлении азота в магистрали продувки замыкаются контакты сигнализатора давления, установленного в магистрали подвода азота, что делает дальнейшее прохождение команд на "ЗАПУСК" возможным. </w:t>
      </w:r>
    </w:p>
    <w:p w14:paraId="72201346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Пусковая наземная система по команде "ЗАПУСК" обеспечивает </w:t>
      </w:r>
      <w:r w:rsidRPr="004E4A39">
        <w:rPr>
          <w:rFonts w:ascii="Arial" w:hAnsi="Arial" w:cs="Arial"/>
          <w:sz w:val="28"/>
          <w:szCs w:val="28"/>
        </w:rPr>
        <w:lastRenderedPageBreak/>
        <w:t xml:space="preserve">подачу воздуха в пусковой коллектор двигателя, откуда воздух через клапан отсечки воздуха 22 и пусковые сопла поступает на лопатки турбины, приводя ее ротор во вращение. Одновременно, действием давления "пускового" воздуха нож пускового клапана "Г" 10 срезает мембрану и горючее начинает поступать в полость насоса горючего. </w:t>
      </w:r>
    </w:p>
    <w:p w14:paraId="53905472" w14:textId="02CA640B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>Через 0.44±0.028 после команды "ЗАПУСК" подается напряжение на пиропатрон клапана воздуха 24, который открывается, обеспечивая поступление воздуха к клапану пуска “O” 5 и его открытие. Окислитель поступает в полость насоса “O”. Оба насоса двигателя включаются в работу. Горючее от насоса "Г" через регулятор 14, настроенный на предварительную ступень, клапан отсечки горючего газогенератора 15 поступает в охлаждающий тракт, форсуночную головку и, далее, камеру сгорания газогенератора. Одновременно, по линии питания камеры, горючее через дроссель 11, клапаны 12, 13 поступает в рубашку охлаждения камеры, полость ее форсуночной головки и, далее камеру сгорания.</w:t>
      </w:r>
    </w:p>
    <w:p w14:paraId="63048888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Окислитель от насоса через клапан окислителя 7, находящийся в открытом состоянии, поступает в газогенератор (характеристики систем совокупно с циклограммой запуска обеспечивают опережение окислителя при поступлении компонентов в камеру сгорания ГГ). По поступлении в камеру сгорания газогенератора горючего процесс в газогенераторе завязывается, генераторный газ поступает на лопатки турбины, обеспечивая повышение ее оборотов, и по газоводу 16 направляется в камеру. При поступлении в камеру сгорания горючего, в камере происходит воспламенение топливных компонентов, двигатель выходит на режим предварительной ступени. </w:t>
      </w:r>
    </w:p>
    <w:p w14:paraId="3FF6B18F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В процессе выхода двигателя на режим предварительной ступени давлением компонентов прорываются клапаны 18, 19 эжекторов и компоненты топлива поступают на форсунки преднасосов. Возросшим давлением </w:t>
      </w:r>
      <w:r w:rsidRPr="004E4A39">
        <w:rPr>
          <w:rFonts w:ascii="Arial" w:eastAsia="MS Mincho" w:hAnsi="Arial" w:cs="Arial"/>
          <w:sz w:val="28"/>
          <w:szCs w:val="28"/>
          <w:lang w:eastAsia="ja-JP"/>
        </w:rPr>
        <w:t>з</w:t>
      </w:r>
      <w:r w:rsidRPr="004E4A39">
        <w:rPr>
          <w:rFonts w:ascii="Arial" w:hAnsi="Arial" w:cs="Arial"/>
          <w:sz w:val="28"/>
          <w:szCs w:val="28"/>
        </w:rPr>
        <w:t xml:space="preserve">акрываются также обратные клапаны продувки 23, прекращается подача азота. </w:t>
      </w:r>
    </w:p>
    <w:p w14:paraId="760680DB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После срабатывания сигнализатора давления 21 на пиропатроны регулятора расхода "Г" 14 в газогенератор, клапан "О" 7 и клапаны горючего 12 подается напряжение, агрегаты перестраиваются, двигатель выходит на номинальный режим. </w:t>
      </w:r>
    </w:p>
    <w:p w14:paraId="75BE9DAE" w14:textId="1815E054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В момент, когда начинается подъем изделия со стартового </w:t>
      </w:r>
      <w:r w:rsidRPr="004E4A39">
        <w:rPr>
          <w:rFonts w:ascii="Arial" w:hAnsi="Arial" w:cs="Arial"/>
          <w:sz w:val="28"/>
          <w:szCs w:val="28"/>
        </w:rPr>
        <w:lastRenderedPageBreak/>
        <w:t xml:space="preserve">устройства подается напряжение на пиропатрон клапана 22 отсечки запуска и включаются системы РКС и СОБ. </w:t>
      </w:r>
    </w:p>
    <w:p w14:paraId="2CB42555" w14:textId="77777777" w:rsidR="004E4A39" w:rsidRPr="004E4A39" w:rsidRDefault="004E4A39" w:rsidP="004E4A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E4A39">
        <w:rPr>
          <w:rFonts w:ascii="Arial" w:hAnsi="Arial" w:cs="Arial"/>
          <w:b/>
          <w:bCs/>
          <w:sz w:val="28"/>
          <w:szCs w:val="28"/>
        </w:rPr>
        <w:t>Выключение двигателя</w:t>
      </w:r>
    </w:p>
    <w:p w14:paraId="1608F0F1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При достижении изделием заданной скорости полета от системы управления изделия подается команда на проведение "НОРМАЛЬНОГО ОТКЛЮЧЕНИЯ" двигателя. </w:t>
      </w:r>
    </w:p>
    <w:p w14:paraId="701016D4" w14:textId="77777777" w:rsidR="004E4A39" w:rsidRPr="004E4A39" w:rsidRDefault="004E4A39" w:rsidP="004E4A39">
      <w:pPr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 xml:space="preserve">По этой команде подается напряжение на пиропатрон клапана отсечки 15 горючего от газогенератора. Через 0.12 ±0.044 с подается напряжение на пиропатроны клапанов отсечки "О" от газогенератора 7 и отсечки горючего от камеры 13. Одновременно выключается РКС и СОБ. Двигатель прекращает работу. </w:t>
      </w:r>
    </w:p>
    <w:p w14:paraId="3448B595" w14:textId="77777777" w:rsidR="004E4A39" w:rsidRPr="004E4A39" w:rsidRDefault="004E4A39" w:rsidP="004E4A39">
      <w:pPr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4E4A39">
        <w:rPr>
          <w:rFonts w:ascii="Arial" w:hAnsi="Arial" w:cs="Arial"/>
          <w:sz w:val="28"/>
          <w:szCs w:val="28"/>
        </w:rPr>
        <w:tab/>
        <w:t>В случае преждевременного израсходования горючего или падения давления в камере сгорания двигателя ниже 75%, от номинального значения сигнализатор давления 20 выдает команду на выключение двигателя, которое происходит аналогично нормальному выключению.</w:t>
      </w:r>
    </w:p>
    <w:p w14:paraId="691E651D" w14:textId="646AE4A0" w:rsidR="00DB1677" w:rsidRPr="004E4A39" w:rsidRDefault="00DB1677" w:rsidP="004E4A39">
      <w:pPr>
        <w:widowControl/>
        <w:spacing w:after="160" w:line="259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sectPr w:rsidR="00DB1677" w:rsidRPr="004E4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4A"/>
    <w:rsid w:val="002627AC"/>
    <w:rsid w:val="002C1664"/>
    <w:rsid w:val="004746E1"/>
    <w:rsid w:val="004E4A39"/>
    <w:rsid w:val="00770786"/>
    <w:rsid w:val="00842182"/>
    <w:rsid w:val="00890430"/>
    <w:rsid w:val="008C4C4D"/>
    <w:rsid w:val="008F635D"/>
    <w:rsid w:val="009D53E3"/>
    <w:rsid w:val="00A80DC8"/>
    <w:rsid w:val="00AC061E"/>
    <w:rsid w:val="00B02CFB"/>
    <w:rsid w:val="00B2514A"/>
    <w:rsid w:val="00CD77C5"/>
    <w:rsid w:val="00D13425"/>
    <w:rsid w:val="00D8626A"/>
    <w:rsid w:val="00DB1677"/>
    <w:rsid w:val="00DE0B8B"/>
    <w:rsid w:val="00FC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F8C1"/>
  <w15:chartTrackingRefBased/>
  <w15:docId w15:val="{149E8EC9-B641-400A-B858-D773DF5D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C5"/>
    <w:pPr>
      <w:widowControl w:val="0"/>
      <w:spacing w:after="0" w:line="30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D77C5"/>
    <w:pPr>
      <w:widowControl/>
      <w:spacing w:before="100" w:beforeAutospacing="1" w:after="100" w:afterAutospacing="1" w:line="240" w:lineRule="auto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984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Sirgey Mochulsky</dc:creator>
  <cp:keywords/>
  <dc:description/>
  <cp:lastModifiedBy>Sirgey Mochulsky</cp:lastModifiedBy>
  <cp:revision>20</cp:revision>
  <dcterms:created xsi:type="dcterms:W3CDTF">2026-09-29T13:58:00Z</dcterms:created>
  <dcterms:modified xsi:type="dcterms:W3CDTF">2026-09-29T14:30:00Z</dcterms:modified>
</cp:coreProperties>
</file>