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media/image1.png" ContentType="image/png"/>
  <Override PartName="/word/media/image2.png" ContentType="image/png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17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1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5.xml" ContentType="application/vnd.openxmlformats-officedocument.wordprocessingml.header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footer17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16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1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r>
        <mc:AlternateContent>
          <mc:Choice Requires="wps">
            <w:drawing>
              <wp:anchor behindDoc="0" distT="5080" distB="5080" distL="5080" distR="5715" simplePos="0" locked="0" layoutInCell="1" allowOverlap="1" relativeHeight="30">
                <wp:simplePos x="0" y="0"/>
                <wp:positionH relativeFrom="column">
                  <wp:posOffset>-943610</wp:posOffset>
                </wp:positionH>
                <wp:positionV relativeFrom="paragraph">
                  <wp:posOffset>-939165</wp:posOffset>
                </wp:positionV>
                <wp:extent cx="228600" cy="228600"/>
                <wp:effectExtent l="5080" t="5080" r="5715" b="5080"/>
                <wp:wrapNone/>
                <wp:docPr id="1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  <a:ln w="936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color w:val="A6A6A6"/>
                                <w:sz w:val="20"/>
                                <w:szCs w:val="20"/>
                                <w:lang w:val="ru-RU" w:eastAsia="zh-CN"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Надпись 2" path="l-2147483648,-2147483643l-2147483628,-2147483627l-2147483648,-2147483643l-2147483626,-2147483625xe" stroked="t" o:allowincell="f" style="position:absolute;margin-left:-74.3pt;margin-top:-73.95pt;width:17.95pt;height:17.95pt;mso-wrap-style:square;v-text-anchor:top">
                <v:fill o:detectmouseclick="t" on="false"/>
                <v:stroke color="#a6a6a6" weight="9360" joinstyle="miter" endcap="flat"/>
                <v:textbox>
                  <w:txbxContent>
                    <w:p>
                      <w:pPr>
                        <w:pStyle w:val="Style39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color w:val="A6A6A6"/>
                          <w:sz w:val="20"/>
                          <w:szCs w:val="20"/>
                          <w:lang w:val="ru-RU" w:eastAsia="zh-CN" w:bidi="ar-SA"/>
                        </w:rPr>
                        <w:t>2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b/>
          <w:sz w:val="28"/>
          <w:szCs w:val="28"/>
        </w:rPr>
        <w:t xml:space="preserve">Акционерное общество «Российский концерн по производству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электрической и тепловой энергии на атомных станциях»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(АО «Концерн Росэнергоатом»)</w:t>
      </w:r>
    </w:p>
    <w:p>
      <w:pPr>
        <w:pStyle w:val="Normal"/>
        <w:spacing w:before="120" w:after="0"/>
        <w:jc w:val="center"/>
        <w:rPr>
          <w:rFonts w:eastAsia="Calibri"/>
          <w:b/>
          <w:sz w:val="28"/>
          <w:szCs w:val="28"/>
          <w:lang w:val="ru-RU" w:eastAsia="ru-RU"/>
        </w:rPr>
      </w:pPr>
      <w:r>
        <mc:AlternateContent>
          <mc:Choice Requires="wps">
            <w:drawing>
              <wp:anchor behindDoc="0" distT="5080" distB="5080" distL="5080" distR="5715" simplePos="0" locked="0" layoutInCell="1" allowOverlap="1" relativeHeight="28">
                <wp:simplePos x="0" y="0"/>
                <wp:positionH relativeFrom="column">
                  <wp:posOffset>-943610</wp:posOffset>
                </wp:positionH>
                <wp:positionV relativeFrom="paragraph">
                  <wp:posOffset>-1552575</wp:posOffset>
                </wp:positionV>
                <wp:extent cx="228600" cy="228600"/>
                <wp:effectExtent l="5080" t="5080" r="5715" b="508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  <a:ln w="936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39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color w:val="A6A6A6"/>
                                <w:sz w:val="20"/>
                                <w:szCs w:val="20"/>
                                <w:lang w:val="ru-RU" w:eastAsia="zh-CN" w:bidi="ar-SA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Надпись 2" path="l-2147483648,-2147483643l-2147483628,-2147483627l-2147483648,-2147483643l-2147483626,-2147483625xe" stroked="t" o:allowincell="f" style="position:absolute;margin-left:-74.3pt;margin-top:-122.25pt;width:17.95pt;height:17.95pt;mso-wrap-style:square;v-text-anchor:top">
                <v:fill o:detectmouseclick="t" on="false"/>
                <v:stroke color="#a6a6a6" weight="9360" joinstyle="miter" endcap="flat"/>
                <v:textbox>
                  <w:txbxContent>
                    <w:p>
                      <w:pPr>
                        <w:pStyle w:val="Style39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color w:val="A6A6A6"/>
                          <w:sz w:val="20"/>
                          <w:szCs w:val="20"/>
                          <w:lang w:val="ru-RU" w:eastAsia="zh-CN" w:bidi="ar-SA"/>
                        </w:rPr>
                        <w:t>2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  <w:r>
        <w:rPr>
          <w:rFonts w:eastAsia="Calibri"/>
          <w:b/>
          <w:sz w:val="28"/>
          <w:szCs w:val="28"/>
          <w:lang w:val="ru-RU" w:eastAsia="ru-RU"/>
        </w:rPr>
        <w:t xml:space="preserve">Филиал АО «Концерн Росэнергоатом» </w:t>
      </w:r>
    </w:p>
    <w:p>
      <w:pPr>
        <w:pStyle w:val="Normal"/>
        <w:jc w:val="center"/>
        <w:rPr>
          <w:rFonts w:eastAsia="Calibri"/>
          <w:b/>
          <w:sz w:val="28"/>
          <w:szCs w:val="28"/>
          <w:lang w:val="ru-RU" w:eastAsia="ru-RU"/>
        </w:rPr>
      </w:pPr>
      <w:r>
        <w:rPr>
          <w:rFonts w:eastAsia="Calibri"/>
          <w:b/>
          <w:sz w:val="28"/>
          <w:szCs w:val="28"/>
          <w:lang w:val="ru-RU" w:eastAsia="ru-RU"/>
        </w:rPr>
        <w:t>«Ростовская атомная станция» (Ростовская АЭС)</w:t>
      </w:r>
    </w:p>
    <w:p>
      <w:pPr>
        <w:pStyle w:val="Normal"/>
        <w:jc w:val="center"/>
        <w:rPr>
          <w:rFonts w:eastAsia="Calibri"/>
          <w:b/>
          <w:sz w:val="24"/>
          <w:szCs w:val="24"/>
          <w:lang w:val="ru-RU" w:eastAsia="ru-RU"/>
        </w:rPr>
      </w:pPr>
      <w:r>
        <w:rPr>
          <w:rFonts w:eastAsia="Calibri"/>
          <w:b/>
          <w:sz w:val="24"/>
          <w:szCs w:val="24"/>
          <w:lang w:val="ru-RU" w:eastAsia="ru-RU"/>
        </w:rPr>
      </w:r>
    </w:p>
    <w:p>
      <w:pPr>
        <w:pStyle w:val="Normal"/>
        <w:rPr>
          <w:rFonts w:eastAsia="Calibri"/>
          <w:b/>
          <w:sz w:val="24"/>
          <w:szCs w:val="24"/>
          <w:lang w:val="ru-RU" w:eastAsia="ru-RU"/>
        </w:rPr>
      </w:pPr>
      <w:r>
        <w:rPr>
          <w:rFonts w:eastAsia="Calibri"/>
          <w:b/>
          <w:sz w:val="24"/>
          <w:szCs w:val="24"/>
          <w:lang w:val="ru-RU" w:eastAsia="ru-RU"/>
        </w:rPr>
      </w:r>
    </w:p>
    <w:p>
      <w:pPr>
        <w:pStyle w:val="Normal"/>
        <w:jc w:val="center"/>
        <w:rPr>
          <w:rFonts w:eastAsia="Calibri"/>
          <w:b/>
          <w:sz w:val="24"/>
          <w:szCs w:val="24"/>
          <w:lang w:val="ru-RU" w:eastAsia="ru-RU"/>
        </w:rPr>
      </w:pPr>
      <w:r>
        <w:rPr>
          <w:rFonts w:eastAsia="Calibri"/>
          <w:b/>
          <w:sz w:val="24"/>
          <w:szCs w:val="24"/>
          <w:lang w:val="ru-RU" w:eastAsia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4186" w:type="dxa"/>
        <w:jc w:val="left"/>
        <w:tblInd w:w="61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6"/>
      </w:tblGrid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suppressAutoHyphens w:val="true"/>
              <w:overflowPunct w:val="true"/>
              <w:bidi w:val="0"/>
              <w:spacing w:before="0" w:after="0"/>
              <w:ind w:hanging="0" w:left="0" w:right="-397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УТВЕРЖДАЮ</w:t>
            </w:r>
          </w:p>
        </w:tc>
      </w:tr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инженер</w:t>
            </w:r>
          </w:p>
        </w:tc>
      </w:tr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ind w:hanging="0" w:left="0" w:right="77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А.Б. Горбунов</w:t>
            </w:r>
          </w:p>
        </w:tc>
      </w:tr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186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7655" w:leader="none"/>
                <w:tab w:val="left" w:pos="7938" w:leader="none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«____»_______________20____г.</w:t>
            </w:r>
          </w:p>
        </w:tc>
      </w:tr>
    </w:tbl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Style17"/>
        <w:ind w:firstLine="851" w:left="0" w:right="0"/>
        <w:rPr/>
      </w:pPr>
      <w:r>
        <w:rPr/>
      </w:r>
    </w:p>
    <w:p>
      <w:pPr>
        <w:pStyle w:val="12"/>
        <w:widowControl w:val="false"/>
        <w:tabs>
          <w:tab w:val="clear" w:pos="1134"/>
          <w:tab w:val="clear" w:pos="2835"/>
          <w:tab w:val="clear" w:pos="5670"/>
          <w:tab w:val="clear" w:pos="6804"/>
          <w:tab w:val="clear" w:pos="8505"/>
        </w:tabs>
        <w:jc w:val="center"/>
        <w:rPr>
          <w:sz w:val="32"/>
          <w:szCs w:val="32"/>
        </w:rPr>
      </w:pPr>
      <w:r>
        <w:rPr>
          <w:sz w:val="32"/>
          <w:szCs w:val="32"/>
        </w:rPr>
        <w:t>ИНСТРУКЦИЯ ПО ЭКСПЛУАТАЦИИ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Низковольтные комплектные устройства 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распределения и управления </w:t>
      </w:r>
      <w:r>
        <w:rPr>
          <w:sz w:val="32"/>
          <w:szCs w:val="32"/>
          <w:lang w:val="en-US"/>
        </w:rPr>
        <w:t>Freecon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ИЭ.3.НКУ-РУ.27.142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3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Распорядительный документ</w:t>
      </w:r>
    </w:p>
    <w:p>
      <w:pPr>
        <w:pStyle w:val="Normal"/>
        <w:tabs>
          <w:tab w:val="clear" w:pos="720"/>
          <w:tab w:val="left" w:pos="3544" w:leader="none"/>
        </w:tabs>
        <w:rPr>
          <w:sz w:val="28"/>
          <w:szCs w:val="28"/>
        </w:rPr>
      </w:pPr>
      <w:r>
        <w:rPr>
          <w:sz w:val="28"/>
          <w:szCs w:val="28"/>
        </w:rPr>
        <w:t>о введении в действие</w:t>
        <w:tab/>
        <w:t>от_____________№___________________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 введения в действие</w:t>
        <w:tab/>
        <w:t>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0" w:top="1133" w:footer="350" w:bottom="567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8"/>
          <w:szCs w:val="28"/>
        </w:rPr>
      </w:pPr>
      <w:r>
        <w:rPr>
          <w:sz w:val="28"/>
          <w:szCs w:val="28"/>
        </w:rPr>
        <w:t>Дата окончания действия</w:t>
        <w:tab/>
        <w:t>___________________________________</w:t>
      </w:r>
    </w:p>
    <w:p>
      <w:pPr>
        <w:pStyle w:val="Normal"/>
        <w:spacing w:before="24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Лист визирования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ИЭ.3.НКУ-РУ.27.142 «Инструкция по эксплуатации. Низковольтные комплектные устройства распределения и управления </w:t>
      </w:r>
      <w:r>
        <w:rPr>
          <w:sz w:val="28"/>
          <w:szCs w:val="28"/>
          <w:lang w:val="en-US"/>
        </w:rPr>
        <w:t>Freecon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jc w:val="center"/>
        <w:rPr>
          <w:sz w:val="24"/>
          <w:szCs w:val="28"/>
        </w:rPr>
      </w:pPr>
      <w:r>
        <w:rPr>
          <w:sz w:val="24"/>
          <w:szCs w:val="28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5"/>
        <w:gridCol w:w="2694"/>
        <w:gridCol w:w="718"/>
        <w:gridCol w:w="2366"/>
      </w:tblGrid>
      <w:tr>
        <w:trPr>
          <w:trHeight w:val="851" w:hRule="atLeast"/>
        </w:trPr>
        <w:tc>
          <w:tcPr>
            <w:tcW w:w="4075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ЦТАИ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С.В. Коватев</w:t>
            </w:r>
          </w:p>
        </w:tc>
      </w:tr>
      <w:tr>
        <w:trPr>
          <w:trHeight w:val="851" w:hRule="atLeast"/>
        </w:trPr>
        <w:tc>
          <w:tcPr>
            <w:tcW w:w="4075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ТУ ЦТАИ</w:t>
            </w:r>
          </w:p>
        </w:tc>
        <w:tc>
          <w:tcPr>
            <w:tcW w:w="2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Е.А. Столярчук</w:t>
            </w:r>
          </w:p>
        </w:tc>
      </w:tr>
      <w:tr>
        <w:trPr>
          <w:trHeight w:val="851" w:hRule="atLeast"/>
        </w:trPr>
        <w:tc>
          <w:tcPr>
            <w:tcW w:w="4075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 ЦТАИ</w:t>
            </w:r>
          </w:p>
        </w:tc>
        <w:tc>
          <w:tcPr>
            <w:tcW w:w="2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И.Б. Банников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2266"/>
        <w:gridCol w:w="718"/>
        <w:gridCol w:w="2366"/>
      </w:tblGrid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Нормоконтроль разработчика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Т.А. Лозовских</w:t>
            </w:r>
          </w:p>
        </w:tc>
      </w:tr>
    </w:tbl>
    <w:p>
      <w:pPr>
        <w:pStyle w:val="Normal"/>
        <w:rPr>
          <w:sz w:val="4"/>
          <w:szCs w:val="3"/>
        </w:rPr>
      </w:pPr>
      <w:r>
        <w:rPr>
          <w:sz w:val="4"/>
          <w:szCs w:val="3"/>
        </w:rPr>
      </w:r>
      <w:r>
        <w:br w:type="page"/>
      </w:r>
    </w:p>
    <w:p>
      <w:pPr>
        <w:pStyle w:val="Normal"/>
        <w:spacing w:before="0"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Лист согласования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ИЭ.3.НКУ-РУ.27.142 «Инструкция по эксплуатации. Низковольтные комплектные устройства распределения и управления </w:t>
      </w:r>
      <w:r>
        <w:rPr>
          <w:sz w:val="28"/>
          <w:szCs w:val="28"/>
          <w:lang w:val="en-US"/>
        </w:rPr>
        <w:t>Freecon</w:t>
      </w:r>
      <w:r>
        <w:rPr>
          <w:sz w:val="28"/>
          <w:szCs w:val="28"/>
        </w:rPr>
        <w:t>»</w:t>
      </w:r>
    </w:p>
    <w:p>
      <w:pPr>
        <w:pStyle w:val="Normal"/>
        <w:widowControl w:val="false"/>
        <w:jc w:val="center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2266"/>
        <w:gridCol w:w="718"/>
        <w:gridCol w:w="2366"/>
      </w:tblGrid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главного инженера</w:t>
              <w:br/>
              <w:t xml:space="preserve"> по эксплуатации 1 очереди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А.В. Катунин</w:t>
            </w:r>
          </w:p>
        </w:tc>
      </w:tr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главного инженера</w:t>
              <w:br/>
              <w:t xml:space="preserve"> по эксплуатации 2 очереди</w:t>
            </w: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А.А. Жуков</w:t>
            </w:r>
          </w:p>
        </w:tc>
      </w:tr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ПТО</w:t>
            </w: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А.Б. Ластенко</w:t>
            </w:r>
          </w:p>
        </w:tc>
      </w:tr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метролог –</w:t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ОМ</w:t>
            </w:r>
          </w:p>
        </w:tc>
        <w:tc>
          <w:tcPr>
            <w:tcW w:w="226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В.А. Мухин</w:t>
            </w:r>
          </w:p>
        </w:tc>
      </w:tr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ЭЦ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Ю.А. Павлов</w:t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3"/>
        <w:gridCol w:w="2266"/>
        <w:gridCol w:w="718"/>
        <w:gridCol w:w="2366"/>
      </w:tblGrid>
      <w:tr>
        <w:trPr>
          <w:trHeight w:val="851" w:hRule="atLeast"/>
        </w:trPr>
        <w:tc>
          <w:tcPr>
            <w:tcW w:w="4503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Нормоконтролер ПТО</w:t>
            </w:r>
          </w:p>
        </w:tc>
        <w:tc>
          <w:tcPr>
            <w:tcW w:w="226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366" w:type="dxa"/>
            <w:tcBorders/>
            <w:vAlign w:val="bottom"/>
          </w:tcPr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418" w:right="567" w:gutter="0" w:header="567" w:top="624" w:footer="0" w:bottom="567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Предисловие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er"/>
        <w:tabs>
          <w:tab w:val="center" w:pos="0" w:leader="none"/>
          <w:tab w:val="center" w:pos="4153" w:leader="none"/>
          <w:tab w:val="right" w:pos="8306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>1 РАЗРАБОТАН Филиалом АО «Концерн Росэнергоатом» «Ростовская атомная станция» (Ростовская АЭС),</w:t>
      </w:r>
      <w:r>
        <w:rPr>
          <w:rFonts w:eastAsia="Calibri"/>
          <w:sz w:val="28"/>
          <w:szCs w:val="28"/>
          <w:lang w:val="ru-RU" w:eastAsia="ru-RU"/>
        </w:rPr>
        <w:t xml:space="preserve"> ЦТАИ</w:t>
      </w:r>
    </w:p>
    <w:p>
      <w:pPr>
        <w:pStyle w:val="Header"/>
        <w:tabs>
          <w:tab w:val="center" w:pos="0" w:leader="none"/>
          <w:tab w:val="center" w:pos="4153" w:leader="none"/>
          <w:tab w:val="right" w:pos="8306" w:leader="none"/>
        </w:tabs>
        <w:spacing w:lineRule="auto" w:line="360"/>
        <w:ind w:firstLine="709" w:left="0" w:right="0"/>
        <w:rPr>
          <w:sz w:val="28"/>
          <w:szCs w:val="28"/>
        </w:rPr>
      </w:pPr>
      <w:r>
        <w:rPr>
          <w:sz w:val="28"/>
          <w:szCs w:val="28"/>
        </w:rPr>
        <w:t>2  ВНЕСЕН Цехом тепловой автоматики и измерений</w:t>
      </w:r>
    </w:p>
    <w:p>
      <w:pPr>
        <w:pStyle w:val="Header"/>
        <w:tabs>
          <w:tab w:val="center" w:pos="1418" w:leader="none"/>
          <w:tab w:val="center" w:pos="4153" w:leader="none"/>
          <w:tab w:val="right" w:pos="8306" w:leader="none"/>
        </w:tabs>
        <w:spacing w:lineRule="auto" w:line="360"/>
        <w:ind w:firstLine="709" w:left="0" w:right="0"/>
        <w:rPr>
          <w:sz w:val="28"/>
          <w:szCs w:val="28"/>
        </w:rPr>
      </w:pPr>
      <w:r>
        <w:rPr>
          <w:sz w:val="28"/>
          <w:szCs w:val="28"/>
        </w:rPr>
        <w:t>3  ВВЕДЕН В ДЕЙСТВИЕ Распоряжением Ростовской АЭС от __________ №___________</w:t>
      </w:r>
    </w:p>
    <w:p>
      <w:pPr>
        <w:pStyle w:val="Header"/>
        <w:tabs>
          <w:tab w:val="center" w:pos="1418" w:leader="none"/>
          <w:tab w:val="center" w:pos="4153" w:leader="none"/>
          <w:tab w:val="right" w:pos="8306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ВЗАМЕН Инструкции по эксплуатации «Низковольтные комплектные устройства распределения и управления </w:t>
      </w:r>
      <w:r>
        <w:rPr>
          <w:sz w:val="28"/>
          <w:szCs w:val="28"/>
          <w:lang w:val="en-US"/>
        </w:rPr>
        <w:t>Freecon</w:t>
      </w:r>
      <w:r>
        <w:rPr>
          <w:sz w:val="28"/>
          <w:szCs w:val="28"/>
        </w:rPr>
        <w:t>» ИЭ.3.НКУ-РУ.27.142, утвержденной 03.09.2019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widowControl w:val="false"/>
        <w:spacing w:before="0" w:after="238"/>
        <w:ind w:hanging="0" w:left="-794" w:righ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tbl>
      <w:tblPr>
        <w:tblW w:w="1020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490"/>
        <w:gridCol w:w="7689"/>
        <w:gridCol w:w="532"/>
      </w:tblGrid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Область применения………………………………………………………........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Нормативные ссылки…………………………………………………………...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Обозначения и сокращения…………………………………………….............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Общие положения………………………………………………………...…….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left="-172" w:right="-1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Назначение, краткое описание и характеристика системы, оборудования....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4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120" w:after="60"/>
              <w:ind w:hanging="0" w:left="-94" w:right="-138"/>
              <w:jc w:val="both"/>
              <w:outlineLvl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Меры безопасности при эксплуатации……….………………………….…....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10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120" w:after="60"/>
              <w:ind w:hanging="0" w:left="-94" w:right="-108"/>
              <w:jc w:val="both"/>
              <w:outlineLvl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Порядок подготовки к работе, пуску и пуск системы, оборудования…….......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10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120" w:after="60"/>
              <w:ind w:hanging="0" w:left="-94" w:right="-108"/>
              <w:jc w:val="both"/>
              <w:outlineLvl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Параметры системы, оборудования при нормальной эксплуатации………….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16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120" w:after="60"/>
              <w:ind w:hanging="0" w:left="-94" w:right="-138"/>
              <w:jc w:val="both"/>
              <w:outlineLvl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в ремонт системы, оборудования …..………..………………….....….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17</w:t>
            </w:r>
          </w:p>
        </w:tc>
      </w:tr>
      <w:tr>
        <w:trPr/>
        <w:tc>
          <w:tcPr>
            <w:tcW w:w="496" w:type="dxa"/>
            <w:tcBorders/>
          </w:tcPr>
          <w:p>
            <w:pPr>
              <w:pStyle w:val="Normal"/>
              <w:widowControl w:val="false"/>
              <w:spacing w:before="120" w:after="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9179" w:type="dxa"/>
            <w:gridSpan w:val="2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before="120" w:after="60"/>
              <w:ind w:hanging="0" w:left="-94" w:right="-138"/>
              <w:jc w:val="both"/>
              <w:outlineLvl w:val="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Возможные  нарушения и отказы при эксплуатации системы, </w:t>
              <w:br/>
              <w:t>оборудования, действия персонала по их устранению….…………….………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spacing w:before="120" w:after="0"/>
              <w:rPr>
                <w:sz w:val="16"/>
                <w:szCs w:val="14"/>
                <w:highlight w:val="none"/>
                <w:shd w:fill="auto" w:val="clear"/>
              </w:rPr>
            </w:pPr>
            <w:r>
              <w:rPr>
                <w:sz w:val="16"/>
                <w:szCs w:val="14"/>
                <w:shd w:fill="auto" w:val="clear"/>
              </w:rPr>
            </w:r>
          </w:p>
          <w:p>
            <w:pPr>
              <w:pStyle w:val="Normal"/>
              <w:widowControl w:val="false"/>
              <w:spacing w:before="120" w:after="0"/>
              <w:rPr>
                <w:sz w:val="28"/>
                <w:szCs w:val="28"/>
                <w:highlight w:val="none"/>
                <w:shd w:fill="auto" w:val="clear"/>
              </w:rPr>
            </w:pPr>
            <w:r>
              <w:rPr>
                <w:sz w:val="28"/>
                <w:szCs w:val="28"/>
                <w:shd w:fill="auto" w:val="clear"/>
              </w:rPr>
              <w:t>21</w:t>
            </w:r>
          </w:p>
        </w:tc>
      </w:tr>
      <w:tr>
        <w:trPr/>
        <w:tc>
          <w:tcPr>
            <w:tcW w:w="1986" w:type="dxa"/>
            <w:gridSpan w:val="2"/>
            <w:tcBorders/>
          </w:tcPr>
          <w:p>
            <w:pPr>
              <w:pStyle w:val="Normal"/>
              <w:widowControl w:val="false"/>
              <w:spacing w:before="120" w:after="60"/>
              <w:ind w:hanging="0" w:left="0" w:right="-108"/>
              <w:rPr>
                <w:sz w:val="28"/>
              </w:rPr>
            </w:pPr>
            <w:r>
              <w:rPr>
                <w:sz w:val="28"/>
              </w:rPr>
              <w:t>Приложение А</w:t>
            </w:r>
          </w:p>
        </w:tc>
        <w:tc>
          <w:tcPr>
            <w:tcW w:w="7689" w:type="dxa"/>
            <w:tcBorders/>
          </w:tcPr>
          <w:p>
            <w:pPr>
              <w:pStyle w:val="Normal"/>
              <w:widowControl w:val="false"/>
              <w:spacing w:before="120" w:after="60"/>
              <w:ind w:firstLine="107" w:left="-107" w:righ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(обязательное) Размещение шкафов низковольтных комплектных устройств распределения  и  управления………..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 w:val="fals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</w:r>
          </w:p>
          <w:p>
            <w:pPr>
              <w:pStyle w:val="Normal"/>
              <w:widowControl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/>
          <w:pgMar w:left="1418" w:right="567" w:gutter="0" w:header="567" w:top="1098" w:footer="461" w:bottom="567"/>
          <w:pgNumType w:start="2"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Heading1"/>
        <w:keepNext w:val="true"/>
        <w:numPr>
          <w:ilvl w:val="0"/>
          <w:numId w:val="12"/>
        </w:numPr>
        <w:tabs>
          <w:tab w:val="clear" w:pos="720"/>
          <w:tab w:val="left" w:pos="1176" w:leader="none"/>
        </w:tabs>
        <w:spacing w:lineRule="auto" w:line="240" w:before="240" w:after="240"/>
        <w:ind w:firstLine="709" w:left="0" w:right="0"/>
        <w:jc w:val="both"/>
        <w:rPr>
          <w:b/>
          <w:caps w:val="false"/>
          <w:smallCaps w:val="false"/>
          <w:sz w:val="32"/>
          <w:szCs w:val="32"/>
        </w:rPr>
      </w:pPr>
      <w:r>
        <w:rPr>
          <w:b/>
          <w:caps w:val="false"/>
          <w:smallCaps w:val="false"/>
          <w:sz w:val="32"/>
          <w:szCs w:val="32"/>
        </w:rPr>
        <w:t>Область применения</w:t>
      </w:r>
    </w:p>
    <w:p>
      <w:pPr>
        <w:pStyle w:val="33"/>
        <w:widowControl w:val="false"/>
        <w:numPr>
          <w:ilvl w:val="0"/>
          <w:numId w:val="5"/>
        </w:numPr>
        <w:tabs>
          <w:tab w:val="clear" w:pos="720"/>
          <w:tab w:val="left" w:pos="1302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Настоящая инструкция по эксплуатации является документом, содержащим конкретные указания эксплуатационному персоналу об условиях эксплуатации шкафов НКУ-РУ.</w:t>
      </w:r>
    </w:p>
    <w:p>
      <w:pPr>
        <w:pStyle w:val="33"/>
        <w:widowControl w:val="false"/>
        <w:numPr>
          <w:ilvl w:val="1"/>
          <w:numId w:val="12"/>
        </w:numPr>
        <w:tabs>
          <w:tab w:val="clear" w:pos="720"/>
          <w:tab w:val="left" w:pos="1288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Настоящая инструкция распространяется на энергоблок № 3 Ростовской атомной станции.</w:t>
      </w:r>
    </w:p>
    <w:p>
      <w:pPr>
        <w:pStyle w:val="33"/>
        <w:widowControl w:val="false"/>
        <w:numPr>
          <w:ilvl w:val="1"/>
          <w:numId w:val="12"/>
        </w:numPr>
        <w:tabs>
          <w:tab w:val="clear" w:pos="720"/>
          <w:tab w:val="left" w:pos="1288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Работы по настоящей инструкции выполняются на НДВ, ДОУ, ОНС, убежищах, в зданиях караула,  предназначены для поддержания работоспособности шкафов НКУ-РУ.</w:t>
      </w:r>
    </w:p>
    <w:p>
      <w:pPr>
        <w:pStyle w:val="Heading1"/>
        <w:keepNext w:val="true"/>
        <w:numPr>
          <w:ilvl w:val="0"/>
          <w:numId w:val="12"/>
        </w:numPr>
        <w:tabs>
          <w:tab w:val="clear" w:pos="720"/>
          <w:tab w:val="left" w:pos="1176" w:leader="none"/>
        </w:tabs>
        <w:spacing w:lineRule="auto" w:line="240" w:before="240" w:after="240"/>
        <w:ind w:firstLine="709" w:left="0" w:right="0"/>
        <w:jc w:val="both"/>
        <w:rPr>
          <w:b/>
          <w:caps w:val="false"/>
          <w:smallCaps w:val="false"/>
          <w:sz w:val="32"/>
          <w:szCs w:val="32"/>
        </w:rPr>
      </w:pPr>
      <w:r>
        <w:rPr>
          <w:b/>
          <w:caps w:val="false"/>
          <w:smallCaps w:val="false"/>
          <w:sz w:val="32"/>
          <w:szCs w:val="32"/>
        </w:rPr>
        <w:t>Нормативные ссылки</w:t>
      </w:r>
    </w:p>
    <w:p>
      <w:pPr>
        <w:pStyle w:val="33"/>
        <w:widowControl w:val="false"/>
        <w:tabs>
          <w:tab w:val="clear" w:pos="720"/>
          <w:tab w:val="left" w:pos="1288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В настоящей инструкции использованы ссылки на следующие документы: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НП-001-15  Общие положения  обеспечения безопасности атомных станций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>И.00.08 Инструкция Порядок организации вывода оборудования (блока) в ремонт и ввода его в работу (рез</w:t>
      </w:r>
      <w:r>
        <w:rPr>
          <w:sz w:val="28"/>
          <w:szCs w:val="28"/>
          <w:shd w:fill="auto" w:val="clear"/>
        </w:rPr>
        <w:t>ерв) после ремонта, непланового останова или останова в резерв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  <w:t>Правила  по  охране  труда  при эксплуатации  электроустановок.  Минтруд  и   соцзащиты  РФ, 2020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  <w:t>ПУЭ Правила устройства электроустановок, 2014</w:t>
      </w:r>
    </w:p>
    <w:p>
      <w:pPr>
        <w:pStyle w:val="Normal"/>
        <w:widowControl w:val="false"/>
        <w:tabs>
          <w:tab w:val="clear" w:pos="720"/>
          <w:tab w:val="left" w:pos="1134" w:leader="none"/>
          <w:tab w:val="left" w:pos="1276" w:leader="none"/>
        </w:tabs>
        <w:spacing w:lineRule="auto" w:line="360"/>
        <w:ind w:firstLine="709" w:left="0" w:right="0"/>
        <w:jc w:val="both"/>
        <w:rPr>
          <w:sz w:val="28"/>
          <w:szCs w:val="28"/>
          <w:shd w:fill="auto" w:val="clear"/>
        </w:rPr>
      </w:pPr>
      <w:r>
        <w:rPr>
          <w:sz w:val="28"/>
          <w:szCs w:val="28"/>
          <w:shd w:fill="auto" w:val="clear"/>
        </w:rPr>
        <w:t>РУ.00.01 Руководство Порядок разработки и обращения. Документы по ведению технологических процессов (инструкции по эксплуатации, схемы, альбомы схем)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>РУ.00.08</w:t>
      </w:r>
      <w:r>
        <w:rPr>
          <w:sz w:val="28"/>
          <w:szCs w:val="28"/>
          <w:shd w:fill="auto" w:val="clear"/>
        </w:rPr>
        <w:t xml:space="preserve"> Руководство Документы производственно-технические. Общие требования к оформлению текста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  <w:shd w:fill="auto" w:val="clear"/>
        </w:rPr>
        <w:t>СТО 1.1.1.02.001.0673-2017 Правила охраны труда при эксплуатации тепломеханического оборудования и тепловых сетей атомных станций АО  «Концерн Росэнергоатом»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>R3.02175. Насосная добавочной воды блоков №3,4 с водоподводящим ковшом.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R3.02154. Здание ДОУ.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R3.02160. Здание ДОУ. Автоматизация систем отопления, вентиляции и кондиционирования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R3.02156. Объединенная насосная станция системы охлаждения основного оборудования. Технология.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R3.04948. Объединенная насосная станция системы охлаждения основного оборудования. Вентиляция.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R3.04952. Насосная станция РЭСЭО с водоприемным ковшом.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R3.02172. Комплекс ИТМГО МПЧС. Убежище на 600 укрываемых.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R3.02170. КИТСФЗ. Комплекс зданий и сооружений Караула-3. Встроенное убежище ГО на 50 укрываемых.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R3.02177. Резервная емкость СООП. Насосная станция опорожнения брызгальных бассейнов. 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R3.03015. Трубопроводы подпиточной воды на промплощадке. Камера фильтров. Электротехническая часть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R3.04957. СФЗ . Здание караула-3 с сооружением ГО. Здание Караула-3. Автоматизация комплексная</w:t>
      </w:r>
    </w:p>
    <w:p>
      <w:pPr>
        <w:pStyle w:val="33"/>
        <w:widowControl w:val="false"/>
        <w:tabs>
          <w:tab w:val="clear" w:pos="720"/>
          <w:tab w:val="left" w:pos="1134" w:leader="none"/>
        </w:tabs>
        <w:spacing w:lineRule="auto" w:line="240" w:before="0" w:after="0"/>
        <w:ind w:firstLine="709" w:left="0" w:right="0"/>
        <w:jc w:val="both"/>
        <w:rPr>
          <w:sz w:val="24"/>
          <w:szCs w:val="21"/>
        </w:rPr>
      </w:pPr>
      <w:r>
        <w:rPr>
          <w:rFonts w:eastAsia="Times New Roman" w:cs="Times New Roman"/>
          <w:color w:val="auto"/>
          <w:spacing w:val="36"/>
          <w:kern w:val="0"/>
          <w:sz w:val="24"/>
          <w:szCs w:val="24"/>
          <w:lang w:val="ru-RU" w:eastAsia="zh-CN" w:bidi="ar-SA"/>
        </w:rPr>
        <w:t>Примечание</w:t>
      </w:r>
      <w:r>
        <w:rPr>
          <w:rFonts w:eastAsia="Times New Roman" w:cs="Times New Roman"/>
          <w:color w:val="auto"/>
          <w:spacing w:val="100"/>
          <w:kern w:val="0"/>
          <w:sz w:val="24"/>
          <w:szCs w:val="24"/>
          <w:lang w:val="ru-RU" w:eastAsia="zh-CN" w:bidi="ar-SA"/>
        </w:rPr>
        <w:t>:</w:t>
      </w:r>
      <w:r>
        <w:rPr>
          <w:sz w:val="24"/>
          <w:szCs w:val="21"/>
        </w:rPr>
        <w:t xml:space="preserve"> При использовании настоящим документом целесообразно проверить актуальность применяемых ссылочных документов. Если ссылочный документ заменен (изменен) то при использовании в документе следует руководствоваться замененным (измененным) нормативным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jc w:val="both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Обозначения и сокращения</w:t>
      </w:r>
    </w:p>
    <w:p>
      <w:pPr>
        <w:pStyle w:val="Normal"/>
        <w:widowControl w:val="false"/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8"/>
          <w:lang w:val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bidi="ar-SA"/>
        </w:rPr>
        <w:t>В настоящей инструкции по эксплуатации приняты следующие сокращения:</w:t>
      </w:r>
    </w:p>
    <w:tbl>
      <w:tblPr>
        <w:tblW w:w="10276" w:type="dxa"/>
        <w:jc w:val="righ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550"/>
        <w:gridCol w:w="418"/>
        <w:gridCol w:w="7308"/>
      </w:tblGrid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автоматический выключатель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АЭС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атомная электрическая станция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ДОУ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lineRule="auto" w:line="36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дистилляционная обессоливающая установка</w:t>
            </w:r>
          </w:p>
        </w:tc>
      </w:tr>
      <w:tr>
        <w:trPr>
          <w:trHeight w:val="735" w:hRule="atLeast"/>
        </w:trPr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ИАСУП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24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 по автоматизированным системам управления производством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lineRule="auto" w:line="360"/>
              <w:ind w:hanging="1843" w:left="184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ИТМГО МПЧС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suppressAutoHyphens w:val="true"/>
              <w:overflowPunct w:val="true"/>
              <w:bidi w:val="0"/>
              <w:spacing w:lineRule="auto" w:line="360" w:before="0" w:after="0"/>
              <w:ind w:hanging="0" w:left="57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инженерно-технические мероприятия гражданской обороны и мероприятия по предупреждению чрезвычайных ситуаций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ИТР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lineRule="auto" w:line="36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инженерно-технический работник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ИЭ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инструкция по эксплуатации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НДВ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насосная добавочной воды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НКУ-РУ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низковольтные комплектные устройства распределения и управления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НСАС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4"/>
              </w:rPr>
              <w:t>начальник смены атомной станции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НСБ-3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смены блока № 3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НС ЦТАИ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смены цеха тепловой автоматики и измерений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оперативный персонал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ОПЭ АС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основные правила обеспечения эксплуатации атомных станций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РЭ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руководство по эксплуатации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РЭСЭО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резервная дизельная электростанция общеблочная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СООП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</w:tabs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843" w:leader="none"/>
              </w:tabs>
              <w:spacing w:before="0" w:after="120"/>
              <w:ind w:hang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охлаждения ответственных потребителей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ЦТАИ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цех тепловой автоматики и измерений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ЭПА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 w:before="0" w:after="12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1418" w:leader="none"/>
              </w:tabs>
              <w:spacing w:before="0" w:after="120"/>
              <w:ind w:hanging="0" w:left="0" w:righ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электроприводная арматура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 w:val="false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ЭСЭ</w:t>
            </w:r>
          </w:p>
        </w:tc>
        <w:tc>
          <w:tcPr>
            <w:tcW w:w="418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360"/>
              <w:ind w:hanging="0" w:left="0" w:righ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7308" w:type="dxa"/>
            <w:tcBorders/>
          </w:tcPr>
          <w:p>
            <w:pPr>
              <w:pStyle w:val="Normal"/>
              <w:widowControl w:val="false"/>
              <w:spacing w:before="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электрослесарь по обслуживанию автоматики и средств измерений электростанций</w:t>
            </w:r>
          </w:p>
        </w:tc>
      </w:tr>
    </w:tbl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Общие положения</w:t>
      </w:r>
    </w:p>
    <w:p>
      <w:pPr>
        <w:pStyle w:val="Normal"/>
        <w:widowControl w:val="false"/>
        <w:numPr>
          <w:ilvl w:val="1"/>
          <w:numId w:val="1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Настоящая инструкция является документом, содержащим конкретные указания персоналу о способах ведения работ при нормальной эксплуатации и нарушениях нормальной эксплуатации, включая предаварийные ситуации. Шкафы НКУ-РУ должны функционировать во всех предусмотренных проектом режимах, включая режим нормальной эксплуатации, плановые пуски и остановы энергоблока, ремонт, нарушения нормальной эксплуатации, предаварийные ситуации и аварии.</w:t>
      </w:r>
    </w:p>
    <w:p>
      <w:pPr>
        <w:pStyle w:val="Normal"/>
        <w:widowControl w:val="false"/>
        <w:numPr>
          <w:ilvl w:val="1"/>
          <w:numId w:val="1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 xml:space="preserve">Настоящая инструкция по эксплуатации распространяется на шкафы НКУ-РУ </w:t>
      </w:r>
      <w:r>
        <w:rPr>
          <w:rFonts w:eastAsia="Calibri"/>
          <w:sz w:val="28"/>
          <w:szCs w:val="24"/>
        </w:rPr>
        <w:t>Freecon</w:t>
      </w:r>
      <w:r>
        <w:rPr>
          <w:sz w:val="28"/>
          <w:szCs w:val="28"/>
        </w:rPr>
        <w:t>. Инструкция обязательна для исполнения персоналом цеха ТАИ, обслуживающим эту аппаратуру, кроме шкафов 3LV06, 3LW06 и 3LX06, закрепленных за ЭЦ. При эксплуатации шкафов НКУ-РУ, оперативный персонал цеха ТАИ должен руководствоваться настоящей инструкцией.</w:t>
      </w:r>
    </w:p>
    <w:p>
      <w:pPr>
        <w:pStyle w:val="Normal"/>
        <w:widowControl w:val="false"/>
        <w:numPr>
          <w:ilvl w:val="1"/>
          <w:numId w:val="1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С настоящей инструкцией должны быть ознакомлены и руководствоваться в работе: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НС ЦТАИ;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34">
                <wp:simplePos x="0" y="0"/>
                <wp:positionH relativeFrom="column">
                  <wp:posOffset>6570980</wp:posOffset>
                </wp:positionH>
                <wp:positionV relativeFrom="paragraph">
                  <wp:posOffset>-74930</wp:posOffset>
                </wp:positionV>
                <wp:extent cx="0" cy="285750"/>
                <wp:effectExtent l="635" t="635" r="635" b="635"/>
                <wp:wrapNone/>
                <wp:docPr id="3" name="Вертика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85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7.4pt,-5.9pt" to="517.4pt,16.55pt" ID="Вертикальная линия 1" stroked="t" o:allowincell="f" style="position:absolute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</w:rPr>
        <w:t xml:space="preserve">- ИАСУП ЦТАИ, </w:t>
      </w:r>
      <w:r>
        <w:rPr>
          <w:i/>
          <w:iCs/>
          <w:sz w:val="28"/>
          <w:szCs w:val="28"/>
        </w:rPr>
        <w:t>ЭСЭ ЦТАИ;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персонал технического участка ЦТАИ;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персонал ЦЦР;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персонал ЭЦ</w:t>
      </w:r>
      <w:r>
        <w:rPr>
          <w:sz w:val="28"/>
          <w:szCs w:val="24"/>
        </w:rPr>
        <w:t>.</w:t>
      </w:r>
      <w:r>
        <w:rPr>
          <w:sz w:val="28"/>
          <w:szCs w:val="28"/>
        </w:rPr>
        <w:t xml:space="preserve"> </w:t>
      </w:r>
    </w:p>
    <w:p>
      <w:pPr>
        <w:pStyle w:val="Normal"/>
        <w:widowControl w:val="false"/>
        <w:numPr>
          <w:ilvl w:val="1"/>
          <w:numId w:val="11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Персонал ЦЦР проводит техническое обслуживание шкафов НКУ-РУ.</w:t>
      </w:r>
    </w:p>
    <w:p>
      <w:pPr>
        <w:pStyle w:val="Normal"/>
        <w:widowControl w:val="false"/>
        <w:numPr>
          <w:ilvl w:val="1"/>
          <w:numId w:val="11"/>
        </w:numPr>
        <w:tabs>
          <w:tab w:val="clear" w:pos="720"/>
          <w:tab w:val="left" w:pos="1365" w:leader="none"/>
        </w:tabs>
        <w:spacing w:lineRule="auto" w:line="360"/>
        <w:ind w:firstLine="728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Настоящая инструкция разработана на основании следующих документов: НП-001-15, И.00.08, И.00.25,  РУ.00.08, R3.02175, R3.02154, R3.02160, R3.02156, R3.04948, R3.04952, R3.02172,  R3.02170, R3.02177, R3.03015, R3.04957.</w:t>
      </w:r>
    </w:p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jc w:val="both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Назначение, краткое описание и характеристика системы, оборудования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20"/>
          <w:tab w:val="left" w:pos="1372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Шкафы НКУ-РУ Freecon предназначены для питания и управления электроприводами запорной и регулирующей арматуры, электродвигателями, механизмами собственных нужд электрических станций.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данные шкафов НКУ-РУ Freecon: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номинальное рабочее напряжение главной цепи переменного тока 380 В, частота 50 Гц;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номинальное рабочее напряжение главной цепи постоянного тока 220 В;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8"/>
        </w:rPr>
        <w:t>- номинальное напряжение вспомогательных цепей – переменный ток 220 В, 380 В,  50 Гц, постоянный ток 24 В;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номинальный ток главной цепи не более 160 А;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класс безопасности по НП-001-15 – 4;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климатическое исполнение и категория размещения по ГОСТ 15150 - УХЛ3;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габаритные размеры (ширина × высота × глубина) – </w:t>
      </w:r>
      <w:r>
        <w:rPr>
          <w:color w:val="000000"/>
          <w:sz w:val="28"/>
          <w:szCs w:val="24"/>
        </w:rPr>
        <w:t>600х600х2100</w:t>
      </w:r>
      <w:r>
        <w:rPr>
          <w:sz w:val="28"/>
          <w:szCs w:val="28"/>
        </w:rPr>
        <w:t xml:space="preserve"> мм.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Шкафы типа 14Ш одностороннего обслуживания, предназначены для установки выдвижных (с индексом «W»), стационарных (с индексом «F») блоков, и блоков с аппаратурой во втычном (выкатном) исполнении (с индексом «D»), с высотой условного модуля равной УМ = 150 мм. Блоки предназначены для ввода, распределения и управления электроэнергией. В шкафах с тыльной стороны установлена глухая задняя стенка.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Шкаф  разделен на отсеки (рисунок 5.1):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сборных  и распределительных шин; 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функциональной аппаратуры; 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присоединений кабелей; </w:t>
      </w:r>
    </w:p>
    <w:p>
      <w:pPr>
        <w:pStyle w:val="Normal"/>
        <w:widowControl w:val="false"/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- общих шинок.</w:t>
      </w:r>
    </w:p>
    <w:p>
      <w:pPr>
        <w:pStyle w:val="Normal"/>
        <w:widowControl w:val="false"/>
        <w:numPr>
          <w:ilvl w:val="2"/>
          <w:numId w:val="3"/>
        </w:numPr>
        <w:tabs>
          <w:tab w:val="clear" w:pos="720"/>
          <w:tab w:val="left" w:pos="1725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Отсек сборных главных и распределительных шин.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15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Отсеки полностью изолированы от других отсеков шкафа. Сборные шины расположены горизонтально «на ребро» в верхней части шкафа и соединяются между собой при сборке шкафов в щит болтами при помощи накладок. Вертикальные распределительные шины расположены сзади отсека функциональной аппаратуры и предназначены для подключения питания к функциональной аппаратуре. Шины изготавливаются из электротехнической меди и крепятся на опорах. Шины промаркированы в местах присоединения, полосой не менее 50 мм следующих цветов:</w:t>
      </w:r>
    </w:p>
    <w:p>
      <w:pPr>
        <w:pStyle w:val="Normal"/>
        <w:numPr>
          <w:ilvl w:val="0"/>
          <w:numId w:val="0"/>
        </w:numPr>
        <w:suppressAutoHyphens w:val="true"/>
        <w:overflowPunct w:val="true"/>
        <w:bidi w:val="0"/>
        <w:spacing w:lineRule="auto" w:line="360" w:before="0" w:after="0"/>
        <w:ind w:hanging="0" w:left="737" w:right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- коричневый – фаза L1 (А);</w:t>
      </w:r>
    </w:p>
    <w:p>
      <w:pPr>
        <w:pStyle w:val="Normal"/>
        <w:suppressAutoHyphens w:val="true"/>
        <w:overflowPunct w:val="true"/>
        <w:bidi w:val="0"/>
        <w:spacing w:lineRule="auto" w:line="360" w:before="0" w:after="0"/>
        <w:ind w:hanging="0" w:left="737" w:right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- черный – фаза L2 (В);</w:t>
      </w:r>
    </w:p>
    <w:p>
      <w:pPr>
        <w:pStyle w:val="Normal"/>
        <w:suppressAutoHyphens w:val="true"/>
        <w:overflowPunct w:val="true"/>
        <w:bidi w:val="0"/>
        <w:spacing w:lineRule="auto" w:line="360" w:before="0" w:after="0"/>
        <w:ind w:hanging="0" w:left="737" w:right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- серый – фаза L3 (С);</w:t>
      </w:r>
    </w:p>
    <w:p>
      <w:pPr>
        <w:pStyle w:val="Normal"/>
        <w:suppressAutoHyphens w:val="true"/>
        <w:overflowPunct w:val="true"/>
        <w:bidi w:val="0"/>
        <w:spacing w:lineRule="auto" w:line="360" w:before="0" w:after="0"/>
        <w:ind w:hanging="0" w:left="737" w:right="0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- синий – нулевая рабочая шина N;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815" w:leader="none"/>
        </w:tabs>
        <w:suppressAutoHyphens w:val="true"/>
        <w:overflowPunct w:val="true"/>
        <w:bidi w:val="0"/>
        <w:spacing w:lineRule="auto" w:line="360" w:before="0" w:after="0"/>
        <w:ind w:hanging="0" w:left="737" w:right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- желто-зеленый – нулевая защитная шина РЕ.</w:t>
      </w:r>
    </w:p>
    <w:p>
      <w:pPr>
        <w:pStyle w:val="Normal"/>
        <w:widowControl w:val="false"/>
        <w:numPr>
          <w:ilvl w:val="2"/>
          <w:numId w:val="3"/>
        </w:numPr>
        <w:tabs>
          <w:tab w:val="clear" w:pos="720"/>
          <w:tab w:val="left" w:pos="2355" w:leader="none"/>
        </w:tabs>
        <w:spacing w:lineRule="auto" w:line="360"/>
        <w:ind w:firstLine="726" w:left="0" w:right="0"/>
        <w:jc w:val="both"/>
        <w:rPr>
          <w:rFonts w:ascii="Times New Roman" w:hAnsi="Times New Roman" w:eastAsia="Times New Roman" w:cs="Times New Roman"/>
          <w:color w:val="auto"/>
          <w:kern w:val="0"/>
          <w:sz w:val="28"/>
          <w:szCs w:val="28"/>
          <w:lang w:val="ru-RU" w:eastAsia="zh-CN" w:bidi="ar-SA"/>
        </w:rPr>
      </w:pP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 xml:space="preserve"> </w:t>
      </w:r>
      <w:r>
        <w:rPr>
          <w:rFonts w:eastAsia="Times New Roman" w:cs="Times New Roman"/>
          <w:color w:val="auto"/>
          <w:kern w:val="0"/>
          <w:sz w:val="28"/>
          <w:szCs w:val="28"/>
          <w:lang w:val="ru-RU" w:eastAsia="zh-CN" w:bidi="ar-SA"/>
        </w:rPr>
        <w:t>Отсек функциональной аппаратуры.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14" w:leader="none"/>
        </w:tabs>
        <w:spacing w:lineRule="auto" w:line="360"/>
        <w:ind w:firstLine="726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Отсек функциональной аппаратуры обеспечивает установку полного комплекта блоков для осуществления НКУ своих эксплуатационных функций.</w:t>
      </w:r>
    </w:p>
    <w:p>
      <w:pPr>
        <w:pStyle w:val="Normal"/>
        <w:widowControl w:val="false"/>
        <w:tabs>
          <w:tab w:val="clear" w:pos="720"/>
          <w:tab w:val="left" w:pos="2355" w:leader="none"/>
        </w:tabs>
        <w:spacing w:lineRule="auto" w:line="360"/>
        <w:ind w:firstLine="726" w:left="0" w:right="0"/>
        <w:jc w:val="center"/>
        <w:rPr/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4939030"/>
            <wp:effectExtent l="0" t="0" r="0" b="0"/>
            <wp:wrapSquare wrapText="largest"/>
            <wp:docPr id="4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39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5.1 - Отсеки шкафа 14Ш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Полезная высота отсека делится на 11 модулей по 150 мм – всего 1650 мм для шкафов 14Ш. Высота устанавливаемых в шкафы блоков с аппаратурой кратна принятой высоте модуля.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В отсеке функциональной аппаратуры шкафов типов 14Ш выдвижной блок занимает целое число модулей по высоте 1УМ, 2УМ, 3УМ, 4УМ или часть модуля по ширине ½УМ, ⅓УМ, где УМ=150 мм. Высота блоков ½УМ, ⅓УМ постоянна и равна 1УМ. В шкафу в один ряд устанавливаются блоки только одной ширины ⅓УМ или ½УМ. Блоки ½УМ, ⅓УМ изготавливаются только в выдвижном исполнении.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В отсеке функциональной аппаратуры НКУ Freecon предусмотрена установка блоков в следующих исполнениях: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блоков стационарных соединений;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блоков разъемных соединений – выдвижных блоков;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вводных и секционных АВ в выдвижном исполнении;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блоков отходящих линий с АВ выдвижного и (или) съемного типа.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Конструкция выдвижных блоков представляет собой несущую раму с механизмами управления: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автоматическим выключателем;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механизмом выдвижения блока;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механизмом блокировки от выдвижения при включенном автоматическом выключателе.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Выдвижные блоки устанавливаются в специальные переходные коробки, обеспечивающие фиксацию блоков в шкафу. На задней стенке адаптера устанавливается ответная часть разъемов вспомогательных цепей. Для блоков ½УМ, ⅓УМ на задней стенке переходной коробки устанавливаются разъемы силовых цепей, обеспечивающие присоединение к вертикальным шинам питания, а также ответные разъемы каждого блока, устанавливаемого в переходную коробку.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701" w:leader="none"/>
        </w:tabs>
        <w:spacing w:lineRule="auto" w:line="360"/>
        <w:ind w:firstLine="726" w:left="0" w:right="0"/>
        <w:jc w:val="both"/>
        <w:rPr/>
      </w:pPr>
      <w:r>
        <w:rPr>
          <w:color w:val="000000"/>
          <w:sz w:val="28"/>
          <w:szCs w:val="24"/>
        </w:rPr>
        <w:t xml:space="preserve">Для </w:t>
      </w:r>
      <w:r>
        <w:rPr>
          <w:sz w:val="28"/>
          <w:szCs w:val="24"/>
        </w:rPr>
        <w:t>блоков 1УМ, 2УМ, 3УМ, 4УМ</w:t>
      </w:r>
      <w:r>
        <w:rPr>
          <w:color w:val="000000"/>
          <w:sz w:val="28"/>
          <w:szCs w:val="24"/>
        </w:rPr>
        <w:t xml:space="preserve"> разъемы силовых цепей устанавливаются непосредственно на раме блока, при этом в адаптере имеются специальные проемы для силовых разъемов. Выдвижные блоки одного типоразмера полностью взаимозаменяемы в пределах секции. Выдвижные блоки, имеют упор, ограничивающий максимальное перемещение блока при его выдвижении. Вся аппаратура, монтируемая внутри выдвижных блоков имеет только стационарную установку со стационарными соединениями.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Функциональные выдвижные части выдвижных блоков обеспечивают возможность их установки в шкафу с фиксацией в положениях: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в присоединенном положении, когда главные цепи и цепи управления выдвижной части замкнуты с соответствующими цепями шкафа и готовы для выполнения предназначенной функции;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в испытательном положении, когда главные цепи выдвижной части разомкнуты, а вспомогательные цепи соединены для обеспечения возможности испытания вспомогательных цепей, при этом выдвижной блок остается механически соединенным со шкафом;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в отсоединенном положении, когда выдвижная часть находится в шкафу, но ее главные и вспомогательные цепи разомкнуты с соответствующими цепями шкафа;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в отделенном положении, когда главные и вспомогательные цепи выдвижной части разомкнуты с соответствующими цепями шкафа и выдвижной блок находится вне шкафа.</w:t>
      </w:r>
    </w:p>
    <w:p>
      <w:pPr>
        <w:pStyle w:val="Normal"/>
        <w:widowControl w:val="false"/>
        <w:numPr>
          <w:ilvl w:val="3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Выдвижные части шкафа имеют механические блокировки обеспечивающие: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невозможность установки выдвижной части в присоединенное положение при включенном положении автоматического выключателя;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невозможность установки выдвижной части из присоединенного в испытательное положение при включенном положении автоматического выключателя;</w:t>
      </w:r>
    </w:p>
    <w:p>
      <w:pPr>
        <w:pStyle w:val="Normal"/>
        <w:widowControl w:val="false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- невозможность открытия дверки отсека стационарного блока с выведенной на фасад рукояткой управления автоматическим выключателем при включенном автоматическом выключателе.</w:t>
      </w:r>
    </w:p>
    <w:p>
      <w:pPr>
        <w:pStyle w:val="Normal"/>
        <w:widowControl w:val="false"/>
        <w:numPr>
          <w:ilvl w:val="2"/>
          <w:numId w:val="3"/>
        </w:numPr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/>
      </w:pPr>
      <w:r>
        <w:rPr>
          <w:sz w:val="28"/>
          <w:szCs w:val="28"/>
        </w:rPr>
        <w:t>Отсек присоединений кабелей.</w:t>
      </w:r>
    </w:p>
    <w:p>
      <w:pPr>
        <w:pStyle w:val="Normal"/>
        <w:widowControl w:val="false"/>
        <w:numPr>
          <w:ilvl w:val="3"/>
          <w:numId w:val="3"/>
        </w:numPr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/>
      </w:pPr>
      <w:r>
        <w:rPr>
          <w:color w:val="000000"/>
          <w:sz w:val="28"/>
          <w:szCs w:val="24"/>
        </w:rPr>
        <w:t>Отсек присоединений кабелей представляет собой часть шкафа, примыкающую к отсеку функциональной аппаратуры. Расположение отсека присоединений для шкафов одностороннего обслуживания типов 14Ш – с правой стороны отсека функциональной аппаратуры по фронтам.</w:t>
      </w:r>
    </w:p>
    <w:p>
      <w:pPr>
        <w:pStyle w:val="Normal"/>
        <w:widowControl w:val="false"/>
        <w:numPr>
          <w:ilvl w:val="3"/>
          <w:numId w:val="3"/>
        </w:numPr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/>
      </w:pPr>
      <w:r>
        <w:rPr>
          <w:color w:val="000000"/>
          <w:sz w:val="28"/>
          <w:szCs w:val="24"/>
        </w:rPr>
        <w:t>Зажимы главных и вспомогательных цепей в НКУ находятся в отсеке присоединения кабелей на уровне соответствующего блока. Зажимы главных цепей располагаются напротив двери отсека присоединения кабелей и находятся под закрытием, для обеспечения необходимого секционирования. Зажимы вспомогательных цепей находятся на левой боковой стенке отсека присоединения кабелей (рисунок 5.2).</w:t>
      </w:r>
    </w:p>
    <w:p>
      <w:pPr>
        <w:pStyle w:val="Normal"/>
        <w:widowControl w:val="false"/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>
          <w:color w:val="000000"/>
          <w:sz w:val="28"/>
          <w:szCs w:val="24"/>
        </w:rPr>
      </w:pPr>
      <w:r>
        <w:rPr>
          <w:color w:val="000000"/>
          <w:sz w:val="28"/>
          <w:szCs w:val="24"/>
        </w:rPr>
      </w:r>
    </w:p>
    <w:p>
      <w:pPr>
        <w:pStyle w:val="Normal"/>
        <w:widowControl w:val="false"/>
        <w:shd w:val="clear" w:fill="FFFFFF"/>
        <w:tabs>
          <w:tab w:val="clear" w:pos="720"/>
          <w:tab w:val="left" w:pos="2355" w:leader="none"/>
        </w:tabs>
        <w:spacing w:lineRule="auto" w:line="360"/>
        <w:ind w:firstLine="726" w:left="0" w:right="0"/>
        <w:jc w:val="center"/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852545"/>
            <wp:effectExtent l="0" t="0" r="0" b="0"/>
            <wp:wrapSquare wrapText="largest"/>
            <wp:docPr id="5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5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Рисунок 5.2 - Вид сверху на отсек присоединений кабелей шкафа типа 14Ш одностороннего обслуживания</w:t>
      </w:r>
    </w:p>
    <w:p>
      <w:pPr>
        <w:pStyle w:val="Normal"/>
        <w:widowControl w:val="false"/>
        <w:numPr>
          <w:ilvl w:val="3"/>
          <w:numId w:val="3"/>
        </w:numPr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/>
      </w:pPr>
      <w:r>
        <w:rPr>
          <w:color w:val="000000"/>
          <w:sz w:val="28"/>
          <w:szCs w:val="24"/>
        </w:rPr>
        <w:t>Нулевая рабочая шина N проходит в отсеке сборных шин горизонтально по всей ширине шкафа и имеет вертикальное ответвление в отсек присоединений для подключения нулевых жил кабелей. Шина N устанавливается на изоляторах и полностью изолирована от корпуса шкафа.</w:t>
      </w:r>
    </w:p>
    <w:p>
      <w:pPr>
        <w:pStyle w:val="Normal"/>
        <w:widowControl w:val="false"/>
        <w:numPr>
          <w:ilvl w:val="3"/>
          <w:numId w:val="3"/>
        </w:numPr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>
          <w:color w:val="000000"/>
          <w:szCs w:val="24"/>
        </w:rPr>
      </w:pPr>
      <w:r>
        <w:rPr>
          <w:color w:val="000000"/>
          <w:sz w:val="28"/>
          <w:szCs w:val="28"/>
        </w:rPr>
        <w:t xml:space="preserve">В каждом шкафу для заземления корпуса шкафа и оборудования предусмотрена нулевая защитная шина РЕ. Шина РЕ проходит внизу шкафа горизонтально по всей его ширине. При установке шкафа НКУ </w:t>
      </w:r>
      <w:r>
        <w:rPr>
          <w:color w:val="000000"/>
          <w:sz w:val="28"/>
          <w:szCs w:val="28"/>
          <w:lang w:val="en-US"/>
        </w:rPr>
        <w:t>Freecon</w:t>
      </w:r>
      <w:r>
        <w:rPr>
          <w:color w:val="000000"/>
          <w:sz w:val="28"/>
          <w:szCs w:val="28"/>
        </w:rPr>
        <w:t xml:space="preserve"> в щите, защитные шины соседних шкафов соединяются друг с другом специальными накладками. Обеспечивается надежное соединение защитной шины с корпусом шкафа. В отсеке присоединений шина РЕ имеет вертикальное ответвление, к которому подсоединяются оболочки силовых кабелей и заземления различных устройств, расположенных в щите.</w:t>
      </w:r>
    </w:p>
    <w:p>
      <w:pPr>
        <w:pStyle w:val="Normal"/>
        <w:widowControl w:val="false"/>
        <w:numPr>
          <w:ilvl w:val="2"/>
          <w:numId w:val="3"/>
        </w:numPr>
        <w:shd w:val="clear" w:fill="FFFFFF"/>
        <w:tabs>
          <w:tab w:val="clear" w:pos="720"/>
          <w:tab w:val="left" w:pos="1868" w:leader="none"/>
        </w:tabs>
        <w:spacing w:lineRule="auto" w:line="360"/>
        <w:ind w:firstLine="726" w:left="0" w:right="0"/>
        <w:jc w:val="both"/>
        <w:rPr>
          <w:szCs w:val="24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Отсек общих шинок</w:t>
      </w:r>
    </w:p>
    <w:p>
      <w:pPr>
        <w:pStyle w:val="Normal"/>
        <w:widowControl w:val="false"/>
        <w:numPr>
          <w:ilvl w:val="3"/>
          <w:numId w:val="3"/>
        </w:numPr>
        <w:shd w:val="clear" w:fill="FFFFFF"/>
        <w:tabs>
          <w:tab w:val="clear" w:pos="720"/>
          <w:tab w:val="left" w:pos="1843" w:leader="none"/>
        </w:tabs>
        <w:spacing w:lineRule="auto" w:line="360"/>
        <w:ind w:firstLine="726" w:left="0" w:right="0"/>
        <w:jc w:val="both"/>
        <w:rPr>
          <w:szCs w:val="24"/>
        </w:rPr>
      </w:pPr>
      <w:r>
        <w:rPr>
          <w:sz w:val="28"/>
          <w:szCs w:val="24"/>
        </w:rPr>
        <w:t>В верхней части шкафа с лицевой стороны находится отсек общих шинок, состоящий из двух отделений. Отсек общих шинок предназначен для размещения общесекционных клемм, приборов управления, освещения и т.п. Аппаратура для организации шин сигнализации и аварийного отключения расположена с левой стороны над отсеком функциональной аппаратуры. Аппаратура, предназначенная для освещения и питания переносных приборов, размещается на отсеком присоединений. Питание автомата и розетки для проведения ремонтных работ проводится от независимых источников питания.</w:t>
      </w:r>
    </w:p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Меры безопасности при эксплуатации</w:t>
      </w:r>
    </w:p>
    <w:p>
      <w:pPr>
        <w:pStyle w:val="Normal"/>
        <w:widowControl w:val="false"/>
        <w:numPr>
          <w:ilvl w:val="1"/>
          <w:numId w:val="8"/>
        </w:numPr>
        <w:tabs>
          <w:tab w:val="clear" w:pos="720"/>
          <w:tab w:val="left" w:pos="1358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Оперативное и техническое обслуживание шкафов НКУ-РУ проводится в соответствии с требованиями ОПЭ АС, принципиальными схемами типовых блоков, размещенных в шкафах НКУ-РУ.</w:t>
      </w:r>
    </w:p>
    <w:p>
      <w:pPr>
        <w:pStyle w:val="Normal"/>
        <w:widowControl w:val="false"/>
        <w:numPr>
          <w:ilvl w:val="1"/>
          <w:numId w:val="8"/>
        </w:numPr>
        <w:tabs>
          <w:tab w:val="clear" w:pos="720"/>
          <w:tab w:val="left" w:pos="133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При производстве работ по ТО, ремонту, наладке и эксплуатации шкафов НКУ-РУ должны соблюдаться требования следующих документов: И.00.08,  И.00.25,  Правил  по  охране  труда  при эксплуатации  электроустановок,</w:t>
        <w:br/>
        <w:t xml:space="preserve"> СТО 1.1.1.02.001.0673, ПУЭ.</w:t>
      </w:r>
    </w:p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Порядок подготовки к работе, пуску и пуск системы, оборудования</w:t>
      </w:r>
    </w:p>
    <w:p>
      <w:pPr>
        <w:pStyle w:val="Normal"/>
        <w:widowControl w:val="false"/>
        <w:numPr>
          <w:ilvl w:val="1"/>
          <w:numId w:val="2"/>
        </w:numPr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к вводу в работу шкафов НКУ-РУ после выполнения ремонтных работ приведена в таблице 7.1.</w:t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2"/>
        <w:numPr>
          <w:ilvl w:val="0"/>
          <w:numId w:val="0"/>
        </w:numPr>
        <w:spacing w:lineRule="auto" w:line="228" w:before="0" w:after="0"/>
        <w:ind w:hanging="0" w:left="0" w:right="0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7.1 — Порядок подготовки к вводу в работу шкафов НКУ-РУ после выполнения ремонтных работ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693"/>
        <w:gridCol w:w="1557"/>
        <w:gridCol w:w="1276"/>
        <w:gridCol w:w="1276"/>
        <w:gridCol w:w="1274"/>
        <w:gridCol w:w="1130"/>
      </w:tblGrid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 xml:space="preserve">№ </w:t>
            </w:r>
            <w:r>
              <w:rPr/>
              <w:t>шага (блоков шагов)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Содержание</w:t>
            </w:r>
          </w:p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шага</w:t>
            </w:r>
          </w:p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(блоков шагов)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Информация,   подтверж-дающая выполнение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Мест  выполне-ния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Исполни-тель (долж-ность)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Контроли-рующее лицо (долж-ность)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Приме-чание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3341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Провести осмотр состояния оборудования, комплектных устройств и рядов зажимов на отсутствие посторонних предметов, нарушений в маркировке проводов, жил кабелей и клемм, отсутствие подгоревших клемм и нарушение изоляции кабелей и проводов внутреннего        монтажа,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448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Проверить присоединенное состояние блоков и отключенное состояние всех АВ серии </w:t>
            </w:r>
            <w:r>
              <w:rPr>
                <w:lang w:val="en-US"/>
              </w:rPr>
              <w:t>NSX</w:t>
            </w:r>
            <w:r>
              <w:rPr/>
              <w:t xml:space="preserve">, </w:t>
            </w:r>
            <w:r>
              <w:rPr>
                <w:lang w:val="en-US"/>
              </w:rPr>
              <w:t>GV</w:t>
            </w:r>
            <w:r>
              <w:rPr/>
              <w:t xml:space="preserve"> и </w:t>
            </w:r>
            <w:r>
              <w:rPr>
                <w:lang w:val="en-US"/>
              </w:rPr>
              <w:t>C</w:t>
            </w:r>
            <w:r>
              <w:rPr/>
              <w:t>60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782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Проверить соответствие маркировки блоков НКУ-РУ и данных в таблице заполнения шкафа НКУ-РУ на      фасаде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344" w:leader="none"/>
        </w:tabs>
        <w:spacing w:lineRule="auto" w:line="360"/>
        <w:ind w:hanging="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numPr>
          <w:ilvl w:val="1"/>
          <w:numId w:val="2"/>
        </w:numPr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Порядок ввода оборудования в работу приведен в таблице 7.2.</w:t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numPr>
          <w:ilvl w:val="0"/>
          <w:numId w:val="0"/>
        </w:numPr>
        <w:spacing w:lineRule="auto" w:line="228"/>
        <w:ind w:hanging="0" w:left="0" w:right="0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7.2 — Порядок  ввода оборудования в работу</w:t>
      </w:r>
    </w:p>
    <w:tbl>
      <w:tblPr>
        <w:tblW w:w="10200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992"/>
        <w:gridCol w:w="2692"/>
        <w:gridCol w:w="1559"/>
        <w:gridCol w:w="1273"/>
        <w:gridCol w:w="1279"/>
        <w:gridCol w:w="1274"/>
        <w:gridCol w:w="1130"/>
      </w:tblGrid>
      <w:tr>
        <w:trPr/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 xml:space="preserve">№ </w:t>
            </w:r>
            <w:r>
              <w:rPr/>
              <w:t>шага (блоков шагов)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Содержание</w:t>
            </w:r>
          </w:p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шага</w:t>
            </w:r>
          </w:p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(блоков шагов)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Информация,   подтверж-дающая выполнение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Мест  выполне-ния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Исполни-тель (долж-ность)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Контроли-рующее лицо (долж-ность)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Приме-чание</w:t>
            </w:r>
          </w:p>
        </w:tc>
      </w:tr>
      <w:tr>
        <w:trPr/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/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Подача напряжения на блоки присоединений шкафа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>
        <w:trPr>
          <w:trHeight w:val="1189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1.1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Получить разрешение НСАС на ввод в работу шкафов НКУ-РУ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4944" w:hRule="atLeast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1.2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0"/>
              <w:ind w:hanging="0" w:left="0" w:right="-108"/>
              <w:jc w:val="left"/>
              <w:rPr/>
            </w:pPr>
            <w:r>
              <w:rPr/>
              <w:t xml:space="preserve">Перевести рукоятку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>
                <w:szCs w:val="24"/>
              </w:rPr>
              <w:t xml:space="preserve"> </w:t>
            </w:r>
            <w:r>
              <w:rPr/>
              <w:t xml:space="preserve">блока ввода основного питания </w:t>
            </w:r>
            <w:r>
              <w:rPr>
                <w:szCs w:val="24"/>
              </w:rPr>
              <w:t>(Б1LA.A104-00.4073-1W, или Б2</w:t>
            </w:r>
            <w:r>
              <w:rPr>
                <w:szCs w:val="24"/>
                <w:lang w:val="en-US"/>
              </w:rPr>
              <w:t>LA</w:t>
            </w:r>
            <w:r>
              <w:rPr>
                <w:szCs w:val="24"/>
              </w:rPr>
              <w:t>.</w:t>
            </w:r>
            <w:r>
              <w:rPr>
                <w:szCs w:val="24"/>
                <w:lang w:val="en-US"/>
              </w:rPr>
              <w:t>A</w:t>
            </w:r>
            <w:r>
              <w:rPr>
                <w:szCs w:val="24"/>
              </w:rPr>
              <w:t>101-00.4073-1</w:t>
            </w:r>
            <w:r>
              <w:rPr>
                <w:szCs w:val="24"/>
                <w:lang w:val="en-US"/>
              </w:rPr>
              <w:t>W</w:t>
            </w:r>
            <w:r>
              <w:rPr>
                <w:szCs w:val="24"/>
              </w:rPr>
              <w:t xml:space="preserve">)  </w:t>
            </w:r>
            <w:r>
              <w:rPr/>
              <w:t>в положение «</w:t>
            </w:r>
            <w:r>
              <w:rPr>
                <w:lang w:val="en-US"/>
              </w:rPr>
              <w:t>I</w:t>
            </w:r>
            <w:r>
              <w:rPr/>
              <w:t>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0"/>
              <w:ind w:hanging="0" w:left="0" w:right="0"/>
              <w:jc w:val="left"/>
              <w:rPr/>
            </w:pPr>
            <w:r>
              <w:rPr/>
              <w:t xml:space="preserve">Рукоятка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>
                <w:szCs w:val="24"/>
              </w:rPr>
              <w:t xml:space="preserve"> </w:t>
            </w:r>
            <w:r>
              <w:rPr/>
              <w:t>в положении «</w:t>
            </w:r>
            <w:r>
              <w:rPr>
                <w:lang w:val="en-US"/>
              </w:rPr>
              <w:t>I</w:t>
            </w:r>
            <w:r>
              <w:rPr/>
              <w:t>», наличие индикации напряжения на вольтметре двери отсека присоедине-ний, свечение лампы «нет резервного питания» на блоке резервного питания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2817" w:hRule="atLeast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1.3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 xml:space="preserve">Перевести рукоятку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>
                <w:szCs w:val="24"/>
              </w:rPr>
              <w:t xml:space="preserve"> </w:t>
            </w:r>
            <w:r>
              <w:rPr/>
              <w:t xml:space="preserve">блока ввода резервного питания </w:t>
            </w:r>
            <w:r>
              <w:rPr>
                <w:szCs w:val="24"/>
              </w:rPr>
              <w:t>(Б1LA.A105-00.4073-1W, или Б2</w:t>
            </w:r>
            <w:r>
              <w:rPr>
                <w:szCs w:val="24"/>
                <w:lang w:val="en-US"/>
              </w:rPr>
              <w:t>LA</w:t>
            </w:r>
            <w:r>
              <w:rPr>
                <w:szCs w:val="24"/>
              </w:rPr>
              <w:t>.</w:t>
            </w:r>
            <w:r>
              <w:rPr>
                <w:szCs w:val="24"/>
                <w:lang w:val="en-US"/>
              </w:rPr>
              <w:t>A</w:t>
            </w:r>
            <w:r>
              <w:rPr>
                <w:szCs w:val="24"/>
              </w:rPr>
              <w:t>102-00.4073-1</w:t>
            </w:r>
            <w:r>
              <w:rPr>
                <w:szCs w:val="24"/>
                <w:lang w:val="en-US"/>
              </w:rPr>
              <w:t>W</w:t>
            </w:r>
            <w:r>
              <w:rPr>
                <w:szCs w:val="24"/>
              </w:rPr>
              <w:t xml:space="preserve">) </w:t>
            </w:r>
            <w:r>
              <w:rPr/>
              <w:t>в положение «</w:t>
            </w:r>
            <w:r>
              <w:rPr>
                <w:lang w:val="en-US"/>
              </w:rPr>
              <w:t>I</w:t>
            </w:r>
            <w:r>
              <w:rPr/>
              <w:t>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>
                <w:szCs w:val="24"/>
              </w:rPr>
              <w:t xml:space="preserve"> </w:t>
            </w:r>
            <w:r>
              <w:rPr/>
              <w:t>в положении «</w:t>
            </w:r>
            <w:r>
              <w:rPr>
                <w:lang w:val="en-US"/>
              </w:rPr>
              <w:t>I</w:t>
            </w:r>
            <w:r>
              <w:rPr/>
              <w:t>», гаснет лампа «нет резервного питания» на блоке резервного питания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BodyTextIndented"/>
        <w:keepNext w:val="true"/>
        <w:keepLines w:val="false"/>
        <w:widowControl w:val="false"/>
        <w:tabs>
          <w:tab w:val="clear" w:pos="720"/>
          <w:tab w:val="center" w:pos="2534" w:leader="none"/>
          <w:tab w:val="left" w:pos="3868" w:leader="none"/>
        </w:tabs>
        <w:suppressAutoHyphens w:val="true"/>
        <w:bidi w:val="0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rPr>
          <w:sz w:val="28"/>
          <w:szCs w:val="28"/>
        </w:rPr>
        <w:t>Продолжение таблицы 7.2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692"/>
        <w:gridCol w:w="1559"/>
        <w:gridCol w:w="1273"/>
        <w:gridCol w:w="1279"/>
        <w:gridCol w:w="1274"/>
        <w:gridCol w:w="1130"/>
      </w:tblGrid>
      <w:tr>
        <w:trPr>
          <w:trHeight w:val="332" w:hRule="atLeast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3732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1.4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 xml:space="preserve">В отсеке присоединений перевести разъединитель </w:t>
            </w:r>
            <w:r>
              <w:rPr>
                <w:lang w:val="en-US"/>
              </w:rPr>
              <w:t>S</w:t>
            </w:r>
            <w:r>
              <w:rPr/>
              <w:t xml:space="preserve">11 в замкнутое положение, автоматический выключатель </w:t>
            </w:r>
            <w:r>
              <w:rPr>
                <w:lang w:val="en-US"/>
              </w:rPr>
              <w:t>F</w:t>
            </w:r>
            <w:r>
              <w:rPr/>
              <w:t>11 типа С60</w:t>
            </w:r>
            <w:r>
              <w:rPr>
                <w:lang w:val="en-US"/>
              </w:rPr>
              <w:t>N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ON</w:t>
            </w:r>
            <w:r>
              <w:rPr/>
              <w:t>»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Контролировать отсутствие свечения лампы «Аварийное отключение выключате-ля»  на двери отсека присоедине-ний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187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1.5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Доложить НСАС о вводе в работу шкафов НКУ-РУ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025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Подача напряжения в схемы управления ЭПА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588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2.1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Получить заявку от НСАС на подачу напряжения в схемы управления ЭПА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2775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2.2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 xml:space="preserve">На лицевой панели функциональных блоков перевести рукоятку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I</w:t>
            </w:r>
            <w:r>
              <w:rPr/>
              <w:t>», типа С60 в положение «</w:t>
            </w:r>
            <w:r>
              <w:rPr>
                <w:lang w:val="en-US"/>
              </w:rPr>
              <w:t>ON</w:t>
            </w:r>
            <w:r>
              <w:rPr/>
              <w:t>», в которые необходимо подать напряжение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I</w:t>
            </w:r>
            <w:r>
              <w:rPr/>
              <w:t>», типа С60 в положение «</w:t>
            </w:r>
            <w:r>
              <w:rPr>
                <w:lang w:val="en-US"/>
              </w:rPr>
              <w:t>ON</w:t>
            </w:r>
            <w:r>
              <w:rPr/>
              <w:t>»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603" w:hRule="atLeast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2.3</w:t>
            </w:r>
          </w:p>
        </w:tc>
        <w:tc>
          <w:tcPr>
            <w:tcW w:w="26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Доложить НСАС о подаче напряжения в схемы управления ЭПА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tabs>
          <w:tab w:val="clear" w:pos="720"/>
          <w:tab w:val="left" w:pos="1344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ed"/>
        <w:keepNext w:val="true"/>
        <w:pageBreakBefore w:val="false"/>
        <w:widowControl w:val="false"/>
        <w:numPr>
          <w:ilvl w:val="1"/>
          <w:numId w:val="2"/>
        </w:numPr>
        <w:tabs>
          <w:tab w:val="clear" w:pos="720"/>
          <w:tab w:val="left" w:pos="1344" w:leader="none"/>
        </w:tabs>
        <w:spacing w:lineRule="auto" w:line="360" w:before="0" w:after="0"/>
        <w:ind w:firstLine="709" w:left="0" w:right="0"/>
        <w:jc w:val="both"/>
        <w:rPr/>
      </w:pPr>
      <w:r>
        <w:rPr>
          <w:spacing w:val="-8"/>
          <w:sz w:val="28"/>
          <w:szCs w:val="28"/>
        </w:rPr>
        <w:t xml:space="preserve">Порядок ввода оборудования </w:t>
      </w:r>
      <w:r>
        <w:rPr>
          <w:spacing w:val="-8"/>
          <w:sz w:val="28"/>
        </w:rPr>
        <w:t>в работу из ремонта</w:t>
      </w:r>
      <w:r>
        <w:rPr>
          <w:spacing w:val="-8"/>
          <w:sz w:val="28"/>
          <w:szCs w:val="28"/>
        </w:rPr>
        <w:t xml:space="preserve"> приведен в таблице 7.3.</w:t>
      </w:r>
    </w:p>
    <w:p>
      <w:pPr>
        <w:pStyle w:val="2"/>
        <w:widowControl w:val="false"/>
        <w:numPr>
          <w:ilvl w:val="0"/>
          <w:numId w:val="0"/>
        </w:numPr>
        <w:tabs>
          <w:tab w:val="clear" w:pos="1361"/>
          <w:tab w:val="left" w:pos="1344" w:leader="none"/>
        </w:tabs>
        <w:spacing w:lineRule="auto" w:line="228"/>
        <w:ind w:hanging="0" w:left="0" w:right="0"/>
        <w:jc w:val="both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7.3 — Порядок  </w:t>
      </w:r>
      <w:r>
        <w:rPr>
          <w:spacing w:val="-8"/>
          <w:sz w:val="28"/>
          <w:szCs w:val="28"/>
        </w:rPr>
        <w:t xml:space="preserve">ввода оборудования </w:t>
      </w:r>
      <w:r>
        <w:rPr>
          <w:spacing w:val="-8"/>
          <w:sz w:val="28"/>
        </w:rPr>
        <w:t>в работу из ремонта</w:t>
      </w:r>
    </w:p>
    <w:tbl>
      <w:tblPr>
        <w:tblW w:w="10150" w:type="dxa"/>
        <w:jc w:val="left"/>
        <w:tblInd w:w="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2683"/>
        <w:gridCol w:w="1559"/>
        <w:gridCol w:w="1275"/>
        <w:gridCol w:w="1276"/>
        <w:gridCol w:w="1276"/>
        <w:gridCol w:w="1120"/>
      </w:tblGrid>
      <w:tr>
        <w:trPr/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 xml:space="preserve">№ </w:t>
            </w:r>
            <w:r>
              <w:rPr/>
              <w:t>шага (блоков шагов)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Содержание</w:t>
            </w:r>
          </w:p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шага</w:t>
            </w:r>
          </w:p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(блоков шагов)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Информация,   подтверж-дающая выполнение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Мест  выполне-ния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Исполни-тель (долж-ность)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Контроли-рующее лицо (долж-ность)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Приме-чание</w:t>
            </w:r>
          </w:p>
        </w:tc>
      </w:tr>
      <w:tr>
        <w:trPr/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1384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Получить разрешение НСАС на ввод в работу шкафов НКУ-РУ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814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Проверить наличие акта об  окончании работ и готовности оборудования к постановке под напряжение в журнале актов окончания работ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36" w:right="0"/>
              <w:jc w:val="left"/>
              <w:rPr/>
            </w:pPr>
            <w:r>
              <w:rPr/>
              <w:t>Наличие акта в журнале актов окончания работ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81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26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Провести осмотр состояния оборудования, комплектных устройств и рядов зажимов на отсутствие посторонних предметов, нарушений в маркировке проводов, жил кабелей и клемм, отсутствие подгоревших клемм и нарушение изоляции кабелей и проводов внутреннего       монтажа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36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814" w:hRule="atLeast"/>
        </w:trPr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26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ind w:hanging="0" w:left="0" w:right="0"/>
              <w:jc w:val="left"/>
              <w:rPr/>
            </w:pPr>
            <w:r>
              <w:rPr/>
              <w:t xml:space="preserve">Проверить присоединенное состояние блоков и отключенное состояние всех АВ серии </w:t>
            </w:r>
            <w:r>
              <w:rPr>
                <w:lang w:val="en-US"/>
              </w:rPr>
              <w:t>NSX</w:t>
            </w:r>
            <w:r>
              <w:rPr/>
              <w:t xml:space="preserve">, </w:t>
            </w:r>
            <w:r>
              <w:rPr>
                <w:lang w:val="en-US"/>
              </w:rPr>
              <w:t>GV</w:t>
            </w:r>
            <w:r>
              <w:rPr/>
              <w:t xml:space="preserve">2 и </w:t>
            </w:r>
            <w:r>
              <w:rPr>
                <w:lang w:val="en-US"/>
              </w:rPr>
              <w:t>C</w:t>
            </w:r>
            <w:r>
              <w:rPr/>
              <w:t>60</w:t>
            </w:r>
          </w:p>
          <w:p>
            <w:pPr>
              <w:pStyle w:val="Normal"/>
              <w:widowControl w:val="false"/>
              <w:ind w:hanging="0" w:left="0" w:right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36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BodyText"/>
        <w:rPr>
          <w:sz w:val="24"/>
        </w:rPr>
      </w:pPr>
      <w:r>
        <w:rPr>
          <w:sz w:val="24"/>
        </w:rPr>
      </w:r>
      <w:r>
        <w:br w:type="page"/>
      </w:r>
    </w:p>
    <w:tbl>
      <w:tblPr>
        <w:tblW w:w="10149" w:type="dxa"/>
        <w:jc w:val="left"/>
        <w:tblInd w:w="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724"/>
        <w:gridCol w:w="1705"/>
        <w:gridCol w:w="1201"/>
        <w:gridCol w:w="1276"/>
        <w:gridCol w:w="1276"/>
        <w:gridCol w:w="1116"/>
      </w:tblGrid>
      <w:tr>
        <w:trPr/>
        <w:tc>
          <w:tcPr>
            <w:tcW w:w="10148" w:type="dxa"/>
            <w:gridSpan w:val="7"/>
            <w:tcBorders>
              <w:bottom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pageBreakBefore/>
              <w:widowControl w:val="false"/>
              <w:tabs>
                <w:tab w:val="clear" w:pos="720"/>
                <w:tab w:val="center" w:pos="2534" w:leader="none"/>
                <w:tab w:val="left" w:pos="3868" w:leader="none"/>
              </w:tabs>
              <w:spacing w:before="0" w:after="120"/>
              <w:ind w:hanging="68" w:left="0" w:right="0"/>
              <w:jc w:val="left"/>
              <w:rPr/>
            </w:pPr>
            <w:r>
              <w:rPr>
                <w:sz w:val="28"/>
                <w:szCs w:val="28"/>
              </w:rPr>
              <w:t>Продолжение таблицы 7.</w:t>
            </w:r>
            <w:r>
              <w:rPr>
                <w:sz w:val="28"/>
              </w:rPr>
              <w:t>3</w:t>
            </w:r>
          </w:p>
        </w:tc>
      </w:tr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1809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Проверить соответствие маркировки блоков НКУ-РУ и данных в таблице заполнения шкафа НКУ-РУ на фасаде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4965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20"/>
              <w:ind w:hanging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kern w:val="0"/>
                <w:position w:val="0"/>
                <w:sz w:val="24"/>
                <w:sz w:val="24"/>
                <w:szCs w:val="20"/>
                <w:u w:val="none"/>
                <w:vertAlign w:val="baseline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auto"/>
                <w:spacing w:val="0"/>
                <w:kern w:val="0"/>
                <w:position w:val="0"/>
                <w:sz w:val="24"/>
                <w:sz w:val="24"/>
                <w:szCs w:val="20"/>
                <w:u w:val="none"/>
                <w:vertAlign w:val="baseline"/>
                <w:lang w:val="ru-RU" w:eastAsia="ru-RU" w:bidi="ar-SA"/>
              </w:rPr>
              <w:t>Перевести рукоятку АВ типа Compact NSX блока ввода основного питания (Б1LA.A104-00.4073-1W, или Б2LA.A101-00.4073-1W) в положение «I»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36" w:right="0"/>
              <w:jc w:val="left"/>
              <w:rPr/>
            </w:pPr>
            <w:r>
              <w:rPr/>
              <w:t>Рукоятка АВ типа Compact NSX в положении «I», наличие индикации напряжения на вольтметре двери отсека присоединений, свечение лампы «нет резервного питания» на блоке резервного питания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809" w:hRule="atLeast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Перевести рукоятку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/>
              <w:t xml:space="preserve"> блока ввода резервного питания </w:t>
            </w:r>
            <w:r>
              <w:rPr>
                <w:szCs w:val="24"/>
              </w:rPr>
              <w:t>(Б1LA.A105-00.4073-1W, или Б2</w:t>
            </w:r>
            <w:r>
              <w:rPr>
                <w:szCs w:val="24"/>
                <w:lang w:val="en-US"/>
              </w:rPr>
              <w:t>LA</w:t>
            </w:r>
            <w:r>
              <w:rPr>
                <w:szCs w:val="24"/>
              </w:rPr>
              <w:t>.</w:t>
            </w:r>
            <w:r>
              <w:rPr>
                <w:szCs w:val="24"/>
                <w:lang w:val="en-US"/>
              </w:rPr>
              <w:t>A</w:t>
            </w:r>
            <w:r>
              <w:rPr>
                <w:szCs w:val="24"/>
              </w:rPr>
              <w:t>102-00.4073-1</w:t>
            </w:r>
            <w:r>
              <w:rPr>
                <w:szCs w:val="24"/>
                <w:lang w:val="en-US"/>
              </w:rPr>
              <w:t>W</w:t>
            </w:r>
            <w:r>
              <w:rPr>
                <w:szCs w:val="24"/>
              </w:rPr>
              <w:t xml:space="preserve">) </w:t>
            </w:r>
            <w:r>
              <w:rPr/>
              <w:t>в положение «</w:t>
            </w:r>
            <w:r>
              <w:rPr>
                <w:lang w:val="en-US"/>
              </w:rPr>
              <w:t>I</w:t>
            </w:r>
            <w:r>
              <w:rPr/>
              <w:t>»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</w:t>
            </w:r>
            <w:r>
              <w:rPr>
                <w:szCs w:val="24"/>
              </w:rPr>
              <w:t xml:space="preserve">типа </w:t>
            </w:r>
            <w:r>
              <w:rPr>
                <w:szCs w:val="24"/>
                <w:lang w:val="en-US"/>
              </w:rPr>
              <w:t>Compact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NSX</w:t>
            </w:r>
            <w:r>
              <w:rPr/>
              <w:t xml:space="preserve"> в положении «</w:t>
            </w:r>
            <w:r>
              <w:rPr>
                <w:lang w:val="en-US"/>
              </w:rPr>
              <w:t>I</w:t>
            </w:r>
            <w:r>
              <w:rPr/>
              <w:t>», гаснет лампа «нет резервного питания» на блоке резервного питания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809" w:hRule="atLeast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8</w:t>
            </w:r>
          </w:p>
        </w:tc>
        <w:tc>
          <w:tcPr>
            <w:tcW w:w="27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В отсеке присоединений перевести разъединитель </w:t>
            </w:r>
            <w:r>
              <w:rPr>
                <w:lang w:val="en-US"/>
              </w:rPr>
              <w:t>S</w:t>
            </w:r>
            <w:r>
              <w:rPr/>
              <w:t xml:space="preserve">11 в замкнутое положение, автоматический выключатель </w:t>
            </w:r>
            <w:r>
              <w:rPr>
                <w:lang w:val="en-US"/>
              </w:rPr>
              <w:t>F</w:t>
            </w:r>
            <w:r>
              <w:rPr/>
              <w:t>11 типа С60</w:t>
            </w:r>
            <w:r>
              <w:rPr>
                <w:lang w:val="en-US"/>
              </w:rPr>
              <w:t>N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ON</w:t>
            </w:r>
            <w:r>
              <w:rPr/>
              <w:t>»</w:t>
            </w:r>
          </w:p>
        </w:tc>
        <w:tc>
          <w:tcPr>
            <w:tcW w:w="17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Контролировать отсутствие свечения лампы </w:t>
            </w:r>
            <w:r>
              <w:rPr>
                <w:lang w:val="en-US"/>
              </w:rPr>
              <w:t>H</w:t>
            </w:r>
            <w:r>
              <w:rPr/>
              <w:t>11 «Аварийное отключение выключате-ля»  на двери отсека присоедине-ний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tbl>
      <w:tblPr>
        <w:tblW w:w="10149" w:type="dxa"/>
        <w:jc w:val="left"/>
        <w:tblInd w:w="31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960"/>
        <w:gridCol w:w="2683"/>
        <w:gridCol w:w="1559"/>
        <w:gridCol w:w="1278"/>
        <w:gridCol w:w="1272"/>
        <w:gridCol w:w="1276"/>
        <w:gridCol w:w="1120"/>
      </w:tblGrid>
      <w:tr>
        <w:trPr>
          <w:trHeight w:val="298" w:hRule="atLeast"/>
        </w:trPr>
        <w:tc>
          <w:tcPr>
            <w:tcW w:w="10148" w:type="dxa"/>
            <w:gridSpan w:val="7"/>
            <w:tcBorders>
              <w:bottom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pageBreakBefore/>
              <w:widowControl w:val="false"/>
              <w:tabs>
                <w:tab w:val="clear" w:pos="720"/>
                <w:tab w:val="center" w:pos="2534" w:leader="none"/>
                <w:tab w:val="left" w:pos="3868" w:leader="none"/>
              </w:tabs>
              <w:spacing w:before="0" w:after="120"/>
              <w:ind w:hanging="68" w:left="0" w:right="0"/>
              <w:jc w:val="left"/>
              <w:rPr/>
            </w:pPr>
            <w:r>
              <w:rPr>
                <w:sz w:val="28"/>
                <w:szCs w:val="28"/>
              </w:rPr>
              <w:t>Окончание таблицы 7.</w:t>
            </w:r>
            <w:r>
              <w:rPr>
                <w:sz w:val="28"/>
              </w:rPr>
              <w:t>3</w:t>
            </w:r>
          </w:p>
        </w:tc>
      </w:tr>
      <w:tr>
        <w:trPr>
          <w:trHeight w:val="32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2296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9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На лицевой панели функциональных блоков перевести рукоятку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I</w:t>
            </w:r>
            <w:r>
              <w:rPr/>
              <w:t>», типа С60 в положение «</w:t>
            </w:r>
            <w:r>
              <w:rPr>
                <w:lang w:val="en-US"/>
              </w:rPr>
              <w:t>ON</w:t>
            </w:r>
            <w:r>
              <w:rPr/>
              <w:t>», в которые необходимо подать напряжение.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I</w:t>
            </w:r>
            <w:r>
              <w:rPr/>
              <w:t>», типа С60 в положение «</w:t>
            </w:r>
            <w:r>
              <w:rPr>
                <w:lang w:val="en-US"/>
              </w:rPr>
              <w:t>ON</w:t>
            </w:r>
            <w:r>
              <w:rPr/>
              <w:t>»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092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10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Доложить НСАС о вводе в работу шкафов      НКУ-РУ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jc w:val="both"/>
        <w:outlineLvl w:val="0"/>
        <w:rPr>
          <w:b/>
          <w:caps w:val="false"/>
          <w:smallCaps w:val="false"/>
          <w:sz w:val="32"/>
          <w:szCs w:val="32"/>
        </w:rPr>
      </w:pPr>
      <w:r>
        <w:rPr>
          <w:b/>
          <w:caps w:val="false"/>
          <w:smallCaps w:val="false"/>
          <w:sz w:val="32"/>
          <w:szCs w:val="32"/>
        </w:rPr>
        <w:t>Параметры системы, оборудования при нормальной эксплуатации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В процессе эксплуатации шкафов НКУ-РУ оперативный персонал цеха ТАИ обязан совершать периодический обход закрепленного за ним оборудования, согласно графика.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Во время обхода следует обращать внимание на: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- внешний вид шкафов НКУ-РУ (отсутствие повреждений);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/>
      </w:pPr>
      <w:r>
        <w:rPr>
          <w:sz w:val="28"/>
          <w:szCs w:val="24"/>
        </w:rPr>
        <w:t>- двери в отсек функциональной аппаратуры и отсек присоединений должны быть закрыты;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- отсутствие аварийного отключения выключателей (отсутствует свечение лампы Н11 на двери отсека общих шинок);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- отсутствия посторонних предметов в шкафах НКУ-РУ;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sz w:val="28"/>
          <w:szCs w:val="24"/>
        </w:rPr>
      </w:pPr>
      <w:r>
        <w:rPr>
          <w:sz w:val="28"/>
          <w:szCs w:val="24"/>
        </w:rPr>
        <w:t>- наличие основного и резервного питания (отсутствует свечение ламп Н10 «Нет рабочего питания» и Н20 «Нет резервного питания» на блоках ввода питания, а вольтметр показывает наличие напряжения).</w:t>
      </w:r>
    </w:p>
    <w:p>
      <w:pPr>
        <w:pStyle w:val="Normal"/>
        <w:widowControl w:val="false"/>
        <w:numPr>
          <w:ilvl w:val="1"/>
          <w:numId w:val="6"/>
        </w:numPr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Порядок извлечения и установки выдвижного модуля: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перевести рукоятку АВ управления главными цепями в положение отключено;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нажать на кнопку оперирования блоком;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придерживая модуль рукой плавно без рывков потянуть за ручку извлечения модуля до достижения фиксированного положения «Тест»;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нажать на кнопку оперирования блоком и плавно без рывков потянуть за ручку извлечения модуля до достижения фиксированного положения «Отсоединенное»;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нажать на кнопку оперирования блоком и плавно вытянуть блок на себя до достижения фиксированного положения;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нажать на фиксатор блока и потянуть на себя до полного извлечения модуля из шкафа;</w:t>
      </w:r>
    </w:p>
    <w:p>
      <w:pPr>
        <w:pStyle w:val="Normal"/>
        <w:widowControl w:val="false"/>
        <w:tabs>
          <w:tab w:val="clear" w:pos="720"/>
          <w:tab w:val="left" w:pos="1526" w:leader="none"/>
        </w:tabs>
        <w:spacing w:lineRule="auto" w:line="360"/>
        <w:ind w:firstLine="709" w:left="0" w:right="0"/>
        <w:jc w:val="both"/>
        <w:rPr>
          <w:rFonts w:eastAsia="Times New Roman" w:cs="Times New Roman"/>
          <w:color w:val="auto"/>
          <w:sz w:val="28"/>
          <w:szCs w:val="24"/>
          <w:lang w:val="ru-RU" w:eastAsia="zh-CN" w:bidi="ar-SA"/>
        </w:rPr>
      </w:pPr>
      <w:r>
        <w:rPr>
          <w:rFonts w:eastAsia="Times New Roman" w:cs="Times New Roman"/>
          <w:color w:val="auto"/>
          <w:sz w:val="28"/>
          <w:szCs w:val="24"/>
          <w:lang w:val="ru-RU" w:eastAsia="zh-CN" w:bidi="ar-SA"/>
        </w:rPr>
        <w:t>- установка модуля производится в обратном порядке.</w:t>
      </w:r>
    </w:p>
    <w:p>
      <w:pPr>
        <w:pStyle w:val="Normal"/>
        <w:keepNext w:val="true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Вывод в ремонт системы, оборудования</w:t>
      </w:r>
    </w:p>
    <w:p>
      <w:pPr>
        <w:pStyle w:val="Normal"/>
        <w:widowControl w:val="false"/>
        <w:numPr>
          <w:ilvl w:val="1"/>
          <w:numId w:val="4"/>
        </w:numPr>
        <w:tabs>
          <w:tab w:val="clear" w:pos="720"/>
          <w:tab w:val="left" w:pos="156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Порядок вывода оборудования из работы приведен в таблице 9.1.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361" w:leader="none"/>
        </w:tabs>
        <w:spacing w:lineRule="auto" w:line="228"/>
        <w:ind w:hanging="0" w:left="0" w:right="0"/>
        <w:jc w:val="both"/>
        <w:outlineLvl w:val="1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9</w:t>
      </w:r>
      <w:r>
        <w:rPr/>
        <w:t>.1 - Порядок вывода оборудования из работы</w:t>
      </w:r>
    </w:p>
    <w:tbl>
      <w:tblPr>
        <w:tblW w:w="10200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135"/>
        <w:gridCol w:w="2551"/>
        <w:gridCol w:w="1699"/>
        <w:gridCol w:w="1276"/>
        <w:gridCol w:w="1276"/>
        <w:gridCol w:w="1133"/>
        <w:gridCol w:w="1129"/>
      </w:tblGrid>
      <w:tr>
        <w:trPr/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 xml:space="preserve">№ </w:t>
            </w:r>
            <w:r>
              <w:rPr/>
              <w:t>шага (блоков шагов)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Содержание</w:t>
            </w:r>
          </w:p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шага</w:t>
            </w:r>
          </w:p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(блоков шагов)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Информация,   подтверж-дающая выполнение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Мест  выполне-ния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Исполни-тель (долж-ность)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Контроли-рующее лицо (долж-ность)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Приме-чание</w:t>
            </w:r>
          </w:p>
        </w:tc>
      </w:tr>
      <w:tr>
        <w:trPr>
          <w:trHeight w:val="305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1547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Получить разрешение НСАС на вывод из работы шкафов НКУ-РУ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978" w:hRule="atLeast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 xml:space="preserve">На лицевой панели функциональных перевести рукоятку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«О», типа С60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</w:t>
            </w:r>
            <w:r>
              <w:rPr/>
              <w:t>», типа С60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2375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В отсеке присоединений перевести разъединитель </w:t>
            </w:r>
            <w:r>
              <w:rPr>
                <w:lang w:val="en-US"/>
              </w:rPr>
              <w:t>S</w:t>
            </w:r>
            <w:r>
              <w:rPr/>
              <w:t xml:space="preserve">11 в разомкнутое положение, автоматический выключатель </w:t>
            </w:r>
            <w:r>
              <w:rPr>
                <w:lang w:val="en-US"/>
              </w:rPr>
              <w:t>F</w:t>
            </w:r>
            <w:r>
              <w:rPr/>
              <w:t>11 типа С60</w:t>
            </w:r>
            <w:r>
              <w:rPr>
                <w:lang w:val="en-US"/>
              </w:rPr>
              <w:t>N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Разъедини-тель </w:t>
            </w:r>
            <w:r>
              <w:rPr>
                <w:lang w:val="en-US"/>
              </w:rPr>
              <w:t>S</w:t>
            </w:r>
            <w:r>
              <w:rPr/>
              <w:t xml:space="preserve">11 в разомкнутом положении, выключатель </w:t>
            </w:r>
            <w:r>
              <w:rPr>
                <w:lang w:val="en-US"/>
              </w:rPr>
              <w:t>F</w:t>
            </w:r>
            <w:r>
              <w:rPr/>
              <w:t>11 типа С60</w:t>
            </w:r>
            <w:r>
              <w:rPr>
                <w:lang w:val="en-US"/>
              </w:rPr>
              <w:t>N</w:t>
            </w:r>
            <w:r>
              <w:rPr/>
              <w:t xml:space="preserve"> в положении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345" w:hRule="atLeast"/>
        </w:trPr>
        <w:tc>
          <w:tcPr>
            <w:tcW w:w="10199" w:type="dxa"/>
            <w:gridSpan w:val="7"/>
            <w:tcBorders>
              <w:bottom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widowControl w:val="false"/>
              <w:tabs>
                <w:tab w:val="clear" w:pos="720"/>
                <w:tab w:val="center" w:pos="2534" w:leader="none"/>
                <w:tab w:val="left" w:pos="3868" w:leader="none"/>
              </w:tabs>
              <w:spacing w:before="0" w:after="0"/>
              <w:ind w:hanging="68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Продолжение таблицы 9.1</w:t>
            </w:r>
          </w:p>
        </w:tc>
      </w:tr>
      <w:tr>
        <w:trPr>
          <w:trHeight w:val="345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4098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Перевести рукоятку АВ типа Compact NSX блока ввода резервного питания (Б1LA.A105-00.4073-1W, или Б2LA.A102-00.4073-1W) в положение «O»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Рукоятка АВ типа Compact NSX в положении «O», светится лампа «нет резервного питания» на блоке резервного питания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5837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Перевести рукоятку АВ типа Compact NSX блока ввода основного питания (Б1LA.A104-00.4073-1W, или Б2LA.A101-00.4073-1W) в положение «O»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Рукоятка АВ типа Compact NSX в положении «O», отсутствие индикации напряжения на вольтметре двери отсека присоедине-ний, гаснет лампы «нет резервного питания» на блоке резервного питания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77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527" w:hRule="atLeast"/>
        </w:trPr>
        <w:tc>
          <w:tcPr>
            <w:tcW w:w="11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Доложить НСАС о выводе из работы шкафов   НКУ-РУ</w:t>
            </w:r>
          </w:p>
        </w:tc>
        <w:tc>
          <w:tcPr>
            <w:tcW w:w="16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1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560" w:leader="none"/>
        </w:tabs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560" w:leader="none"/>
        </w:tabs>
        <w:suppressAutoHyphens w:val="true"/>
        <w:spacing w:lineRule="auto" w:line="36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widowControl w:val="false"/>
        <w:numPr>
          <w:ilvl w:val="1"/>
          <w:numId w:val="4"/>
        </w:numPr>
        <w:tabs>
          <w:tab w:val="clear" w:pos="720"/>
          <w:tab w:val="left" w:pos="1560" w:leader="none"/>
        </w:tabs>
        <w:spacing w:lineRule="auto" w:line="360" w:before="0" w:after="0"/>
        <w:ind w:firstLine="709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>Порядок вывода оборудования в ремонт приведен в таблице 9.2.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361" w:leader="none"/>
        </w:tabs>
        <w:spacing w:lineRule="auto" w:line="228"/>
        <w:ind w:hanging="0" w:left="0" w:right="0"/>
        <w:jc w:val="both"/>
        <w:outlineLvl w:val="1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9.2 - Порядок вывода оборудования в ремонт</w:t>
      </w:r>
    </w:p>
    <w:tbl>
      <w:tblPr>
        <w:tblW w:w="10200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693"/>
        <w:gridCol w:w="1557"/>
        <w:gridCol w:w="1276"/>
        <w:gridCol w:w="1276"/>
        <w:gridCol w:w="1275"/>
        <w:gridCol w:w="1129"/>
      </w:tblGrid>
      <w:tr>
        <w:trPr>
          <w:trHeight w:val="2261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 xml:space="preserve">№ </w:t>
            </w:r>
            <w:r>
              <w:rPr/>
              <w:t>шага (блоков шагов)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Содержание</w:t>
            </w:r>
          </w:p>
          <w:p>
            <w:pPr>
              <w:pStyle w:val="BodyTextIndented"/>
              <w:widowControl w:val="false"/>
              <w:ind w:hanging="0" w:left="-108" w:right="0"/>
              <w:jc w:val="center"/>
              <w:rPr/>
            </w:pPr>
            <w:r>
              <w:rPr/>
              <w:t>шага</w:t>
            </w:r>
          </w:p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(блоков шагов)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-108"/>
              <w:jc w:val="center"/>
              <w:rPr/>
            </w:pPr>
            <w:r>
              <w:rPr/>
              <w:t>Информация,   подтверж-дающая выполнение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Мест  выполне-ния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Исполни-тель (долж-ность)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Контроли-рующее лицо (долж-ность)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Приме-чание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1283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33" w:right="-108"/>
              <w:jc w:val="left"/>
              <w:rPr/>
            </w:pPr>
            <w:r>
              <w:rPr/>
              <w:t>Получить разрешение НСАС на вывод в ремонт шкафов НКУ-РУ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283" w:hRule="atLeast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На лицевой панели функциональных блоков перевести рукоятку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</w:t>
            </w:r>
            <w:r>
              <w:rPr/>
              <w:t>», типа С60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Рукоятка АВ типа </w:t>
            </w:r>
            <w:r>
              <w:rPr>
                <w:lang w:val="en-US"/>
              </w:rPr>
              <w:t>GV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</w:t>
            </w:r>
            <w:r>
              <w:rPr/>
              <w:t>», типа С60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283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283" w:hRule="atLeast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 xml:space="preserve">В отсеке присоединений перевести разъединитель </w:t>
            </w:r>
            <w:r>
              <w:rPr>
                <w:lang w:val="en-US"/>
              </w:rPr>
              <w:t>S</w:t>
            </w:r>
            <w:r>
              <w:rPr/>
              <w:t xml:space="preserve">11 в разомкнутое положение, автоматический выключатель </w:t>
            </w:r>
            <w:r>
              <w:rPr>
                <w:lang w:val="en-US"/>
              </w:rPr>
              <w:t>F</w:t>
            </w:r>
            <w:r>
              <w:rPr/>
              <w:t>11 типа С60</w:t>
            </w:r>
            <w:r>
              <w:rPr>
                <w:lang w:val="en-US"/>
              </w:rPr>
              <w:t>N</w:t>
            </w:r>
            <w:r>
              <w:rPr/>
              <w:t xml:space="preserve"> в положение «</w:t>
            </w:r>
            <w:r>
              <w:rPr>
                <w:lang w:val="en-US"/>
              </w:rPr>
              <w:t>OFF</w:t>
            </w:r>
            <w:r>
              <w:rPr/>
              <w:t>»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Визуальный осмотр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283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1283" w:hRule="atLeast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Перевести рукоятку АВ типа Compact NSX блока ввода резервного питания (Б1LA.A105-00.4073-1W, или Б2LA.A102-00.4073-1W)  в положение «O»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Рукоятка АВ типа Compact NSX в положении «O», светится лампа «нет резервного питания» на блоке резервного питания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283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keepNext w:val="true"/>
        <w:widowControl w:val="false"/>
        <w:numPr>
          <w:ilvl w:val="0"/>
          <w:numId w:val="0"/>
        </w:numPr>
        <w:tabs>
          <w:tab w:val="clear" w:pos="720"/>
          <w:tab w:val="left" w:pos="1176" w:leader="none"/>
        </w:tabs>
        <w:spacing w:before="24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tbl>
      <w:tblPr>
        <w:tblW w:w="10200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993"/>
        <w:gridCol w:w="2693"/>
        <w:gridCol w:w="1557"/>
        <w:gridCol w:w="1276"/>
        <w:gridCol w:w="1276"/>
        <w:gridCol w:w="1275"/>
        <w:gridCol w:w="1129"/>
      </w:tblGrid>
      <w:tr>
        <w:trPr>
          <w:trHeight w:val="345" w:hRule="atLeast"/>
        </w:trPr>
        <w:tc>
          <w:tcPr>
            <w:tcW w:w="10199" w:type="dxa"/>
            <w:gridSpan w:val="7"/>
            <w:tcBorders>
              <w:bottom w:val="single" w:sz="4" w:space="0" w:color="000000"/>
            </w:tcBorders>
            <w:vAlign w:val="center"/>
          </w:tcPr>
          <w:p>
            <w:pPr>
              <w:pStyle w:val="BodyTextIndented"/>
              <w:keepNext w:val="true"/>
              <w:pageBreakBefore/>
              <w:widowControl w:val="false"/>
              <w:tabs>
                <w:tab w:val="clear" w:pos="720"/>
                <w:tab w:val="center" w:pos="2534" w:leader="none"/>
                <w:tab w:val="left" w:pos="3868" w:leader="none"/>
              </w:tabs>
              <w:spacing w:before="0" w:after="0"/>
              <w:ind w:hanging="68" w:left="0" w:right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Продолжение таблицы 9.2</w:t>
            </w:r>
          </w:p>
        </w:tc>
      </w:tr>
      <w:tr>
        <w:trPr>
          <w:trHeight w:val="345" w:hRule="atLeast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1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2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4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7</w:t>
            </w:r>
          </w:p>
        </w:tc>
      </w:tr>
      <w:tr>
        <w:trPr>
          <w:trHeight w:val="4717" w:hRule="atLeast"/>
        </w:trPr>
        <w:tc>
          <w:tcPr>
            <w:tcW w:w="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5</w:t>
            </w: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Перевести рукоятку АВ типа Compact NSX блока ввода основного питания (Б1LA.A104-00.4073-1W, или Б2LA.A101-00.4073-1W)  в положение «O»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left"/>
              <w:rPr/>
            </w:pPr>
            <w:r>
              <w:rPr/>
              <w:t>Рукоятка АВ типа Compact NSX в положении «O», отсутствие индикации напряжения на вольтметре двери отсека присоедине-ний, гаснет лампы «нет резервного питания» на блоке резервного питания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Шкаф НКУ-РУ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ЭСЭ ЦТАИ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ИАСУП</w:t>
            </w:r>
          </w:p>
        </w:tc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283" w:right="0"/>
              <w:jc w:val="center"/>
              <w:rPr/>
            </w:pPr>
            <w:r>
              <w:rPr/>
              <w:t>-</w:t>
            </w:r>
          </w:p>
        </w:tc>
      </w:tr>
      <w:tr>
        <w:trPr>
          <w:trHeight w:val="77" w:hRule="atLeast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>
            <w:pPr>
              <w:pStyle w:val="BodyTextIndented"/>
              <w:widowControl w:val="false"/>
              <w:spacing w:before="0" w:after="120"/>
              <w:ind w:hanging="0" w:left="0" w:right="-108"/>
              <w:jc w:val="left"/>
              <w:rPr/>
            </w:pPr>
            <w:r>
              <w:rPr/>
              <w:t>Доложить НСАС о выводе в ремонт шкафов      НКУ-РУ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0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НС ЦТАИ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>
            <w:pPr>
              <w:pStyle w:val="BodyTextIndented"/>
              <w:widowControl w:val="false"/>
              <w:spacing w:before="0" w:after="120"/>
              <w:ind w:hanging="0" w:left="-108" w:right="0"/>
              <w:jc w:val="center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176" w:leader="none"/>
        </w:tabs>
        <w:suppressAutoHyphens w:val="true"/>
        <w:overflowPunct w:val="true"/>
        <w:spacing w:before="240" w:after="240"/>
        <w:ind w:firstLine="709" w:left="0" w:right="0"/>
        <w:jc w:val="left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br w:type="page"/>
      </w:r>
    </w:p>
    <w:p>
      <w:pPr>
        <w:pStyle w:val="Normal"/>
        <w:widowControl w:val="false"/>
        <w:numPr>
          <w:ilvl w:val="0"/>
          <w:numId w:val="12"/>
        </w:numPr>
        <w:tabs>
          <w:tab w:val="clear" w:pos="720"/>
          <w:tab w:val="left" w:pos="1176" w:leader="none"/>
        </w:tabs>
        <w:spacing w:before="0" w:after="240"/>
        <w:ind w:firstLine="709" w:left="0" w:right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Возможные нарушения и отказы при эксплуатации системы, оборудования, действия персонала по их устранению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9"/>
        </w:numPr>
        <w:tabs>
          <w:tab w:val="clear" w:pos="720"/>
          <w:tab w:val="left" w:pos="1560" w:leader="none"/>
        </w:tabs>
        <w:suppressAutoHyphens w:val="true"/>
        <w:overflowPunct w:val="false"/>
        <w:bidi w:val="0"/>
        <w:spacing w:lineRule="auto" w:line="360" w:before="0" w:after="0"/>
        <w:ind w:firstLine="709" w:left="0" w:right="0"/>
        <w:jc w:val="both"/>
        <w:rPr>
          <w:i/>
          <w:i/>
          <w:iCs/>
          <w:sz w:val="28"/>
          <w:szCs w:val="28"/>
        </w:rPr>
      </w:pPr>
      <w:r>
        <mc:AlternateContent>
          <mc:Choice Requires="wps">
            <w:drawing>
              <wp:anchor behindDoc="0" distT="5715" distB="5715" distL="5715" distR="5715" simplePos="0" locked="0" layoutInCell="1" allowOverlap="1" relativeHeight="35">
                <wp:simplePos x="0" y="0"/>
                <wp:positionH relativeFrom="column">
                  <wp:posOffset>6515735</wp:posOffset>
                </wp:positionH>
                <wp:positionV relativeFrom="paragraph">
                  <wp:posOffset>25400</wp:posOffset>
                </wp:positionV>
                <wp:extent cx="10160" cy="5736590"/>
                <wp:effectExtent l="5715" t="5715" r="5715" b="5715"/>
                <wp:wrapNone/>
                <wp:docPr id="6" name="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5736600"/>
                        </a:xfrm>
                        <a:prstGeom prst="line">
                          <a:avLst/>
                        </a:prstGeom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3.05pt,2pt" to="513.8pt,453.65pt" ID="Линия 1" stroked="t" o:allowincell="f" style="position:absolute;flip:x">
                <v:stroke color="black" weight="1080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i/>
          <w:iCs/>
          <w:sz w:val="28"/>
          <w:szCs w:val="28"/>
        </w:rPr>
        <w:t>Перечень нарушений режима нормальной эксплуатации  и действия оперативного персонала при их обнаружении приведен в таблице 10.1.</w:t>
      </w:r>
    </w:p>
    <w:p>
      <w:pPr>
        <w:pStyle w:val="Normal"/>
        <w:pageBreakBefore w:val="false"/>
        <w:widowControl w:val="false"/>
        <w:tabs>
          <w:tab w:val="clear" w:pos="720"/>
          <w:tab w:val="left" w:pos="1526" w:leader="none"/>
        </w:tabs>
        <w:spacing w:lineRule="auto" w:line="240"/>
        <w:ind w:hanging="0" w:left="0" w:right="0"/>
        <w:jc w:val="both"/>
        <w:rPr>
          <w:sz w:val="22"/>
          <w:szCs w:val="22"/>
        </w:rPr>
      </w:pPr>
      <w:r>
        <w:rPr>
          <w:i/>
          <w:iCs/>
          <w:spacing w:val="100"/>
          <w:sz w:val="22"/>
          <w:szCs w:val="22"/>
        </w:rPr>
        <w:t>Таблица</w:t>
      </w:r>
      <w:r>
        <w:rPr>
          <w:i/>
          <w:iCs/>
          <w:sz w:val="22"/>
          <w:szCs w:val="22"/>
        </w:rPr>
        <w:t xml:space="preserve"> 10.1 – </w:t>
      </w:r>
      <w:r>
        <w:rPr>
          <w:i/>
          <w:iCs/>
          <w:sz w:val="22"/>
          <w:szCs w:val="22"/>
          <w:lang w:val="ru-RU"/>
        </w:rPr>
        <w:t>Нарушения режима нормальной эксплуатации и действия персонала при их обнаружении</w:t>
      </w:r>
    </w:p>
    <w:tbl>
      <w:tblPr>
        <w:tblW w:w="5000" w:type="pct"/>
        <w:jc w:val="left"/>
        <w:tblInd w:w="-7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1649"/>
        <w:gridCol w:w="3285"/>
        <w:gridCol w:w="5271"/>
      </w:tblGrid>
      <w:tr>
        <w:trPr/>
        <w:tc>
          <w:tcPr>
            <w:tcW w:w="1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Описание события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BodyText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Возможные причины события</w:t>
            </w:r>
          </w:p>
        </w:tc>
        <w:tc>
          <w:tcPr>
            <w:tcW w:w="5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Указания персоналу о способах ведения работ</w:t>
            </w:r>
          </w:p>
        </w:tc>
      </w:tr>
      <w:tr>
        <w:trPr/>
        <w:tc>
          <w:tcPr>
            <w:tcW w:w="16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spacing w:lineRule="exact" w:line="227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32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BodyText"/>
              <w:spacing w:lineRule="exact" w:line="227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52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spacing w:lineRule="exact" w:line="227"/>
              <w:jc w:val="center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</w:r>
          </w:p>
        </w:tc>
      </w:tr>
      <w:tr>
        <w:trPr>
          <w:trHeight w:val="335" w:hRule="atLeast"/>
        </w:trPr>
        <w:tc>
          <w:tcPr>
            <w:tcW w:w="10205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lef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 Нарушения эксплуатационных пределов или условий без нарушения пределов или условий безопасной эксплуатации</w:t>
            </w:r>
          </w:p>
        </w:tc>
      </w:tr>
      <w:tr>
        <w:trPr>
          <w:trHeight w:val="3200" w:hRule="atLeast"/>
        </w:trPr>
        <w:tc>
          <w:tcPr>
            <w:tcW w:w="164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1.1 Не работает контактор блоков АВР</w:t>
            </w:r>
          </w:p>
        </w:tc>
        <w:tc>
          <w:tcPr>
            <w:tcW w:w="32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224" w:leader="none"/>
              </w:tabs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  <w:tab/>
              <w:t xml:space="preserve">Сработала защита или отключены силовые АВ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QF</w:t>
            </w:r>
            <w:r>
              <w:rPr>
                <w:i/>
                <w:iCs/>
                <w:sz w:val="22"/>
                <w:szCs w:val="22"/>
                <w:lang w:eastAsia="en-US"/>
              </w:rPr>
              <w:t>10,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QF</w:t>
            </w:r>
            <w:r>
              <w:rPr>
                <w:i/>
                <w:iCs/>
                <w:sz w:val="22"/>
                <w:szCs w:val="22"/>
                <w:lang w:eastAsia="en-US"/>
              </w:rPr>
              <w:t xml:space="preserve">20 </w:t>
            </w:r>
            <w:r>
              <w:rPr>
                <w:i/>
                <w:iCs/>
                <w:sz w:val="22"/>
                <w:szCs w:val="22"/>
              </w:rPr>
              <w:t xml:space="preserve">или защитные АВ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F</w:t>
            </w:r>
            <w:r>
              <w:rPr>
                <w:i/>
                <w:iCs/>
                <w:sz w:val="22"/>
                <w:szCs w:val="22"/>
                <w:lang w:eastAsia="en-US"/>
              </w:rPr>
              <w:t xml:space="preserve">10,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F</w:t>
            </w:r>
            <w:r>
              <w:rPr>
                <w:i/>
                <w:iCs/>
                <w:sz w:val="22"/>
                <w:szCs w:val="22"/>
                <w:lang w:eastAsia="en-US"/>
              </w:rPr>
              <w:t xml:space="preserve">20 </w:t>
            </w:r>
            <w:r>
              <w:rPr>
                <w:i/>
                <w:iCs/>
                <w:sz w:val="22"/>
                <w:szCs w:val="22"/>
              </w:rPr>
              <w:t>цепи управления блока.</w:t>
            </w:r>
          </w:p>
          <w:p>
            <w:pPr>
              <w:pStyle w:val="Normal"/>
              <w:tabs>
                <w:tab w:val="clear" w:pos="720"/>
                <w:tab w:val="left" w:pos="232" w:leader="none"/>
              </w:tabs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  <w:tab/>
              <w:t>Обрыв цепи питания контактора.</w:t>
            </w:r>
          </w:p>
          <w:p>
            <w:pPr>
              <w:pStyle w:val="Normal"/>
              <w:tabs>
                <w:tab w:val="clear" w:pos="720"/>
                <w:tab w:val="left" w:pos="232" w:leader="none"/>
              </w:tabs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  <w:tab/>
              <w:t>Механическое заклинивание механических частей электромеханического контактора.</w:t>
            </w:r>
          </w:p>
          <w:p>
            <w:pPr>
              <w:pStyle w:val="Normal"/>
              <w:tabs>
                <w:tab w:val="clear" w:pos="720"/>
                <w:tab w:val="left" w:pos="232" w:leader="none"/>
              </w:tabs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  <w:tab/>
              <w:t>Обрыв цепей управления электромеханического контактора</w:t>
            </w:r>
          </w:p>
        </w:tc>
        <w:tc>
          <w:tcPr>
            <w:tcW w:w="52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  <w:tab/>
              <w:t>Проверить отсутствие короткого замыкания в цепях управления и электропитания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  <w:tab/>
              <w:t xml:space="preserve">Визуально проверить положение ручки переключения положения силовых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ABQF</w:t>
            </w:r>
            <w:r>
              <w:rPr>
                <w:i/>
                <w:iCs/>
                <w:sz w:val="22"/>
                <w:szCs w:val="22"/>
                <w:lang w:eastAsia="en-US"/>
              </w:rPr>
              <w:t>1.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  <w:tab/>
              <w:t>Визуально проверить состояние индикационных ламп блоков.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  <w:tab/>
              <w:t>Подключить вольтметр и при помощи стенда имитации проверить работу схемы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5</w:t>
              <w:tab/>
              <w:t>При вынутом блоке проверить К10, К20. Заменить неисправный контактор</w:t>
            </w:r>
          </w:p>
        </w:tc>
      </w:tr>
      <w:tr>
        <w:trPr>
          <w:trHeight w:val="1630" w:hRule="atLeast"/>
        </w:trPr>
        <w:tc>
          <w:tcPr>
            <w:tcW w:w="164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Style22"/>
              <w:tabs>
                <w:tab w:val="clear" w:pos="720"/>
                <w:tab w:val="left" w:pos="283" w:leader="none"/>
              </w:tabs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1.2 Не работает силовой АВ</w:t>
            </w:r>
          </w:p>
        </w:tc>
        <w:tc>
          <w:tcPr>
            <w:tcW w:w="3285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323" w:leader="none"/>
              </w:tabs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1 Сработала защита или отключен  силовой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AB</w:t>
            </w:r>
            <w:r>
              <w:rPr>
                <w:i/>
                <w:iCs/>
                <w:sz w:val="22"/>
                <w:szCs w:val="22"/>
                <w:lang w:eastAsia="en-US"/>
              </w:rPr>
              <w:t xml:space="preserve">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QF</w:t>
            </w:r>
            <w:r>
              <w:rPr>
                <w:i/>
                <w:iCs/>
                <w:sz w:val="22"/>
                <w:szCs w:val="22"/>
              </w:rPr>
              <w:t xml:space="preserve">10 или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QF</w:t>
            </w:r>
            <w:r>
              <w:rPr>
                <w:i/>
                <w:iCs/>
                <w:sz w:val="22"/>
                <w:szCs w:val="22"/>
                <w:lang w:eastAsia="en-US"/>
              </w:rPr>
              <w:t>20</w:t>
            </w:r>
          </w:p>
          <w:p>
            <w:pPr>
              <w:pStyle w:val="Normal"/>
              <w:spacing w:lineRule="auto" w:line="228"/>
              <w:ind w:hanging="0" w:left="0" w:right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  <w:lang w:eastAsia="en-US"/>
              </w:rPr>
              <w:t xml:space="preserve">2 Механическое </w:t>
            </w:r>
            <w:r>
              <w:rPr>
                <w:i/>
                <w:iCs/>
                <w:sz w:val="22"/>
                <w:szCs w:val="22"/>
              </w:rPr>
              <w:t>заклинивание силового АВ</w:t>
            </w:r>
          </w:p>
        </w:tc>
        <w:tc>
          <w:tcPr>
            <w:tcW w:w="52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1</w:t>
              <w:tab/>
              <w:t>Проверить отсутствие короткого замыкания в цепях электропитания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</w:t>
              <w:tab/>
              <w:t xml:space="preserve">Визуально проверить положение ручки переключателя положения силовой </w:t>
            </w:r>
            <w:r>
              <w:rPr>
                <w:i/>
                <w:iCs/>
                <w:sz w:val="22"/>
                <w:szCs w:val="22"/>
                <w:lang w:val="en-US" w:eastAsia="en-US"/>
              </w:rPr>
              <w:t>AB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3</w:t>
              <w:tab/>
              <w:t>При снятой стенки секции откатных и выемных блоков шкафа Ш-1 проверить целостность монтажа электрической цепи ~ 380 В</w:t>
            </w:r>
          </w:p>
          <w:p>
            <w:pPr>
              <w:pStyle w:val="Normal"/>
              <w:tabs>
                <w:tab w:val="clear" w:pos="720"/>
                <w:tab w:val="left" w:pos="225" w:leader="none"/>
              </w:tabs>
              <w:spacing w:lineRule="auto" w:line="228"/>
              <w:ind w:hanging="0" w:left="0" w:right="0"/>
              <w:jc w:val="both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4</w:t>
              <w:tab/>
              <w:t xml:space="preserve">При вынутом блоке проверить работу </w:t>
            </w:r>
            <w:r>
              <w:rPr>
                <w:i/>
                <w:iCs/>
                <w:sz w:val="22"/>
                <w:szCs w:val="22"/>
                <w:lang w:eastAsia="en-US"/>
              </w:rPr>
              <w:t xml:space="preserve">механических </w:t>
            </w:r>
            <w:r>
              <w:rPr>
                <w:i/>
                <w:iCs/>
                <w:sz w:val="22"/>
                <w:szCs w:val="22"/>
              </w:rPr>
              <w:t>частей, заменить неисправный АВ</w:t>
            </w:r>
          </w:p>
        </w:tc>
      </w:tr>
      <w:tr>
        <w:trPr>
          <w:trHeight w:val="333" w:hRule="atLeast"/>
        </w:trPr>
        <w:tc>
          <w:tcPr>
            <w:tcW w:w="10205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2. Предаварийные ситуации по системе (оборудованию) отсутствуют</w:t>
            </w:r>
          </w:p>
        </w:tc>
      </w:tr>
      <w:tr>
        <w:trPr>
          <w:trHeight w:val="279" w:hRule="atLeast"/>
        </w:trPr>
        <w:tc>
          <w:tcPr>
            <w:tcW w:w="10205" w:type="dxa"/>
            <w:gridSpan w:val="3"/>
            <w:tcBorders/>
          </w:tcPr>
          <w:p>
            <w:pPr>
              <w:pStyle w:val="Normal"/>
              <w:keepNext w:val="false"/>
              <w:widowControl w:val="false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</w:r>
          </w:p>
        </w:tc>
      </w:tr>
    </w:tbl>
    <w:p>
      <w:pPr>
        <w:sectPr>
          <w:headerReference w:type="default" r:id="rId18"/>
          <w:headerReference w:type="first" r:id="rId19"/>
          <w:footerReference w:type="default" r:id="rId20"/>
          <w:footerReference w:type="first" r:id="rId21"/>
          <w:type w:val="nextPage"/>
          <w:pgSz w:w="11906" w:h="16838"/>
          <w:pgMar w:left="1134" w:right="567" w:gutter="0" w:header="567" w:top="957" w:footer="461" w:bottom="567"/>
          <w:pgNumType w:start="1" w:fmt="decimal"/>
          <w:formProt w:val="false"/>
          <w:titlePg/>
          <w:textDirection w:val="lrTb"/>
          <w:docGrid w:type="default" w:linePitch="360" w:charSpace="0"/>
        </w:sectPr>
        <w:pStyle w:val="BodyText"/>
        <w:pageBreakBefore w:val="false"/>
        <w:rPr/>
      </w:pPr>
      <w:r>
        <w:rPr/>
      </w:r>
    </w:p>
    <w:p>
      <w:pPr>
        <w:pStyle w:val="10030"/>
        <w:tabs>
          <w:tab w:val="clear" w:pos="360"/>
        </w:tabs>
        <w:spacing w:before="0" w:after="0"/>
        <w:ind w:hanging="0" w:left="0" w:right="0"/>
        <w:jc w:val="center"/>
        <w:rPr/>
      </w:pPr>
      <w:r>
        <w:rPr>
          <w:b/>
          <w:caps w:val="false"/>
          <w:smallCaps w:val="false"/>
          <w:sz w:val="32"/>
          <w:szCs w:val="32"/>
        </w:rPr>
        <w:t>Приложение А</w:t>
        <w:br/>
      </w:r>
      <w:r>
        <w:rPr>
          <w:b/>
          <w:caps w:val="false"/>
          <w:smallCaps w:val="false"/>
          <w:sz w:val="28"/>
          <w:szCs w:val="28"/>
        </w:rPr>
        <w:t>(обязательное)</w:t>
        <w:br/>
      </w:r>
      <w:r>
        <w:rPr>
          <w:b/>
          <w:caps w:val="false"/>
          <w:smallCaps w:val="false"/>
          <w:sz w:val="32"/>
          <w:szCs w:val="32"/>
        </w:rPr>
        <w:br/>
        <w:t>Размещение шкафов низковольтных комплектных устройств распределения  и  управления</w:t>
        <w:br/>
      </w:r>
    </w:p>
    <w:p>
      <w:pPr>
        <w:pStyle w:val="Normal"/>
        <w:widowControl w:val="false"/>
        <w:numPr>
          <w:ilvl w:val="0"/>
          <w:numId w:val="0"/>
        </w:numPr>
        <w:tabs>
          <w:tab w:val="clear" w:pos="720"/>
          <w:tab w:val="left" w:pos="1361" w:leader="none"/>
        </w:tabs>
        <w:spacing w:lineRule="auto" w:line="228"/>
        <w:ind w:hanging="0" w:left="0" w:right="0"/>
        <w:jc w:val="both"/>
        <w:outlineLvl w:val="1"/>
        <w:rPr/>
      </w:pPr>
      <w:r>
        <w:rPr>
          <w:spacing w:val="100"/>
          <w:sz w:val="28"/>
          <w:szCs w:val="28"/>
        </w:rPr>
        <w:t>Таблица</w:t>
      </w:r>
      <w:r>
        <w:rPr>
          <w:sz w:val="28"/>
          <w:szCs w:val="28"/>
        </w:rPr>
        <w:t xml:space="preserve"> А.1 - Размещение шкафов НКУ-РУ</w:t>
      </w:r>
    </w:p>
    <w:tbl>
      <w:tblPr>
        <w:tblW w:w="10268" w:type="dxa"/>
        <w:jc w:val="left"/>
        <w:tblInd w:w="-44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4063"/>
        <w:gridCol w:w="1831"/>
        <w:gridCol w:w="1877"/>
        <w:gridCol w:w="2496"/>
      </w:tblGrid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 w:left="0" w:right="0"/>
              <w:jc w:val="center"/>
              <w:rPr/>
            </w:pPr>
            <w:r>
              <w:rPr>
                <w:sz w:val="24"/>
                <w:szCs w:val="24"/>
              </w:rPr>
              <w:t>Позиционное обозначение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Количество шкафов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Помещение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 w:left="0" w:right="0"/>
              <w:jc w:val="center"/>
              <w:rPr/>
            </w:pPr>
            <w:r>
              <w:rPr>
                <w:sz w:val="24"/>
                <w:szCs w:val="24"/>
              </w:rPr>
              <w:t>Отметка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 w:left="0" w:right="0"/>
              <w:jc w:val="center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 w:left="0" w:right="0"/>
              <w:jc w:val="center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 w:left="0" w:right="0"/>
              <w:jc w:val="center"/>
              <w:rPr/>
            </w:pPr>
            <w:r>
              <w:rPr>
                <w:sz w:val="24"/>
                <w:szCs w:val="24"/>
              </w:rPr>
              <w:t>4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LS37R01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НДВ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LS37R02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692" w:leader="none"/>
                <w:tab w:val="center" w:pos="813" w:leader="none"/>
              </w:tabs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Ш-1, 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НДВ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DS35R04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Ш-1, 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ДОУ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DS35R05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Ш-1, 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ДОУ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DS36R03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ДОУ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3LS01R02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ОНС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3LS01R03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ОНС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3DS02R07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ОНС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3LS02R01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Ш-1, 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ОНС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>
          <w:trHeight w:val="72" w:hRule="atLeast"/>
        </w:trPr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3LS01R03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Ш-1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ОНС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3DJ07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РЭСЭО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3DS41R01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Ш-3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Убежище на 600 укрываемых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3DS01R07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Здание караула с сооружением ГО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3DS01R09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Ш-3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Здание караула на 50 укрываемых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0DS39R01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Ш-2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Резервная емкость СООП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Приставной шкаф к сборке ЭЦ</w:t>
            </w:r>
          </w:p>
        </w:tc>
      </w:tr>
      <w:tr>
        <w:trPr/>
        <w:tc>
          <w:tcPr>
            <w:tcW w:w="4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3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DS02R03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hanging="0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-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Камера фильтров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firstLine="34"/>
              <w:jc w:val="center"/>
              <w:rPr/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val="ru-RU" w:eastAsia="zh-CN" w:bidi="ar-SA"/>
              </w:rPr>
              <w:t>Сборка ЭЦ</w:t>
            </w:r>
          </w:p>
        </w:tc>
      </w:tr>
    </w:tbl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/>
          <w:pgMar w:left="1134" w:right="572" w:gutter="0" w:header="0" w:top="1134" w:footer="624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5"/>
        <w:widowControl w:val="false"/>
        <w:numPr>
          <w:ilvl w:val="0"/>
          <w:numId w:val="0"/>
        </w:numPr>
        <w:spacing w:before="240" w:after="240"/>
        <w:ind w:hanging="0" w:left="0" w:right="0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Лист регистрации изменений</w:t>
      </w:r>
    </w:p>
    <w:tbl>
      <w:tblPr>
        <w:tblW w:w="9866" w:type="dxa"/>
        <w:jc w:val="left"/>
        <w:tblInd w:w="51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58"/>
        <w:gridCol w:w="1019"/>
        <w:gridCol w:w="1144"/>
        <w:gridCol w:w="990"/>
        <w:gridCol w:w="1136"/>
        <w:gridCol w:w="1560"/>
        <w:gridCol w:w="1273"/>
        <w:gridCol w:w="1134"/>
        <w:gridCol w:w="851"/>
      </w:tblGrid>
      <w:tr>
        <w:trPr>
          <w:trHeight w:val="309" w:hRule="atLeast"/>
          <w:cantSplit w:val="true"/>
        </w:trPr>
        <w:tc>
          <w:tcPr>
            <w:tcW w:w="75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Изм. №</w:t>
            </w:r>
          </w:p>
        </w:tc>
        <w:tc>
          <w:tcPr>
            <w:tcW w:w="4289" w:type="dxa"/>
            <w:gridSpan w:val="4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Номера листов (страниц)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Всего листов (страниц) в документе</w:t>
            </w:r>
          </w:p>
        </w:tc>
        <w:tc>
          <w:tcPr>
            <w:tcW w:w="1273" w:type="dxa"/>
            <w:vMerge w:val="restart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Style24"/>
              <w:widowControl w:val="false"/>
              <w:spacing w:before="8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>извещения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Подпись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Дата</w:t>
            </w:r>
          </w:p>
        </w:tc>
      </w:tr>
      <w:tr>
        <w:trPr>
          <w:cantSplit w:val="true"/>
        </w:trPr>
        <w:tc>
          <w:tcPr>
            <w:tcW w:w="758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019" w:type="dxa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Изме-нённых</w:t>
            </w:r>
          </w:p>
        </w:tc>
        <w:tc>
          <w:tcPr>
            <w:tcW w:w="1144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Заменён-ных</w:t>
            </w:r>
          </w:p>
        </w:tc>
        <w:tc>
          <w:tcPr>
            <w:tcW w:w="990" w:type="dxa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jc w:val="center"/>
              <w:rPr/>
            </w:pPr>
            <w:r>
              <w:rPr/>
              <w:t>Новых</w:t>
            </w:r>
          </w:p>
        </w:tc>
        <w:tc>
          <w:tcPr>
            <w:tcW w:w="1136" w:type="dxa"/>
            <w:tcBorders>
              <w:top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Style24"/>
              <w:widowControl w:val="false"/>
              <w:spacing w:before="8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Анну-лиро-ванных</w:t>
            </w:r>
          </w:p>
        </w:tc>
        <w:tc>
          <w:tcPr>
            <w:tcW w:w="1560" w:type="dxa"/>
            <w:vMerge w:val="continue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273" w:type="dxa"/>
            <w:vMerge w:val="continue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233" w:hRule="atLeast"/>
        </w:trPr>
        <w:tc>
          <w:tcPr>
            <w:tcW w:w="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5" w:type="dxa"/>
              <w:bottom w:w="55" w:type="dxa"/>
            </w:tcMar>
          </w:tcPr>
          <w:p>
            <w:pPr>
              <w:pStyle w:val="BodyText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/>
        <w:tc>
          <w:tcPr>
            <w:tcW w:w="75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ind w:hanging="0" w:left="0" w:right="113"/>
              <w:jc w:val="righ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19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44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560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273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851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BodyText"/>
              <w:widowControl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sectPr>
          <w:headerReference w:type="default" r:id="rId26"/>
          <w:headerReference w:type="first" r:id="rId27"/>
          <w:footerReference w:type="default" r:id="rId28"/>
          <w:footerReference w:type="first" r:id="rId29"/>
          <w:type w:val="nextPage"/>
          <w:pgSz w:w="11906" w:h="16838"/>
          <w:pgMar w:left="1418" w:right="567" w:gutter="0" w:header="567" w:top="95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Style15"/>
        <w:widowControl w:val="false"/>
        <w:numPr>
          <w:ilvl w:val="0"/>
          <w:numId w:val="0"/>
        </w:numPr>
        <w:spacing w:before="240" w:after="240"/>
        <w:ind w:hanging="0" w:left="0" w:right="0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Лист ознакомления с документом и изменениями</w:t>
      </w:r>
    </w:p>
    <w:tbl>
      <w:tblPr>
        <w:tblW w:w="15700" w:type="dxa"/>
        <w:jc w:val="left"/>
        <w:tblInd w:w="-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43"/>
        <w:gridCol w:w="1416"/>
        <w:gridCol w:w="1421"/>
        <w:gridCol w:w="1416"/>
        <w:gridCol w:w="1498"/>
        <w:gridCol w:w="1471"/>
        <w:gridCol w:w="1485"/>
        <w:gridCol w:w="1765"/>
        <w:gridCol w:w="1399"/>
      </w:tblGrid>
      <w:tr>
        <w:trPr>
          <w:cantSplit w:val="true"/>
        </w:trPr>
        <w:tc>
          <w:tcPr>
            <w:tcW w:w="198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ФИО</w:t>
            </w:r>
          </w:p>
        </w:tc>
        <w:tc>
          <w:tcPr>
            <w:tcW w:w="1843" w:type="dxa"/>
            <w:vMerge w:val="restart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Должность</w:t>
            </w:r>
          </w:p>
        </w:tc>
        <w:tc>
          <w:tcPr>
            <w:tcW w:w="283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С документом</w:t>
            </w:r>
          </w:p>
        </w:tc>
        <w:tc>
          <w:tcPr>
            <w:tcW w:w="291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С изменением    №</w:t>
            </w:r>
          </w:p>
        </w:tc>
        <w:tc>
          <w:tcPr>
            <w:tcW w:w="295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С изменением    №</w:t>
            </w:r>
          </w:p>
        </w:tc>
        <w:tc>
          <w:tcPr>
            <w:tcW w:w="3164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С изменением    №</w:t>
            </w:r>
          </w:p>
        </w:tc>
      </w:tr>
      <w:tr>
        <w:trPr>
          <w:cantSplit w:val="true"/>
        </w:trPr>
        <w:tc>
          <w:tcPr>
            <w:tcW w:w="1984" w:type="dxa"/>
            <w:vMerge w:val="continue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43" w:type="dxa"/>
            <w:vMerge w:val="continue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Подпись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Дата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Подпись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Дата</w:t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Подпись</w:t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Дата</w:t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Подпись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Дата</w:t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4"/>
                <w:szCs w:val="24"/>
                <w:lang w:eastAsia="zh-CN"/>
              </w:rPr>
            </w:pPr>
            <w:r>
              <w:rPr>
                <w:b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4"/>
                <w:szCs w:val="24"/>
                <w:lang w:eastAsia="zh-CN"/>
              </w:rPr>
            </w:pPr>
            <w:r>
              <w:rPr>
                <w:b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4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ind w:hanging="0" w:left="851" w:right="0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  <w:lang w:eastAsia="zh-CN"/>
              </w:rPr>
            </w:pPr>
            <w:r>
              <w:rPr>
                <w:b/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sz w:val="24"/>
                <w:szCs w:val="24"/>
                <w:lang w:eastAsia="zh-CN"/>
              </w:rPr>
            </w:pPr>
            <w:r>
              <w:rPr>
                <w:b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</w:r>
          </w:p>
        </w:tc>
      </w:tr>
      <w:tr>
        <w:trPr>
          <w:trHeight w:val="405" w:hRule="atLeast"/>
        </w:trPr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val="en-US" w:eastAsia="zh-CN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val="en-US" w:eastAsia="zh-CN"/>
              </w:rPr>
            </w:pPr>
            <w:r>
              <w:rPr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  <w:tr>
        <w:trPr/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eastAsia="zh-CN"/>
              </w:rPr>
            </w:pPr>
            <w:r>
              <w:rPr>
                <w:color w:val="000000"/>
                <w:sz w:val="24"/>
                <w:szCs w:val="24"/>
                <w:lang w:eastAsia="zh-CN"/>
              </w:rPr>
            </w:r>
          </w:p>
        </w:tc>
        <w:tc>
          <w:tcPr>
            <w:tcW w:w="14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</w:r>
          </w:p>
        </w:tc>
      </w:tr>
    </w:tbl>
    <w:p>
      <w:pPr>
        <w:sectPr>
          <w:headerReference w:type="default" r:id="rId30"/>
          <w:headerReference w:type="first" r:id="rId31"/>
          <w:footerReference w:type="default" r:id="rId32"/>
          <w:footerReference w:type="first" r:id="rId33"/>
          <w:type w:val="nextPage"/>
          <w:pgSz w:orient="landscape" w:w="16838" w:h="11906"/>
          <w:pgMar w:left="567" w:right="567" w:gutter="0" w:header="0" w:top="1134" w:footer="331" w:bottom="993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Лист рассылки документа</w:t>
      </w:r>
    </w:p>
    <w:tbl>
      <w:tblPr>
        <w:tblW w:w="975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648"/>
      </w:tblGrid>
      <w:tr>
        <w:trPr>
          <w:trHeight w:val="422" w:hRule="atLeast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подразделения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экземпляра</w:t>
            </w:r>
          </w:p>
        </w:tc>
      </w:tr>
      <w:tr>
        <w:trPr>
          <w:trHeight w:val="454" w:hRule="atLeast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ЦТАИ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  <w:tr>
        <w:trPr>
          <w:trHeight w:val="454" w:hRule="atLeast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ЭЦ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>
        <w:trPr>
          <w:trHeight w:val="454" w:hRule="atLeast"/>
        </w:trPr>
        <w:tc>
          <w:tcPr>
            <w:tcW w:w="51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ЦЦР</w:t>
            </w:r>
          </w:p>
        </w:tc>
        <w:tc>
          <w:tcPr>
            <w:tcW w:w="46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1906" w:h="16838"/>
      <w:pgMar w:left="1418" w:right="567" w:gutter="0" w:header="567" w:top="1111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Symbol">
    <w:charset w:val="01"/>
    <w:family w:val="roman"/>
    <w:pitch w:val="default"/>
  </w:font>
  <w:font w:name="Wingdings">
    <w:charset w:val="01"/>
    <w:family w:val="roman"/>
    <w:pitch w:val="default"/>
  </w:font>
  <w:font w:name="Courier New">
    <w:charset w:val="01"/>
    <w:family w:val="roman"/>
    <w:pitch w:val="default"/>
  </w:font>
  <w:font w:name="Tahoma">
    <w:charset w:val="01"/>
    <w:family w:val="roman"/>
    <w:pitch w:val="default"/>
  </w:font>
  <w:font w:name="Verdana">
    <w:charset w:val="01"/>
    <w:family w:val="roman"/>
    <w:pitch w:val="default"/>
  </w:font>
  <w:font w:name="Calibri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/>
      <w:tabs>
        <w:tab w:val="clear" w:pos="720"/>
        <w:tab w:val="center" w:pos="4536" w:leader="none"/>
        <w:tab w:val="right" w:pos="9072" w:leader="none"/>
      </w:tabs>
      <w:rPr>
        <w:sz w:val="16"/>
        <w:szCs w:val="16"/>
      </w:rPr>
    </w:pPr>
    <w:r>
      <w:rPr>
        <w:sz w:val="16"/>
        <w:szCs w:val="16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\* ROMAN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III</w:t>
    </w:r>
    <w:r>
      <w:rPr>
        <w:sz w:val="24"/>
        <w:szCs w:val="24"/>
      </w:rPr>
      <w:fldChar w:fldCharType="end"/>
    </w:r>
  </w:p>
  <w:p>
    <w:pPr>
      <w:pStyle w:val="Footer"/>
      <w:rPr>
        <w:sz w:val="24"/>
        <w:szCs w:val="24"/>
        <w:lang w:val="en-US"/>
      </w:rPr>
    </w:pPr>
    <w:r>
      <w:rPr>
        <w:sz w:val="24"/>
        <w:szCs w:val="24"/>
        <w:lang w:val="en-US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\* ROMAN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II</w:t>
    </w:r>
    <w:r>
      <w:rPr>
        <w:sz w:val="24"/>
        <w:szCs w:val="24"/>
      </w:rPr>
      <w:fldChar w:fldCharType="end"/>
    </w:r>
  </w:p>
  <w:p>
    <w:pPr>
      <w:pStyle w:val="Footer"/>
      <w:rPr>
        <w:sz w:val="24"/>
        <w:szCs w:val="24"/>
        <w:lang w:val="en-US"/>
      </w:rPr>
    </w:pPr>
    <w:r>
      <w:rPr>
        <w:sz w:val="24"/>
        <w:szCs w:val="24"/>
        <w:lang w:val="en-US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20</w:t>
    </w:r>
    <w:r>
      <w:rPr>
        <w:sz w:val="24"/>
        <w:szCs w:val="24"/>
      </w:rPr>
      <w:fldChar w:fldCharType="end"/>
    </w:r>
  </w:p>
  <w:p>
    <w:pPr>
      <w:pStyle w:val="Footer"/>
      <w:jc w:val="center"/>
      <w:rPr>
        <w:sz w:val="24"/>
        <w:szCs w:val="24"/>
      </w:rPr>
    </w:pPr>
    <w:r>
      <w:rPr>
        <w:sz w:val="24"/>
        <w:szCs w:val="24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Footer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 w:val="24"/>
        <w:szCs w:val="24"/>
        <w:lang w:val="ru-RU" w:eastAsia="ru-RU"/>
      </w:rPr>
    </w:pPr>
    <w:r>
      <w:rPr>
        <w:sz w:val="24"/>
        <w:szCs w:val="24"/>
        <w:lang w:val="ru-RU" w:eastAsia="ru-RU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8777605</wp:posOffset>
              </wp:positionH>
              <wp:positionV relativeFrom="paragraph">
                <wp:posOffset>-704215</wp:posOffset>
              </wp:positionV>
              <wp:extent cx="1689100" cy="363220"/>
              <wp:effectExtent l="0" t="0" r="0" b="0"/>
              <wp:wrapNone/>
              <wp:docPr id="8" name="Фигур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689120" cy="363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39"/>
                            <w:tabs>
                              <w:tab w:val="clear" w:pos="720"/>
                              <w:tab w:val="center" w:pos="4153" w:leader="none"/>
                              <w:tab w:val="right" w:pos="8306" w:leader="none"/>
                            </w:tabs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/>
                              <w:color w:val="auto"/>
                              <w:sz w:val="24"/>
                              <w:szCs w:val="20"/>
                              <w:lang w:val="ru-RU" w:eastAsia="zh-CN" w:bidi="ar-SA"/>
                            </w:rPr>
                            <w:t>ПП.2.САР.ЦТАИ/479</w:t>
                          </w:r>
                        </w:p>
                      </w:txbxContent>
                    </wps:txbx>
                    <wps:bodyPr lIns="45720" rIns="45720" tIns="91440" bIns="91440" anchor="t" vert="eaVer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Фигура2" path="m0,0l-2147483645,0l-2147483645,-2147483646l0,-2147483646xe" fillcolor="white" stroked="f" o:allowincell="f" style="position:absolute;margin-left:691.15pt;margin-top:-55.5pt;width:132.95pt;height:28.55pt;mso-wrap-style:square;v-text-anchor:top;rotation:9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Style39"/>
                      <w:tabs>
                        <w:tab w:val="clear" w:pos="720"/>
                        <w:tab w:val="center" w:pos="4153" w:leader="none"/>
                        <w:tab w:val="right" w:pos="8306" w:leader="none"/>
                      </w:tabs>
                      <w:jc w:val="center"/>
                      <w:rPr/>
                    </w:pPr>
                    <w:r>
                      <w:rPr>
                        <w:rFonts w:eastAsia="Times New Roman" w:cs="Times New Roman"/>
                        <w:color w:val="auto"/>
                        <w:sz w:val="24"/>
                        <w:szCs w:val="20"/>
                        <w:lang w:val="ru-RU" w:eastAsia="zh-CN" w:bidi="ar-SA"/>
                      </w:rPr>
                      <w:t>ПП.2.САР.ЦТАИ/479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240665</wp:posOffset>
              </wp:positionH>
              <wp:positionV relativeFrom="paragraph">
                <wp:posOffset>635</wp:posOffset>
              </wp:positionV>
              <wp:extent cx="256540" cy="351790"/>
              <wp:effectExtent l="0" t="0" r="0" b="0"/>
              <wp:wrapSquare wrapText="bothSides"/>
              <wp:docPr id="9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80" cy="35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lIns="1440" rIns="1440" tIns="1440" bIns="1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18.95pt;margin-top:0.05pt;width:20.15pt;height:27.6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  <w:fldChar w:fldCharType="begin"/>
    </w:r>
    <w:r>
      <w:rPr>
        <w:sz w:val="24"/>
        <w:szCs w:val="24"/>
        <w:lang w:val="ru-RU" w:eastAsia="ru-RU"/>
      </w:rPr>
      <w:instrText xml:space="preserve"> PAGE </w:instrText>
    </w:r>
    <w:r>
      <w:rPr>
        <w:sz w:val="24"/>
        <w:szCs w:val="24"/>
        <w:lang w:val="ru-RU" w:eastAsia="ru-RU"/>
      </w:rPr>
      <w:fldChar w:fldCharType="separate"/>
    </w:r>
    <w:r>
      <w:rPr>
        <w:sz w:val="24"/>
        <w:szCs w:val="24"/>
        <w:lang w:val="ru-RU" w:eastAsia="ru-RU"/>
      </w:rPr>
      <w:t>22</w:t>
    </w:r>
    <w:r>
      <w:rPr>
        <w:sz w:val="24"/>
        <w:szCs w:val="24"/>
        <w:lang w:val="ru-RU" w:eastAsia="ru-RU"/>
      </w:rPr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 w:eastAsia="ru-RU"/>
      </w:rPr>
    </w:pPr>
    <w:r>
      <w:rPr>
        <w:lang w:val="ru-RU" w:eastAsia="ru-RU"/>
      </w:rPr>
      <mc:AlternateContent>
        <mc:Choice Requires="wps">
          <w:drawing>
            <wp:anchor behindDoc="1" distT="0" distB="0" distL="0" distR="0" simplePos="0" locked="0" layoutInCell="1" allowOverlap="1" relativeHeight="2">
              <wp:simplePos x="0" y="0"/>
              <wp:positionH relativeFrom="column">
                <wp:posOffset>8777605</wp:posOffset>
              </wp:positionH>
              <wp:positionV relativeFrom="paragraph">
                <wp:posOffset>-704215</wp:posOffset>
              </wp:positionV>
              <wp:extent cx="1689100" cy="363220"/>
              <wp:effectExtent l="0" t="0" r="0" b="0"/>
              <wp:wrapNone/>
              <wp:docPr id="10" name="Фигур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689120" cy="363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39"/>
                            <w:tabs>
                              <w:tab w:val="clear" w:pos="720"/>
                              <w:tab w:val="center" w:pos="4153" w:leader="none"/>
                              <w:tab w:val="right" w:pos="8306" w:leader="none"/>
                            </w:tabs>
                            <w:jc w:val="center"/>
                            <w:rPr/>
                          </w:pPr>
                          <w:r>
                            <w:rPr>
                              <w:rFonts w:eastAsia="Times New Roman" w:cs="Times New Roman"/>
                              <w:color w:val="auto"/>
                              <w:sz w:val="24"/>
                              <w:szCs w:val="20"/>
                              <w:lang w:val="ru-RU" w:eastAsia="zh-CN" w:bidi="ar-SA"/>
                            </w:rPr>
                            <w:t>ПП.4.ТЗБ.ЦТАИ/280</w:t>
                          </w:r>
                        </w:p>
                      </w:txbxContent>
                    </wps:txbx>
                    <wps:bodyPr lIns="45720" rIns="45720" tIns="91440" bIns="91440" anchor="t" vert="eaVer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Фигура3" path="m0,0l-2147483645,0l-2147483645,-2147483646l0,-2147483646xe" fillcolor="white" stroked="f" o:allowincell="f" style="position:absolute;margin-left:691.15pt;margin-top:-55.5pt;width:132.95pt;height:28.55pt;mso-wrap-style:square;v-text-anchor:top;rotation:90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Style39"/>
                      <w:tabs>
                        <w:tab w:val="clear" w:pos="720"/>
                        <w:tab w:val="center" w:pos="4153" w:leader="none"/>
                        <w:tab w:val="right" w:pos="8306" w:leader="none"/>
                      </w:tabs>
                      <w:jc w:val="center"/>
                      <w:rPr/>
                    </w:pPr>
                    <w:r>
                      <w:rPr>
                        <w:rFonts w:eastAsia="Times New Roman" w:cs="Times New Roman"/>
                        <w:color w:val="auto"/>
                        <w:sz w:val="24"/>
                        <w:szCs w:val="20"/>
                        <w:lang w:val="ru-RU" w:eastAsia="zh-CN" w:bidi="ar-SA"/>
                      </w:rPr>
                      <w:t>ПП.4.ТЗБ.ЦТАИ/280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64"/>
      <w:jc w:val="right"/>
      <w:rPr>
        <w:lang w:val="ru-RU" w:eastAsia="ru-RU"/>
      </w:rPr>
    </w:pPr>
    <w:r>
      <w:rPr>
        <w:lang w:val="ru-RU" w:eastAsia="ru-RU"/>
      </w:rPr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24"/>
        <w:szCs w:val="24"/>
      </w:rPr>
    </w:pPr>
    <w:r>
      <w:rPr>
        <w:sz w:val="24"/>
        <w:szCs w:val="24"/>
      </w:rPr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923" w:leader="none"/>
      </w:tabs>
      <w:rPr>
        <w:sz w:val="24"/>
        <w:szCs w:val="24"/>
      </w:rPr>
    </w:pPr>
    <w:r>
      <w:rPr>
        <w:sz w:val="24"/>
        <w:szCs w:val="24"/>
      </w:rPr>
      <w:tab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923" w:leader="none"/>
      </w:tabs>
      <w:rPr>
        <w:sz w:val="24"/>
        <w:szCs w:val="24"/>
      </w:rPr>
    </w:pPr>
    <w:r>
      <w:rPr>
        <w:sz w:val="24"/>
        <w:szCs w:val="24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923" w:leader="none"/>
      </w:tabs>
      <w:rPr>
        <w:sz w:val="24"/>
        <w:szCs w:val="24"/>
      </w:rPr>
    </w:pPr>
    <w:r>
      <w:rPr>
        <w:sz w:val="24"/>
        <w:szCs w:val="24"/>
      </w:rPr>
      <w:tab/>
      <w:t>ИЭ.3.НКУ-РУ.27.142</w:t>
    </w:r>
  </w:p>
  <w:p>
    <w:pPr>
      <w:pStyle w:val="Header"/>
      <w:tabs>
        <w:tab w:val="clear" w:pos="4153"/>
        <w:tab w:val="clear" w:pos="8306"/>
        <w:tab w:val="center" w:pos="4536" w:leader="none"/>
        <w:tab w:val="right" w:pos="9923" w:leader="none"/>
      </w:tabs>
      <w:rPr>
        <w:sz w:val="24"/>
        <w:szCs w:val="24"/>
      </w:rPr>
    </w:pPr>
    <w:r>
      <w:rPr>
        <w:sz w:val="24"/>
        <w:szCs w:val="24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923" w:leader="none"/>
      </w:tabs>
      <w:rPr/>
    </w:pPr>
    <w:r>
      <w:rPr>
        <w:rStyle w:val="PageNumber"/>
        <w:sz w:val="24"/>
        <w:szCs w:val="24"/>
        <w:lang w:val="en-US"/>
      </w:rPr>
      <w:tab/>
      <w:t>ИЭ.3.НКУ-РУ.27.142</w:t>
    </w:r>
  </w:p>
  <w:p>
    <w:pPr>
      <w:pStyle w:val="Header"/>
      <w:tabs>
        <w:tab w:val="clear" w:pos="4153"/>
        <w:tab w:val="clear" w:pos="8306"/>
        <w:tab w:val="center" w:pos="4820" w:leader="none"/>
        <w:tab w:val="right" w:pos="9923" w:leader="none"/>
      </w:tabs>
      <w:rPr>
        <w:sz w:val="24"/>
        <w:szCs w:val="24"/>
        <w:lang w:val="en-US"/>
      </w:rPr>
    </w:pPr>
    <w:r>
      <w:rPr>
        <w:sz w:val="24"/>
        <w:szCs w:val="24"/>
        <w:lang w:val="en-US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widowControl/>
      <w:tabs>
        <w:tab w:val="clear" w:pos="4153"/>
        <w:tab w:val="clear" w:pos="8306"/>
        <w:tab w:val="right" w:pos="10204" w:leader="none"/>
      </w:tabs>
      <w:bidi w:val="0"/>
      <w:spacing w:before="0" w:after="0"/>
      <w:ind w:hanging="0" w:left="0" w:right="0"/>
      <w:jc w:val="left"/>
      <w:rPr>
        <w:sz w:val="24"/>
        <w:szCs w:val="24"/>
      </w:rPr>
    </w:pPr>
    <w:r>
      <w:rPr>
        <w:sz w:val="24"/>
        <w:szCs w:val="24"/>
      </w:rPr>
      <w:tab/>
      <w:t xml:space="preserve">ИЭ.3.НКУ-РУ.27.142  «зам» </w:t>
    </w:r>
    <w:r>
      <mc:AlternateContent>
        <mc:Choice Requires="wps">
          <w:drawing>
            <wp:anchor behindDoc="1" distT="6350" distB="5715" distL="6350" distR="5715" simplePos="0" locked="0" layoutInCell="1" allowOverlap="1" relativeHeight="25">
              <wp:simplePos x="0" y="0"/>
              <wp:positionH relativeFrom="column">
                <wp:posOffset>6347460</wp:posOffset>
              </wp:positionH>
              <wp:positionV relativeFrom="paragraph">
                <wp:posOffset>1905</wp:posOffset>
              </wp:positionV>
              <wp:extent cx="180975" cy="180975"/>
              <wp:effectExtent l="6350" t="6350" r="5715" b="5715"/>
              <wp:wrapNone/>
              <wp:docPr id="7" name="Фигура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080" cy="181080"/>
                      </a:xfrm>
                      <a:prstGeom prst="ellipse">
                        <a:avLst/>
                      </a:prstGeom>
                      <a:noFill/>
                      <a:ln w="108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oval id="shape_0" ID="Фигура 1" path="l-2147483648,-2147483643l-2147483628,-2147483627l-2147483648,-2147483643l-2147483626,-2147483625xe" stroked="t" o:allowincell="f" style="position:absolute;margin-left:499.8pt;margin-top:0.15pt;width:14.2pt;height:14.2pt;mso-wrap-style:none;v-text-anchor:middle">
              <v:fill o:detectmouseclick="t" on="false"/>
              <v:stroke color="black" weight="10800" joinstyle="round" endcap="flat"/>
              <w10:wrap type="none"/>
            </v:oval>
          </w:pict>
        </mc:Fallback>
      </mc:AlternateContent>
    </w:r>
    <w:r>
      <w:rPr>
        <w:sz w:val="24"/>
        <w:szCs w:val="24"/>
      </w:rPr>
      <w:t xml:space="preserve"> 3</w:t>
    </w:r>
  </w:p>
  <w:p>
    <w:pPr>
      <w:pStyle w:val="Header"/>
      <w:tabs>
        <w:tab w:val="clear" w:pos="4153"/>
        <w:tab w:val="clear" w:pos="8306"/>
        <w:tab w:val="center" w:pos="4536" w:leader="none"/>
        <w:tab w:val="right" w:pos="9923" w:leader="none"/>
      </w:tabs>
      <w:rPr>
        <w:sz w:val="24"/>
        <w:szCs w:val="24"/>
      </w:rPr>
    </w:pPr>
    <w:r>
      <w:rPr>
        <w:sz w:val="24"/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10204" w:leader="none"/>
      </w:tabs>
      <w:rPr/>
    </w:pPr>
    <w:r>
      <w:rPr>
        <w:rStyle w:val="PageNumber"/>
        <w:sz w:val="24"/>
        <w:szCs w:val="24"/>
      </w:rPr>
      <w:tab/>
      <w:t>ИЭ.3.НКУ-РУ.27.142</w:t>
    </w:r>
  </w:p>
  <w:p>
    <w:pPr>
      <w:pStyle w:val="Header"/>
      <w:tabs>
        <w:tab w:val="clear" w:pos="4153"/>
        <w:tab w:val="clear" w:pos="8306"/>
        <w:tab w:val="center" w:pos="4820" w:leader="none"/>
        <w:tab w:val="right" w:pos="9923" w:leader="none"/>
      </w:tabs>
      <w:rPr>
        <w:sz w:val="24"/>
        <w:szCs w:val="24"/>
        <w:lang w:val="en-US"/>
      </w:rPr>
    </w:pPr>
    <w:r>
      <w:rPr>
        <w:sz w:val="24"/>
        <w:szCs w:val="24"/>
        <w:lang w:val="en-US"/>
      </w:rPr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923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Header"/>
      <w:tabs>
        <w:tab w:val="clear" w:pos="4153"/>
        <w:tab w:val="clear" w:pos="8306"/>
        <w:tab w:val="right" w:pos="9923" w:leader="none"/>
      </w:tabs>
      <w:jc w:val="right"/>
      <w:rPr>
        <w:sz w:val="20"/>
        <w:szCs w:val="20"/>
      </w:rPr>
    </w:pPr>
    <w:r>
      <w:rPr>
        <w:sz w:val="20"/>
        <w:szCs w:val="20"/>
      </w:rPr>
    </w:r>
  </w:p>
  <w:p>
    <w:pPr>
      <w:pStyle w:val="Header"/>
      <w:tabs>
        <w:tab w:val="clear" w:pos="4153"/>
        <w:tab w:val="clear" w:pos="8306"/>
        <w:tab w:val="right" w:pos="9923" w:leader="none"/>
      </w:tabs>
      <w:jc w:val="right"/>
      <w:rPr>
        <w:sz w:val="24"/>
        <w:szCs w:val="24"/>
      </w:rPr>
    </w:pPr>
    <w:r>
      <w:rPr>
        <w:sz w:val="24"/>
        <w:szCs w:val="24"/>
      </w:rPr>
      <w:t>ИЭ.3.НКУ-РУ.27.142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  <w:t>ИЭ.3.НКУ-РУ.27.142</w:t>
    </w:r>
  </w:p>
  <w:p>
    <w:pPr>
      <w:pStyle w:val="Head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Head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</w:r>
  </w:p>
  <w:p>
    <w:pPr>
      <w:pStyle w:val="Head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  <w:t>ИЭ.3.НКУ-РУ.27.142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center" w:pos="-4253" w:leader="none"/>
        <w:tab w:val="left" w:pos="6521" w:leader="none"/>
      </w:tabs>
      <w:rPr>
        <w:sz w:val="24"/>
        <w:szCs w:val="24"/>
      </w:rPr>
    </w:pPr>
    <w:r>
      <w:rPr>
        <w:sz w:val="24"/>
        <w:szCs w:val="24"/>
      </w:rPr>
      <w:tab/>
      <w:t>РП.1.СУЗ, АЗ, АКНП. ЦТАИ/237А</w: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</w:tabs>
      <w:jc w:val="right"/>
      <w:rPr>
        <w:sz w:val="24"/>
        <w:szCs w:val="24"/>
      </w:rPr>
    </w:pPr>
    <w:r>
      <w:rPr>
        <w:sz w:val="24"/>
        <w:szCs w:val="24"/>
      </w:rPr>
      <w:t>ИЭ.3.НКУ-РУ.27.142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7.%2"/>
      <w:lvlJc w:val="left"/>
      <w:pPr>
        <w:tabs>
          <w:tab w:val="num" w:pos="720"/>
        </w:tabs>
        <w:ind w:left="0" w:firstLine="851"/>
      </w:pPr>
      <w:rPr>
        <w:sz w:val="28"/>
        <w:szCs w:val="24"/>
        <w:rFonts w:ascii="Times New Roman" w:hAnsi="Times New Roman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3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5.%2"/>
      <w:lvlJc w:val="left"/>
      <w:pPr>
        <w:tabs>
          <w:tab w:val="num" w:pos="720"/>
        </w:tabs>
        <w:ind w:left="0" w:firstLine="851"/>
      </w:pPr>
      <w:rPr/>
    </w:lvl>
    <w:lvl w:ilvl="2">
      <w:start w:val="1"/>
      <w:numFmt w:val="decimal"/>
      <w:lvlText w:val="5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5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4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9.%2"/>
      <w:lvlJc w:val="left"/>
      <w:pPr>
        <w:tabs>
          <w:tab w:val="num" w:pos="720"/>
        </w:tabs>
        <w:ind w:left="0" w:firstLine="851"/>
      </w:pPr>
      <w:rPr/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5"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8.%2"/>
      <w:lvlJc w:val="left"/>
      <w:pPr>
        <w:tabs>
          <w:tab w:val="num" w:pos="720"/>
        </w:tabs>
        <w:ind w:left="0" w:firstLine="851"/>
      </w:pPr>
      <w:rPr>
        <w:sz w:val="28"/>
      </w:rPr>
    </w:lvl>
    <w:lvl w:ilvl="2">
      <w:start w:val="1"/>
      <w:numFmt w:val="decimal"/>
      <w:lvlText w:val="8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7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851"/>
      </w:pPr>
      <w:rPr/>
    </w:lvl>
    <w:lvl w:ilvl="1">
      <w:start w:val="1"/>
      <w:numFmt w:val="decimal"/>
      <w:lvlText w:val="%1.%2"/>
      <w:lvlJc w:val="left"/>
      <w:pPr>
        <w:tabs>
          <w:tab w:val="num" w:pos="1571"/>
        </w:tabs>
        <w:ind w:left="0" w:firstLine="851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>
        <w:sz w:val="24"/>
        <w:i w:val="false"/>
        <w:b w:val="false"/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/>
    </w:lvl>
  </w:abstractNum>
  <w:abstractNum w:abstractNumId="8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6.%2"/>
      <w:lvlJc w:val="left"/>
      <w:pPr>
        <w:tabs>
          <w:tab w:val="num" w:pos="720"/>
        </w:tabs>
        <w:ind w:left="0" w:firstLine="851"/>
      </w:pPr>
      <w:rPr/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9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10.%2"/>
      <w:lvlJc w:val="left"/>
      <w:pPr>
        <w:tabs>
          <w:tab w:val="num" w:pos="720"/>
        </w:tabs>
        <w:ind w:left="0" w:firstLine="851"/>
      </w:pPr>
      <w:rPr>
        <w:i w:val="false"/>
        <w:iCs w:val="false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11">
    <w:lvl w:ilvl="0">
      <w:start w:val="2"/>
      <w:numFmt w:val="decimal"/>
      <w:lvlText w:val="%1"/>
      <w:lvlJc w:val="left"/>
      <w:pPr>
        <w:tabs>
          <w:tab w:val="num" w:pos="1276"/>
        </w:tabs>
        <w:ind w:left="0" w:firstLine="851"/>
      </w:pPr>
      <w:rPr/>
    </w:lvl>
    <w:lvl w:ilvl="1">
      <w:start w:val="1"/>
      <w:numFmt w:val="decimal"/>
      <w:lvlText w:val="4.%2"/>
      <w:lvlJc w:val="left"/>
      <w:pPr>
        <w:tabs>
          <w:tab w:val="num" w:pos="720"/>
        </w:tabs>
        <w:ind w:left="0" w:firstLine="851"/>
      </w:pPr>
      <w:rPr/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0" w:firstLine="851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12">
    <w:lvl w:ilvl="0">
      <w:start w:val="1"/>
      <w:numFmt w:val="decimal"/>
      <w:lvlText w:val="%1"/>
      <w:lvlJc w:val="left"/>
      <w:pPr>
        <w:tabs>
          <w:tab w:val="num" w:pos="0"/>
        </w:tabs>
        <w:ind w:left="1429" w:hanging="360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1429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89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149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49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9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09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69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229" w:hanging="2160"/>
      </w:pPr>
      <w:rPr/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6805"/>
        </w:tabs>
        <w:ind w:left="6238" w:hanging="0"/>
      </w:pPr>
      <w:rPr>
        <w:smallCaps w:val="false"/>
        <w:caps w:val="false"/>
        <w:dstrike w:val="false"/>
        <w:strike w:val="false"/>
        <w:vertAlign w:val="baseline"/>
        <w:position w:val="0"/>
        <w:sz w:val="32"/>
        <w:sz w:val="32"/>
        <w:i w:val="false"/>
        <w:u w:val="none"/>
        <w:b/>
        <w:vanish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284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vanish w:val="false"/>
        <w:rFonts w:ascii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0" w:firstLine="284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u w:val="none"/>
        <w:b w:val="false"/>
        <w:vanish w:val="false"/>
        <w:rFonts w:ascii="Times New Roman" w:hAnsi="Times New Roman" w:cs="Times New Roman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1148"/>
        </w:tabs>
        <w:ind w:left="1148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292"/>
        </w:tabs>
        <w:ind w:left="1292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436"/>
        </w:tabs>
        <w:ind w:left="1436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580"/>
        </w:tabs>
        <w:ind w:left="1580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724"/>
        </w:tabs>
        <w:ind w:left="1724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868"/>
        </w:tabs>
        <w:ind w:left="1868" w:hanging="1584"/>
      </w:pPr>
      <w:rPr/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>
        <w:sz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suff w:val="nothing"/>
      <w:lvlText w:val="%1)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1304"/>
        </w:tabs>
        <w:ind w:left="0" w:firstLine="851"/>
      </w:pPr>
      <w:rPr/>
    </w:lvl>
    <w:lvl w:ilvl="1">
      <w:start w:val="1"/>
      <w:numFmt w:val="decimal"/>
      <w:lvlText w:val="%1.%2"/>
      <w:lvlJc w:val="left"/>
      <w:pPr>
        <w:tabs>
          <w:tab w:val="num" w:pos="1304"/>
        </w:tabs>
        <w:ind w:left="0" w:firstLine="851"/>
      </w:pPr>
      <w:rPr/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304"/>
        </w:tabs>
        <w:ind w:left="0" w:firstLine="851"/>
      </w:pPr>
      <w:rPr/>
    </w:lvl>
    <w:lvl w:ilvl="4">
      <w:start w:val="1"/>
      <w:numFmt w:val="decimal"/>
      <w:lvlText w:val="%1.%2.%3.%4.%5"/>
      <w:lvlJc w:val="left"/>
      <w:pPr>
        <w:tabs>
          <w:tab w:val="num" w:pos="1304"/>
        </w:tabs>
        <w:ind w:left="0" w:firstLine="851"/>
      </w:pPr>
      <w:rPr/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0" w:firstLine="851"/>
      </w:pPr>
      <w:rPr/>
    </w:lvl>
    <w:lvl w:ilvl="6">
      <w:start w:val="1"/>
      <w:numFmt w:val="decimal"/>
      <w:lvlText w:val="%1.%2.%3.%4.%5.%6.%7."/>
      <w:lvlJc w:val="left"/>
      <w:pPr>
        <w:tabs>
          <w:tab w:val="num" w:pos="1304"/>
        </w:tabs>
        <w:ind w:left="0" w:firstLine="851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304"/>
        </w:tabs>
        <w:ind w:left="0" w:firstLine="851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304"/>
        </w:tabs>
        <w:ind w:left="0" w:firstLine="851"/>
      </w:pPr>
      <w:rPr/>
    </w:lvl>
  </w:abstractNum>
  <w:abstractNum w:abstractNumId="18">
    <w:lvl w:ilvl="0">
      <w:start w:val="2"/>
      <w:numFmt w:val="decimal"/>
      <w:lvlText w:val="%1"/>
      <w:lvlJc w:val="left"/>
      <w:pPr>
        <w:tabs>
          <w:tab w:val="num" w:pos="4905"/>
        </w:tabs>
        <w:ind w:left="3828" w:firstLine="851"/>
      </w:pPr>
      <w:rPr/>
    </w:lvl>
    <w:lvl w:ilvl="1">
      <w:start w:val="1"/>
      <w:numFmt w:val="decimal"/>
      <w:lvlText w:val="%1.%2"/>
      <w:lvlJc w:val="left"/>
      <w:pPr>
        <w:tabs>
          <w:tab w:val="num" w:pos="1304"/>
        </w:tabs>
        <w:ind w:left="0" w:firstLine="851"/>
      </w:pPr>
      <w:rPr/>
    </w:lvl>
    <w:lvl w:ilvl="2">
      <w:start w:val="1"/>
      <w:numFmt w:val="decimal"/>
      <w:lvlText w:val="%1.%2.%3"/>
      <w:lvlJc w:val="left"/>
      <w:pPr>
        <w:tabs>
          <w:tab w:val="num" w:pos="1474"/>
        </w:tabs>
        <w:ind w:left="0" w:firstLine="851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851"/>
      </w:pPr>
      <w:rPr/>
    </w:lvl>
    <w:lvl w:ilvl="4">
      <w:start w:val="1"/>
      <w:numFmt w:val="decimal"/>
      <w:lvlText w:val="%1.%2.%3.%4.%5"/>
      <w:lvlJc w:val="left"/>
      <w:pPr>
        <w:tabs>
          <w:tab w:val="num" w:pos="3277"/>
        </w:tabs>
        <w:ind w:left="3277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3421"/>
        </w:tabs>
        <w:ind w:left="3421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3565"/>
        </w:tabs>
        <w:ind w:left="3565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709"/>
        </w:tabs>
        <w:ind w:left="3709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853"/>
        </w:tabs>
        <w:ind w:left="3853" w:hanging="1584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30"/>
  <w:gutterAtTop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T Astra Serif" w:hAnsi="PT Astra Serif" w:eastAsia="Tahoma" w:cs="Noto Sans Devanagari"/>
        <w:sz w:val="28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zh-CN" w:bidi="ar-SA"/>
    </w:rPr>
  </w:style>
  <w:style w:type="paragraph" w:styleId="Heading1">
    <w:name w:val="heading 1"/>
    <w:basedOn w:val="Normal"/>
    <w:qFormat/>
    <w:pPr>
      <w:widowControl w:val="false"/>
      <w:numPr>
        <w:ilvl w:val="0"/>
        <w:numId w:val="13"/>
      </w:numPr>
      <w:spacing w:lineRule="auto" w:line="480" w:before="360" w:after="0"/>
      <w:outlineLvl w:val="0"/>
    </w:pPr>
    <w:rPr>
      <w:caps/>
      <w:sz w:val="24"/>
      <w:szCs w:val="24"/>
    </w:rPr>
  </w:style>
  <w:style w:type="paragraph" w:styleId="Heading2">
    <w:name w:val="heading 2"/>
    <w:basedOn w:val="Normal"/>
    <w:qFormat/>
    <w:pPr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Normal"/>
    <w:qFormat/>
    <w:pPr>
      <w:keepNext w:val="true"/>
      <w:numPr>
        <w:ilvl w:val="2"/>
        <w:numId w:val="1"/>
      </w:numPr>
      <w:outlineLvl w:val="2"/>
    </w:pPr>
    <w:rPr>
      <w:sz w:val="24"/>
    </w:rPr>
  </w:style>
  <w:style w:type="paragraph" w:styleId="Heading4">
    <w:name w:val="heading 4"/>
    <w:basedOn w:val="Normal"/>
    <w:qFormat/>
    <w:pPr>
      <w:keepNext w:val="true"/>
      <w:numPr>
        <w:ilvl w:val="0"/>
        <w:numId w:val="13"/>
      </w:numPr>
      <w:jc w:val="both"/>
      <w:outlineLvl w:val="3"/>
    </w:pPr>
    <w:rPr>
      <w:sz w:val="28"/>
    </w:rPr>
  </w:style>
  <w:style w:type="paragraph" w:styleId="Heading5">
    <w:name w:val="heading 5"/>
    <w:basedOn w:val="Normal"/>
    <w:qFormat/>
    <w:pPr>
      <w:numPr>
        <w:ilvl w:val="0"/>
        <w:numId w:val="13"/>
      </w:numPr>
      <w:jc w:val="both"/>
      <w:outlineLvl w:val="4"/>
    </w:pPr>
    <w:rPr>
      <w:sz w:val="28"/>
    </w:rPr>
  </w:style>
  <w:style w:type="paragraph" w:styleId="Heading6">
    <w:name w:val="heading 6"/>
    <w:basedOn w:val="Normal"/>
    <w:qFormat/>
    <w:pPr>
      <w:numPr>
        <w:ilvl w:val="0"/>
        <w:numId w:val="13"/>
      </w:numPr>
      <w:jc w:val="both"/>
      <w:outlineLvl w:val="5"/>
    </w:pPr>
    <w:rPr>
      <w:sz w:val="28"/>
    </w:rPr>
  </w:style>
  <w:style w:type="paragraph" w:styleId="Heading7">
    <w:name w:val="heading 7"/>
    <w:basedOn w:val="Normal"/>
    <w:qFormat/>
    <w:pPr>
      <w:numPr>
        <w:ilvl w:val="0"/>
        <w:numId w:val="13"/>
      </w:numPr>
      <w:spacing w:before="240" w:after="60"/>
      <w:jc w:val="both"/>
      <w:outlineLvl w:val="6"/>
    </w:pPr>
    <w:rPr>
      <w:rFonts w:ascii="Arial" w:hAnsi="Arial" w:cs="Arial"/>
    </w:rPr>
  </w:style>
  <w:style w:type="paragraph" w:styleId="Heading8">
    <w:name w:val="heading 8"/>
    <w:basedOn w:val="Normal"/>
    <w:qFormat/>
    <w:pPr>
      <w:numPr>
        <w:ilvl w:val="0"/>
        <w:numId w:val="13"/>
      </w:numPr>
      <w:spacing w:before="240" w:after="60"/>
      <w:jc w:val="both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qFormat/>
    <w:pPr>
      <w:numPr>
        <w:ilvl w:val="0"/>
        <w:numId w:val="13"/>
      </w:numPr>
      <w:spacing w:before="240" w:after="60"/>
      <w:jc w:val="both"/>
      <w:outlineLvl w:val="8"/>
    </w:pPr>
    <w:rPr>
      <w:rFonts w:ascii="Arial" w:hAnsi="Arial" w:cs="Arial"/>
      <w:i/>
      <w:sz w:val="18"/>
    </w:rPr>
  </w:style>
  <w:style w:type="character" w:styleId="Heading1Char">
    <w:name w:val="Heading 1 Char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qFormat/>
    <w:rPr>
      <w:rFonts w:ascii="Arial" w:hAnsi="Arial" w:eastAsia="Arial" w:cs="Arial"/>
      <w:sz w:val="34"/>
    </w:rPr>
  </w:style>
  <w:style w:type="character" w:styleId="Heading3Char">
    <w:name w:val="Heading 3 Char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qFormat/>
    <w:rPr>
      <w:sz w:val="48"/>
      <w:szCs w:val="48"/>
    </w:rPr>
  </w:style>
  <w:style w:type="character" w:styleId="SubtitleChar">
    <w:name w:val="Subtitle Char"/>
    <w:qFormat/>
    <w:rPr>
      <w:sz w:val="24"/>
      <w:szCs w:val="24"/>
    </w:rPr>
  </w:style>
  <w:style w:type="character" w:styleId="QuoteChar">
    <w:name w:val="Quote Char"/>
    <w:qFormat/>
    <w:rPr>
      <w:i/>
    </w:rPr>
  </w:style>
  <w:style w:type="character" w:styleId="IntenseQuoteChar">
    <w:name w:val="Intense Quote Char"/>
    <w:qFormat/>
    <w:rPr>
      <w:i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CaptionChar">
    <w:name w:val="Caption Char"/>
    <w:qFormat/>
    <w:rPr/>
  </w:style>
  <w:style w:type="character" w:styleId="InternetLink">
    <w:name w:val="Internet Link"/>
    <w:qFormat/>
    <w:rPr>
      <w:color w:val="0000FF"/>
      <w:u w:val="single"/>
    </w:rPr>
  </w:style>
  <w:style w:type="character" w:styleId="FootnoteTextChar">
    <w:name w:val="Footnote Text Char"/>
    <w:qFormat/>
    <w:rPr>
      <w:sz w:val="18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EndnoteTextChar">
    <w:name w:val="Endnote Text Char"/>
    <w:qFormat/>
    <w:rPr>
      <w:sz w:val="20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4">
    <w:name w:val="WW8Num8z4"/>
    <w:qFormat/>
    <w:rPr>
      <w:rFonts w:ascii="Times New Roman" w:hAnsi="Times New Roman" w:cs="Times New Roman"/>
      <w:b w:val="false"/>
      <w:i w:val="false"/>
      <w:sz w:val="24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u w:val="none"/>
      <w:vertAlign w:val="baseline"/>
    </w:rPr>
  </w:style>
  <w:style w:type="character" w:styleId="WW8Num15z3">
    <w:name w:val="WW8Num15z3"/>
    <w:qFormat/>
    <w:rPr/>
  </w:style>
  <w:style w:type="character" w:styleId="WW8Num16z0">
    <w:name w:val="WW8Num16z0"/>
    <w:qFormat/>
    <w:rPr>
      <w:rFonts w:ascii="Symbol" w:hAnsi="Symbol" w:cs="Symbol"/>
      <w:color w:val="000000"/>
    </w:rPr>
  </w:style>
  <w:style w:type="character" w:styleId="WW8Num1z0">
    <w:name w:val="WW8Num1z0"/>
    <w:qFormat/>
    <w:rPr/>
  </w:style>
  <w:style w:type="character" w:styleId="WW8Num3z1">
    <w:name w:val="WW8Num3z1"/>
    <w:qFormat/>
    <w:rPr/>
  </w:style>
  <w:style w:type="character" w:styleId="WW8Num16z4">
    <w:name w:val="WW8Num16z4"/>
    <w:qFormat/>
    <w:rPr>
      <w:rFonts w:ascii="Times New Roman" w:hAnsi="Times New Roman" w:cs="Times New Roman"/>
      <w:b w:val="false"/>
      <w:i w:val="false"/>
      <w:sz w:val="24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u w:val="none"/>
      <w:vertAlign w:val="baseline"/>
    </w:rPr>
  </w:style>
  <w:style w:type="character" w:styleId="WW8Num23z3">
    <w:name w:val="WW8Num23z3"/>
    <w:qFormat/>
    <w:rPr/>
  </w:style>
  <w:style w:type="character" w:styleId="WW8Num24z0">
    <w:name w:val="WW8Num24z0"/>
    <w:qFormat/>
    <w:rPr>
      <w:rFonts w:ascii="Symbol" w:hAnsi="Symbol" w:cs="Symbol"/>
      <w:color w:val="000000"/>
    </w:rPr>
  </w:style>
  <w:style w:type="character" w:styleId="WW8Num24z1">
    <w:name w:val="WW8Num24z1"/>
    <w:qFormat/>
    <w:rPr>
      <w:rFonts w:ascii="Symbol" w:hAnsi="Symbol" w:cs="Symbol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4">
    <w:name w:val="WW8Num24z4"/>
    <w:qFormat/>
    <w:rPr>
      <w:rFonts w:ascii="Courier New" w:hAnsi="Courier New" w:cs="Courier New"/>
    </w:rPr>
  </w:style>
  <w:style w:type="character" w:styleId="Style7">
    <w:name w:val="Основной шрифт абзаца"/>
    <w:qFormat/>
    <w:rPr/>
  </w:style>
  <w:style w:type="character" w:styleId="PageNumber">
    <w:name w:val="page number"/>
    <w:basedOn w:val="Style7"/>
    <w:rPr/>
  </w:style>
  <w:style w:type="character" w:styleId="1">
    <w:name w:val="Заголовок 1 Знак"/>
    <w:qFormat/>
    <w:rPr>
      <w:caps/>
      <w:sz w:val="24"/>
      <w:szCs w:val="24"/>
      <w:lang w:val="ru-RU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Style8">
    <w:name w:val=" Знак Знак"/>
    <w:qFormat/>
    <w:rPr>
      <w:caps/>
      <w:sz w:val="24"/>
      <w:szCs w:val="24"/>
      <w:lang w:val="ru-RU" w:bidi="ar-SA"/>
    </w:rPr>
  </w:style>
  <w:style w:type="character" w:styleId="Style9">
    <w:name w:val="Знак Знак"/>
    <w:qFormat/>
    <w:rPr>
      <w:caps/>
      <w:sz w:val="24"/>
      <w:szCs w:val="24"/>
      <w:lang w:val="ru-RU" w:bidi="ar-SA"/>
    </w:rPr>
  </w:style>
  <w:style w:type="character" w:styleId="Style10">
    <w:name w:val="Нижний колонтитул Знак"/>
    <w:basedOn w:val="Style7"/>
    <w:qFormat/>
    <w:rPr/>
  </w:style>
  <w:style w:type="character" w:styleId="Style11">
    <w:name w:val="Верхний колонтитул Знак"/>
    <w:basedOn w:val="Style7"/>
    <w:qFormat/>
    <w:rPr/>
  </w:style>
  <w:style w:type="character" w:styleId="9">
    <w:name w:val=" Знак Знак9"/>
    <w:qFormat/>
    <w:rPr>
      <w:sz w:val="24"/>
      <w:lang w:val="ru-RU" w:bidi="ar-SA"/>
    </w:rPr>
  </w:style>
  <w:style w:type="character" w:styleId="3">
    <w:name w:val="Основной текст с отступом 3 Знак"/>
    <w:qFormat/>
    <w:rPr>
      <w:sz w:val="16"/>
      <w:szCs w:val="16"/>
    </w:rPr>
  </w:style>
  <w:style w:type="character" w:styleId="Style12">
    <w:name w:val="Основной текст Знак"/>
    <w:qFormat/>
    <w:rPr>
      <w:sz w:val="24"/>
    </w:rPr>
  </w:style>
  <w:style w:type="character" w:styleId="Style13">
    <w:name w:val="Название Знак"/>
    <w:qFormat/>
    <w:rPr>
      <w:rFonts w:ascii="Arial" w:hAnsi="Arial" w:cs="Arial"/>
      <w:b/>
      <w:sz w:val="32"/>
    </w:rPr>
  </w:style>
  <w:style w:type="character" w:styleId="DefaultParagraphFont">
    <w:name w:val="Default Paragraph Font"/>
    <w:qFormat/>
    <w:rPr/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numPr>
        <w:ilvl w:val="0"/>
        <w:numId w:val="15"/>
      </w:numPr>
      <w:spacing w:before="0" w:after="160"/>
      <w:jc w:val="center"/>
    </w:pPr>
    <w:rPr>
      <w:rFonts w:ascii="Times New Roman" w:hAnsi="Times New Roman" w:cs="Arial"/>
      <w:b/>
      <w:sz w:val="32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PT Astra Serif" w:hAnsi="PT Astra Serif" w:eastAsia="Tahoma" w:cs="Noto Sans Devanagari"/>
      <w:color w:val="auto"/>
      <w:kern w:val="0"/>
      <w:sz w:val="28"/>
      <w:szCs w:val="24"/>
      <w:lang w:val="ru-RU" w:eastAsia="zh-CN" w:bidi="hi-IN"/>
    </w:rPr>
  </w:style>
  <w:style w:type="paragraph" w:styleId="Title">
    <w:name w:val="Title"/>
    <w:basedOn w:val="Normal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qFormat/>
    <w:pPr>
      <w:ind w:hanging="0" w:left="720" w:right="720"/>
    </w:pPr>
    <w:rPr>
      <w:i/>
    </w:rPr>
  </w:style>
  <w:style w:type="paragraph" w:styleId="IntenseQuote">
    <w:name w:val="Intense Quote"/>
    <w:basedOn w:val="Normal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fill="F2F2F2"/>
      <w:spacing w:before="0" w:after="0"/>
      <w:ind w:hanging="0" w:left="720" w:right="720"/>
    </w:pPr>
    <w:rPr>
      <w:i/>
    </w:rPr>
  </w:style>
  <w:style w:type="paragraph" w:styleId="FootnoteText">
    <w:name w:val="footnote text"/>
    <w:basedOn w:val="Normal"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pPr>
      <w:spacing w:lineRule="auto" w:line="240" w:before="0" w:after="0"/>
    </w:pPr>
    <w:rPr>
      <w:sz w:val="20"/>
    </w:rPr>
  </w:style>
  <w:style w:type="paragraph" w:styleId="TOC2">
    <w:name w:val="toc 2"/>
    <w:basedOn w:val="Normal"/>
    <w:pPr>
      <w:spacing w:before="0" w:after="57"/>
      <w:ind w:hanging="0" w:left="283" w:right="0"/>
    </w:pPr>
    <w:rPr/>
  </w:style>
  <w:style w:type="paragraph" w:styleId="TOC3">
    <w:name w:val="toc 3"/>
    <w:basedOn w:val="Normal"/>
    <w:pPr>
      <w:spacing w:before="0" w:after="57"/>
      <w:ind w:hanging="0" w:left="567" w:right="0"/>
    </w:pPr>
    <w:rPr/>
  </w:style>
  <w:style w:type="paragraph" w:styleId="TOC4">
    <w:name w:val="toc 4"/>
    <w:basedOn w:val="Normal"/>
    <w:pPr>
      <w:spacing w:before="0" w:after="57"/>
      <w:ind w:hanging="0" w:left="850" w:right="0"/>
    </w:pPr>
    <w:rPr/>
  </w:style>
  <w:style w:type="paragraph" w:styleId="TOC6">
    <w:name w:val="toc 6"/>
    <w:basedOn w:val="Normal"/>
    <w:pPr>
      <w:spacing w:before="0" w:after="57"/>
      <w:ind w:hanging="0" w:left="1417" w:right="0"/>
    </w:pPr>
    <w:rPr/>
  </w:style>
  <w:style w:type="paragraph" w:styleId="TOC7">
    <w:name w:val="toc 7"/>
    <w:basedOn w:val="Normal"/>
    <w:pPr>
      <w:spacing w:before="0" w:after="57"/>
      <w:ind w:hanging="0" w:left="1701" w:right="0"/>
    </w:pPr>
    <w:rPr/>
  </w:style>
  <w:style w:type="paragraph" w:styleId="TOC8">
    <w:name w:val="toc 8"/>
    <w:basedOn w:val="Normal"/>
    <w:pPr>
      <w:spacing w:before="0" w:after="57"/>
      <w:ind w:hanging="0" w:left="1984" w:right="0"/>
    </w:pPr>
    <w:rPr/>
  </w:style>
  <w:style w:type="paragraph" w:styleId="TOC9">
    <w:name w:val="toc 9"/>
    <w:basedOn w:val="Normal"/>
    <w:pPr>
      <w:spacing w:before="0" w:after="57"/>
      <w:ind w:hanging="0" w:left="2268" w:right="0"/>
    </w:pPr>
    <w:rPr/>
  </w:style>
  <w:style w:type="paragraph" w:styleId="IndexHeading">
    <w:name w:val="index heading"/>
    <w:basedOn w:val="Style15"/>
    <w:pPr/>
    <w:rPr/>
  </w:style>
  <w:style w:type="paragraph" w:styleId="TOCHeading">
    <w:name w:val="TOC Heading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PT Astra Serif" w:hAnsi="PT Astra Serif" w:eastAsia="Tahoma" w:cs="Noto Sans Devanagari"/>
      <w:color w:val="auto"/>
      <w:kern w:val="0"/>
      <w:sz w:val="28"/>
      <w:szCs w:val="24"/>
      <w:lang w:val="ru-RU" w:eastAsia="zh-CN" w:bidi="hi-IN"/>
    </w:rPr>
  </w:style>
  <w:style w:type="paragraph" w:styleId="TableofFigures">
    <w:name w:val="table of figures"/>
    <w:basedOn w:val="Normal"/>
    <w:qFormat/>
    <w:pPr>
      <w:spacing w:before="0" w:after="0"/>
    </w:pPr>
    <w:rPr/>
  </w:style>
  <w:style w:type="paragraph" w:styleId="Style17">
    <w:name w:val="Текст"/>
    <w:basedOn w:val="Normal"/>
    <w:qFormat/>
    <w:pPr/>
    <w:rPr>
      <w:sz w:val="24"/>
    </w:rPr>
  </w:style>
  <w:style w:type="paragraph" w:styleId="Style18">
    <w:name w:val="Колонтитул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9">
    <w:name w:val="Нормальный заголовок"/>
    <w:basedOn w:val="Style15"/>
    <w:qFormat/>
    <w:pPr/>
    <w:rPr/>
  </w:style>
  <w:style w:type="paragraph" w:styleId="Style20">
    <w:name w:val="Наименование приложения"/>
    <w:basedOn w:val="Normal"/>
    <w:qFormat/>
    <w:pPr>
      <w:spacing w:before="160" w:after="160"/>
      <w:ind w:hanging="0" w:left="851" w:right="851"/>
      <w:jc w:val="center"/>
    </w:pPr>
    <w:rPr>
      <w:rFonts w:ascii="Arial" w:hAnsi="Arial" w:cs="Arial"/>
      <w:b/>
      <w:sz w:val="32"/>
    </w:rPr>
  </w:style>
  <w:style w:type="paragraph" w:styleId="11">
    <w:name w:val="Титульный текст1"/>
    <w:basedOn w:val="Normal"/>
    <w:qFormat/>
    <w:pPr>
      <w:tabs>
        <w:tab w:val="clear" w:pos="720"/>
        <w:tab w:val="left" w:pos="1134" w:leader="none"/>
        <w:tab w:val="left" w:pos="5670" w:leader="none"/>
        <w:tab w:val="left" w:pos="6804" w:leader="none"/>
      </w:tabs>
      <w:jc w:val="both"/>
    </w:pPr>
    <w:rPr>
      <w:sz w:val="28"/>
      <w:lang w:val="en-GB"/>
    </w:rPr>
  </w:style>
  <w:style w:type="paragraph" w:styleId="Style21">
    <w:name w:val="Детальные указания"/>
    <w:basedOn w:val="Normal"/>
    <w:qFormat/>
    <w:pPr>
      <w:ind w:firstLine="851" w:left="0" w:right="0"/>
      <w:jc w:val="both"/>
    </w:pPr>
    <w:rPr>
      <w:sz w:val="28"/>
    </w:rPr>
  </w:style>
  <w:style w:type="paragraph" w:styleId="Style22">
    <w:name w:val="Текст таблицы"/>
    <w:basedOn w:val="Normal"/>
    <w:qFormat/>
    <w:pPr/>
    <w:rPr>
      <w:sz w:val="24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2"/>
    <w:qFormat/>
    <w:pPr>
      <w:spacing w:before="80" w:after="0"/>
      <w:jc w:val="center"/>
    </w:pPr>
    <w:rPr/>
  </w:style>
  <w:style w:type="paragraph" w:styleId="Style25">
    <w:name w:val="Текст перечисления"/>
    <w:basedOn w:val="Normal"/>
    <w:qFormat/>
    <w:pPr>
      <w:numPr>
        <w:ilvl w:val="0"/>
        <w:numId w:val="16"/>
      </w:numPr>
      <w:ind w:hanging="0" w:left="567" w:right="0"/>
      <w:jc w:val="both"/>
    </w:pPr>
    <w:rPr>
      <w:sz w:val="28"/>
    </w:rPr>
  </w:style>
  <w:style w:type="paragraph" w:styleId="Style26">
    <w:name w:val="Текст дет.указания"/>
    <w:basedOn w:val="Style25"/>
    <w:qFormat/>
    <w:pPr>
      <w:ind w:firstLine="851" w:left="567" w:right="0"/>
    </w:pPr>
    <w:rPr/>
  </w:style>
  <w:style w:type="paragraph" w:styleId="12">
    <w:name w:val="Тит. лист 1"/>
    <w:basedOn w:val="Normal"/>
    <w:qFormat/>
    <w:pPr>
      <w:tabs>
        <w:tab w:val="clear" w:pos="720"/>
        <w:tab w:val="left" w:pos="1134" w:leader="none"/>
        <w:tab w:val="right" w:pos="2835" w:leader="none"/>
        <w:tab w:val="left" w:pos="5670" w:leader="none"/>
        <w:tab w:val="left" w:pos="6804" w:leader="none"/>
        <w:tab w:val="right" w:pos="8505" w:leader="none"/>
      </w:tabs>
      <w:jc w:val="both"/>
    </w:pPr>
    <w:rPr>
      <w:sz w:val="28"/>
    </w:rPr>
  </w:style>
  <w:style w:type="paragraph" w:styleId="Style27">
    <w:name w:val="Заголовок приложения"/>
    <w:basedOn w:val="Style15"/>
    <w:qFormat/>
    <w:pPr>
      <w:spacing w:before="160" w:after="160"/>
      <w:ind w:hanging="0" w:left="851" w:right="851"/>
    </w:pPr>
    <w:rPr/>
  </w:style>
  <w:style w:type="paragraph" w:styleId="13">
    <w:name w:val="Стиль1"/>
    <w:basedOn w:val="Heading1"/>
    <w:qFormat/>
    <w:pPr>
      <w:numPr>
        <w:ilvl w:val="0"/>
        <w:numId w:val="10"/>
      </w:numPr>
    </w:pPr>
    <w:rPr>
      <w:sz w:val="24"/>
      <w:szCs w:val="24"/>
    </w:rPr>
  </w:style>
  <w:style w:type="paragraph" w:styleId="2">
    <w:name w:val="Стиль Заголовок 2 + по ширине"/>
    <w:basedOn w:val="Heading2"/>
    <w:qFormat/>
    <w:pPr>
      <w:widowControl w:val="false"/>
      <w:numPr>
        <w:ilvl w:val="0"/>
        <w:numId w:val="13"/>
      </w:numPr>
      <w:tabs>
        <w:tab w:val="clear" w:pos="720"/>
        <w:tab w:val="left" w:pos="1361" w:leader="none"/>
      </w:tabs>
      <w:jc w:val="both"/>
      <w:outlineLvl w:val="9"/>
    </w:pPr>
    <w:rPr/>
  </w:style>
  <w:style w:type="paragraph" w:styleId="31">
    <w:name w:val="Стиль Заголовок 3 + по ширине"/>
    <w:basedOn w:val="Heading3"/>
    <w:qFormat/>
    <w:pPr>
      <w:numPr>
        <w:ilvl w:val="0"/>
        <w:numId w:val="13"/>
      </w:numPr>
      <w:ind w:firstLine="851" w:left="0" w:right="0"/>
      <w:jc w:val="both"/>
      <w:outlineLvl w:val="9"/>
    </w:pPr>
    <w:rPr/>
  </w:style>
  <w:style w:type="paragraph" w:styleId="TOC1">
    <w:name w:val="toc 1"/>
    <w:basedOn w:val="Normal"/>
    <w:pPr>
      <w:tabs>
        <w:tab w:val="clear" w:pos="720"/>
        <w:tab w:val="left" w:pos="440" w:leader="none"/>
        <w:tab w:val="right" w:pos="9912" w:leader="dot"/>
      </w:tabs>
      <w:jc w:val="both"/>
    </w:pPr>
    <w:rPr>
      <w:sz w:val="24"/>
      <w:szCs w:val="24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131">
    <w:name w:val="Стиль Заголовок 1 + Междустр.интервал:  множитель 3 ин"/>
    <w:basedOn w:val="Heading1"/>
    <w:qFormat/>
    <w:pPr>
      <w:numPr>
        <w:ilvl w:val="0"/>
        <w:numId w:val="13"/>
      </w:numPr>
      <w:tabs>
        <w:tab w:val="clear" w:pos="720"/>
        <w:tab w:val="left" w:pos="1120" w:leader="none"/>
      </w:tabs>
      <w:spacing w:lineRule="auto" w:line="240" w:before="360" w:after="600"/>
      <w:ind w:firstLine="851" w:left="0" w:right="0"/>
    </w:pPr>
    <w:rPr>
      <w:sz w:val="20"/>
      <w:szCs w:val="20"/>
    </w:rPr>
  </w:style>
  <w:style w:type="paragraph" w:styleId="Style28">
    <w:name w:val="титульный лист"/>
    <w:basedOn w:val="Normal"/>
    <w:qFormat/>
    <w:pPr>
      <w:tabs>
        <w:tab w:val="clear" w:pos="720"/>
        <w:tab w:val="left" w:pos="11340" w:leader="none"/>
      </w:tabs>
      <w:jc w:val="center"/>
    </w:pPr>
    <w:rPr>
      <w:sz w:val="28"/>
    </w:rPr>
  </w:style>
  <w:style w:type="paragraph" w:styleId="Style29">
    <w:name w:val="Текст раздела"/>
    <w:basedOn w:val="Normal"/>
    <w:qFormat/>
    <w:pPr>
      <w:tabs>
        <w:tab w:val="clear" w:pos="720"/>
        <w:tab w:val="left" w:pos="11340" w:leader="none"/>
      </w:tabs>
      <w:spacing w:before="0" w:after="120"/>
      <w:ind w:firstLine="567" w:left="0" w:right="0"/>
      <w:jc w:val="both"/>
    </w:pPr>
    <w:rPr>
      <w:sz w:val="24"/>
    </w:rPr>
  </w:style>
  <w:style w:type="paragraph" w:styleId="BodyTextIndented">
    <w:name w:val="Body Text, Indented"/>
    <w:basedOn w:val="Normal"/>
    <w:qFormat/>
    <w:pPr>
      <w:keepNext w:val="false"/>
      <w:keepLines w:val="false"/>
      <w:pageBreakBefore w:val="false"/>
      <w:widowControl/>
      <w:spacing w:lineRule="auto" w:line="240" w:before="0" w:after="120"/>
      <w:ind w:firstLine="567" w:left="283" w:right="0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position w:val="0"/>
      <w:sz w:val="24"/>
      <w:sz w:val="24"/>
      <w:szCs w:val="20"/>
      <w:u w:val="none"/>
      <w:vertAlign w:val="baseline"/>
      <w:lang w:val="ru-RU" w:eastAsia="ru-RU" w:bidi="ar-SA"/>
    </w:rPr>
  </w:style>
  <w:style w:type="paragraph" w:styleId="TOC5">
    <w:name w:val="toc 5"/>
    <w:basedOn w:val="Normal"/>
    <w:pPr>
      <w:widowControl w:val="false"/>
      <w:ind w:hanging="0" w:left="720" w:right="0"/>
    </w:pPr>
    <w:rPr>
      <w:sz w:val="24"/>
      <w:szCs w:val="24"/>
    </w:rPr>
  </w:style>
  <w:style w:type="paragraph" w:styleId="112pt150">
    <w:name w:val="Стиль Заголовок 1 + 12 pt Слева:  15 см Первая строка:  0 см Пе..."/>
    <w:basedOn w:val="Heading1"/>
    <w:qFormat/>
    <w:pPr>
      <w:numPr>
        <w:ilvl w:val="0"/>
        <w:numId w:val="0"/>
      </w:numPr>
      <w:tabs>
        <w:tab w:val="clear" w:pos="720"/>
        <w:tab w:val="left" w:pos="851" w:leader="none"/>
      </w:tabs>
      <w:ind w:hanging="0" w:left="284" w:right="0"/>
    </w:pPr>
    <w:rPr>
      <w:sz w:val="20"/>
      <w:szCs w:val="20"/>
    </w:rPr>
  </w:style>
  <w:style w:type="paragraph" w:styleId="2015">
    <w:name w:val="Стиль Заголовок 2 + по ширине Слева:  0 см Первая строка:  15 см"/>
    <w:basedOn w:val="Heading2"/>
    <w:qFormat/>
    <w:pPr>
      <w:pageBreakBefore/>
      <w:widowControl w:val="false"/>
      <w:numPr>
        <w:ilvl w:val="0"/>
        <w:numId w:val="0"/>
      </w:numPr>
      <w:tabs>
        <w:tab w:val="clear" w:pos="720"/>
        <w:tab w:val="left" w:pos="851" w:leader="none"/>
        <w:tab w:val="left" w:pos="1361" w:leader="none"/>
      </w:tabs>
      <w:ind w:firstLine="284" w:left="0" w:right="0"/>
      <w:jc w:val="both"/>
      <w:outlineLvl w:val="9"/>
    </w:pPr>
    <w:rPr/>
  </w:style>
  <w:style w:type="paragraph" w:styleId="Style30">
    <w:name w:val="Стиль Основной текст + по центру"/>
    <w:basedOn w:val="BodyText"/>
    <w:qFormat/>
    <w:pPr>
      <w:widowControl w:val="false"/>
      <w:jc w:val="center"/>
    </w:pPr>
    <w:rPr/>
  </w:style>
  <w:style w:type="paragraph" w:styleId="Style3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2">
    <w:name w:val="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33">
    <w:name w:val="Нормальный"/>
    <w:qFormat/>
    <w:pPr>
      <w:widowControl/>
      <w:suppressAutoHyphens w:val="true"/>
      <w:overflowPunct w:val="true"/>
      <w:bidi w:val="0"/>
      <w:spacing w:before="0" w:after="0"/>
      <w:ind w:hanging="0" w:left="851" w:right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zh-CN" w:bidi="ar-SA"/>
    </w:rPr>
  </w:style>
  <w:style w:type="paragraph" w:styleId="Style34">
    <w:name w:val="Таблица текст"/>
    <w:basedOn w:val="Normal"/>
    <w:qFormat/>
    <w:pPr/>
    <w:rPr>
      <w:sz w:val="24"/>
      <w:szCs w:val="24"/>
    </w:rPr>
  </w:style>
  <w:style w:type="paragraph" w:styleId="ListNumber">
    <w:name w:val="List Number"/>
    <w:basedOn w:val="Normal"/>
    <w:qFormat/>
    <w:pPr>
      <w:spacing w:lineRule="auto" w:line="360"/>
      <w:ind w:hanging="283" w:left="1415" w:right="0"/>
      <w:jc w:val="both"/>
    </w:pPr>
    <w:rPr>
      <w:sz w:val="24"/>
      <w:szCs w:val="24"/>
    </w:rPr>
  </w:style>
  <w:style w:type="paragraph" w:styleId="Style35">
    <w:name w:val="Таблица"/>
    <w:basedOn w:val="Normal"/>
    <w:qFormat/>
    <w:pPr>
      <w:jc w:val="center"/>
    </w:pPr>
    <w:rPr>
      <w:sz w:val="24"/>
      <w:szCs w:val="24"/>
    </w:rPr>
  </w:style>
  <w:style w:type="paragraph" w:styleId="Style36">
    <w:name w:val="Текст_РоАЭС"/>
    <w:basedOn w:val="Normal"/>
    <w:qFormat/>
    <w:pPr>
      <w:tabs>
        <w:tab w:val="clear" w:pos="720"/>
        <w:tab w:val="left" w:pos="360" w:leader="none"/>
      </w:tabs>
      <w:spacing w:lineRule="auto" w:line="288" w:before="0" w:after="160"/>
    </w:pPr>
    <w:rPr>
      <w:rFonts w:ascii="Verdana" w:hAnsi="Verdana" w:cs="Verdana"/>
      <w:lang w:val="en-US"/>
    </w:rPr>
  </w:style>
  <w:style w:type="paragraph" w:styleId="Oaenooaaeeou">
    <w:name w:val="Oaeno oaaeeou"/>
    <w:basedOn w:val="Normal"/>
    <w:qFormat/>
    <w:pPr>
      <w:jc w:val="both"/>
    </w:pPr>
    <w:rPr>
      <w:sz w:val="24"/>
    </w:rPr>
  </w:style>
  <w:style w:type="paragraph" w:styleId="1-">
    <w:name w:val="Заголовок 1-го уровня"/>
    <w:basedOn w:val="Heading1"/>
    <w:qFormat/>
    <w:pPr>
      <w:keepNext w:val="true"/>
      <w:widowControl/>
      <w:numPr>
        <w:ilvl w:val="0"/>
        <w:numId w:val="7"/>
      </w:numPr>
      <w:tabs>
        <w:tab w:val="clear" w:pos="720"/>
        <w:tab w:val="left" w:pos="11340" w:leader="none"/>
      </w:tabs>
      <w:spacing w:lineRule="auto" w:line="240" w:before="0" w:after="0"/>
      <w:outlineLvl w:val="9"/>
    </w:pPr>
    <w:rPr>
      <w:bCs/>
      <w:caps w:val="false"/>
      <w:smallCaps w:val="false"/>
      <w:sz w:val="20"/>
      <w:szCs w:val="20"/>
    </w:rPr>
  </w:style>
  <w:style w:type="paragraph" w:styleId="Style37">
    <w:name w:val="Òåêñò ðàçäåëà"/>
    <w:basedOn w:val="Normal"/>
    <w:qFormat/>
    <w:pPr>
      <w:widowControl w:val="false"/>
      <w:numPr>
        <w:ilvl w:val="0"/>
        <w:numId w:val="7"/>
      </w:numPr>
      <w:spacing w:before="0" w:after="60"/>
      <w:jc w:val="both"/>
    </w:pPr>
    <w:rPr>
      <w:sz w:val="24"/>
    </w:rPr>
  </w:style>
  <w:style w:type="paragraph" w:styleId="32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Oeooeuiueoaeno1">
    <w:name w:val="Oeooeuiue oaeno1"/>
    <w:basedOn w:val="Normal"/>
    <w:qFormat/>
    <w:pPr>
      <w:tabs>
        <w:tab w:val="clear" w:pos="720"/>
        <w:tab w:val="left" w:pos="1134" w:leader="none"/>
        <w:tab w:val="left" w:pos="5670" w:leader="none"/>
        <w:tab w:val="left" w:pos="6804" w:leader="none"/>
      </w:tabs>
    </w:pPr>
    <w:rPr>
      <w:sz w:val="28"/>
    </w:rPr>
  </w:style>
  <w:style w:type="paragraph" w:styleId="22">
    <w:name w:val="Основной текст с отступом 2"/>
    <w:basedOn w:val="Normal"/>
    <w:qFormat/>
    <w:pPr>
      <w:spacing w:lineRule="auto" w:line="480" w:before="0" w:after="120"/>
      <w:ind w:hanging="0" w:left="283" w:right="0"/>
    </w:pPr>
    <w:rPr/>
  </w:style>
  <w:style w:type="paragraph" w:styleId="33">
    <w:name w:val="Основной текст с отступом 3"/>
    <w:basedOn w:val="Normal"/>
    <w:qFormat/>
    <w:pPr>
      <w:spacing w:before="0" w:after="120"/>
      <w:ind w:hanging="0" w:left="283" w:right="0"/>
    </w:pPr>
    <w:rPr>
      <w:sz w:val="16"/>
      <w:szCs w:val="16"/>
    </w:rPr>
  </w:style>
  <w:style w:type="paragraph" w:styleId="LO-Normal">
    <w:name w:val="LO-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Arial" w:hAnsi="Arial" w:eastAsia="Times New Roman" w:cs="Arial"/>
      <w:color w:val="auto"/>
      <w:kern w:val="0"/>
      <w:sz w:val="22"/>
      <w:szCs w:val="20"/>
      <w:lang w:val="ru-RU" w:eastAsia="zh-CN" w:bidi="ar-SA"/>
    </w:rPr>
  </w:style>
  <w:style w:type="paragraph" w:styleId="CharCharCharCharCharChar">
    <w:name w:val=" Char Char Знак Знак Char Char Знак Знак Знак Char Char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38">
    <w:name w:val="Абзац списка"/>
    <w:basedOn w:val="Normal"/>
    <w:qFormat/>
    <w:pPr>
      <w:spacing w:lineRule="auto" w:line="276" w:before="0" w:after="200"/>
      <w:ind w:hanging="0" w:left="720" w:right="0"/>
    </w:pPr>
    <w:rPr>
      <w:rFonts w:ascii="Calibri" w:hAnsi="Calibri" w:eastAsia="Calibri" w:cs="Calibri"/>
      <w:sz w:val="22"/>
      <w:szCs w:val="22"/>
    </w:rPr>
  </w:style>
  <w:style w:type="paragraph" w:styleId="14">
    <w:name w:val="Маркровка 1"/>
    <w:basedOn w:val="Normal"/>
    <w:qFormat/>
    <w:pPr>
      <w:numPr>
        <w:ilvl w:val="0"/>
        <w:numId w:val="14"/>
      </w:numPr>
      <w:spacing w:lineRule="auto" w:line="360"/>
      <w:jc w:val="both"/>
    </w:pPr>
    <w:rPr>
      <w:sz w:val="24"/>
      <w:szCs w:val="24"/>
    </w:rPr>
  </w:style>
  <w:style w:type="paragraph" w:styleId="10030">
    <w:name w:val="Стиль Заголовок 1 + Слева:  0 см Первая строка:  0 см После:  30 ..."/>
    <w:basedOn w:val="Heading1"/>
    <w:qFormat/>
    <w:pPr>
      <w:numPr>
        <w:ilvl w:val="0"/>
        <w:numId w:val="0"/>
      </w:numPr>
      <w:tabs>
        <w:tab w:val="clear" w:pos="720"/>
        <w:tab w:val="left" w:pos="360" w:leader="none"/>
      </w:tabs>
      <w:spacing w:lineRule="auto" w:line="240" w:before="120" w:after="600"/>
      <w:ind w:hanging="360" w:left="360" w:right="0"/>
    </w:pPr>
    <w:rPr>
      <w:sz w:val="28"/>
      <w:szCs w:val="20"/>
    </w:rPr>
  </w:style>
  <w:style w:type="paragraph" w:styleId="Style39">
    <w:name w:val="Содержимое врезки"/>
    <w:basedOn w:val="Normal"/>
    <w:qFormat/>
    <w:pPr/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15">
    <w:name w:val="Заголовок 1,(раздел)"/>
    <w:qFormat/>
    <w:pPr>
      <w:keepNext w:val="true"/>
      <w:keepLines w:val="false"/>
      <w:pageBreakBefore w:val="false"/>
      <w:widowControl/>
      <w:numPr>
        <w:ilvl w:val="0"/>
        <w:numId w:val="17"/>
      </w:numPr>
      <w:tabs>
        <w:tab w:val="clear" w:pos="720"/>
        <w:tab w:val="left" w:pos="1304" w:leader="none"/>
      </w:tabs>
      <w:suppressAutoHyphens w:val="true"/>
      <w:overflowPunct w:val="true"/>
      <w:bidi w:val="0"/>
      <w:spacing w:lineRule="auto" w:line="240" w:before="0" w:after="0"/>
      <w:ind w:firstLine="851" w:left="0" w:right="0"/>
      <w:jc w:val="both"/>
      <w:outlineLvl w:val="0"/>
    </w:pPr>
    <w:rPr>
      <w:rFonts w:ascii="Times New Roman" w:hAnsi="Times New Roman" w:eastAsia="Times New Roman" w:cs="Times New Roman"/>
      <w:b w:val="false"/>
      <w:bCs w:val="false"/>
      <w:i w:val="false"/>
      <w:iCs w:val="false"/>
      <w:caps/>
      <w:strike w:val="false"/>
      <w:dstrike w:val="false"/>
      <w:vanish w:val="false"/>
      <w:color w:val="auto"/>
      <w:spacing w:val="0"/>
      <w:kern w:val="0"/>
      <w:position w:val="0"/>
      <w:sz w:val="24"/>
      <w:sz w:val="24"/>
      <w:szCs w:val="24"/>
      <w:u w:val="none"/>
      <w:vertAlign w:val="baseline"/>
      <w:lang w:val="ru-RU" w:eastAsia="ru-RU" w:bidi="ar-SA"/>
    </w:rPr>
  </w:style>
  <w:style w:type="paragraph" w:styleId="111">
    <w:name w:val="Стиль Заголовок 1 + не полужирный все прописные по ширине Междус...1"/>
    <w:qFormat/>
    <w:pPr>
      <w:keepNext w:val="true"/>
      <w:keepLines w:val="false"/>
      <w:pageBreakBefore w:val="false"/>
      <w:widowControl/>
      <w:numPr>
        <w:ilvl w:val="0"/>
        <w:numId w:val="18"/>
      </w:numPr>
      <w:tabs>
        <w:tab w:val="clear" w:pos="720"/>
        <w:tab w:val="left" w:pos="4905" w:leader="none"/>
      </w:tabs>
      <w:suppressAutoHyphens w:val="true"/>
      <w:overflowPunct w:val="true"/>
      <w:bidi w:val="0"/>
      <w:spacing w:lineRule="auto" w:line="240" w:before="240" w:after="360"/>
      <w:ind w:firstLine="851" w:left="3828" w:right="0"/>
      <w:jc w:val="left"/>
      <w:outlineLvl w:val="0"/>
    </w:pPr>
    <w:rPr>
      <w:rFonts w:ascii="Times New Roman" w:hAnsi="Times New Roman" w:eastAsia="Times New Roman" w:cs="Times New Roman"/>
      <w:b w:val="false"/>
      <w:bCs w:val="false"/>
      <w:i w:val="false"/>
      <w:iCs w:val="false"/>
      <w:caps/>
      <w:strike w:val="false"/>
      <w:dstrike w:val="false"/>
      <w:vanish w:val="false"/>
      <w:color w:val="auto"/>
      <w:spacing w:val="0"/>
      <w:kern w:val="0"/>
      <w:position w:val="0"/>
      <w:sz w:val="24"/>
      <w:sz w:val="24"/>
      <w:szCs w:val="20"/>
      <w:u w:val="none"/>
      <w:vertAlign w:val="baseline"/>
      <w:lang w:val="ru-RU" w:eastAsia="ru-RU" w:bidi="ar-SA"/>
    </w:rPr>
  </w:style>
  <w:style w:type="paragraph" w:styleId="212pt">
    <w:name w:val="Стиль Заголовок 2 + 12 pt по ширине"/>
    <w:qFormat/>
    <w:pPr>
      <w:keepNext w:val="false"/>
      <w:keepLines w:val="false"/>
      <w:pageBreakBefore w:val="false"/>
      <w:widowControl w:val="false"/>
      <w:numPr>
        <w:ilvl w:val="1"/>
        <w:numId w:val="18"/>
      </w:numPr>
      <w:tabs>
        <w:tab w:val="clear" w:pos="720"/>
        <w:tab w:val="left" w:pos="1304" w:leader="none"/>
      </w:tabs>
      <w:suppressAutoHyphens w:val="true"/>
      <w:overflowPunct w:val="true"/>
      <w:bidi w:val="0"/>
      <w:spacing w:lineRule="auto" w:line="240" w:before="0" w:after="0"/>
      <w:ind w:firstLine="851" w:left="0" w:right="0"/>
      <w:jc w:val="left"/>
      <w:outlineLvl w:val="1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kern w:val="0"/>
      <w:position w:val="0"/>
      <w:sz w:val="28"/>
      <w:sz w:val="28"/>
      <w:szCs w:val="28"/>
      <w:u w:val="none"/>
      <w:vertAlign w:val="baseline"/>
      <w:lang w:val="ru-RU" w:eastAsia="ru-RU" w:bidi="ar-SA"/>
    </w:rPr>
  </w:style>
  <w:style w:type="paragraph" w:styleId="Style40">
    <w:name w:val="Обычный,Нормальный"/>
    <w:qFormat/>
    <w:pPr>
      <w:keepNext w:val="false"/>
      <w:keepLines w:val="false"/>
      <w:pageBreakBefore w:val="false"/>
      <w:widowControl/>
      <w:suppressAutoHyphens w:val="true"/>
      <w:overflowPunct w:val="true"/>
      <w:bidi w:val="0"/>
      <w:spacing w:lineRule="auto" w:line="240" w:before="0" w:after="0"/>
      <w:ind w:firstLine="567" w:left="0" w:right="0"/>
      <w:jc w:val="both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kern w:val="0"/>
      <w:position w:val="0"/>
      <w:sz w:val="24"/>
      <w:sz w:val="24"/>
      <w:szCs w:val="20"/>
      <w:u w:val="none"/>
      <w:vertAlign w:val="baseline"/>
      <w:lang w:val="ru-RU" w:eastAsia="ru-RU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eader" Target="header8.xml"/><Relationship Id="rId19" Type="http://schemas.openxmlformats.org/officeDocument/2006/relationships/header" Target="header9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header" Target="header10.xml"/><Relationship Id="rId23" Type="http://schemas.openxmlformats.org/officeDocument/2006/relationships/header" Target="header11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footer" Target="footer12.xml"/><Relationship Id="rId29" Type="http://schemas.openxmlformats.org/officeDocument/2006/relationships/footer" Target="footer13.xml"/><Relationship Id="rId30" Type="http://schemas.openxmlformats.org/officeDocument/2006/relationships/header" Target="header14.xml"/><Relationship Id="rId31" Type="http://schemas.openxmlformats.org/officeDocument/2006/relationships/header" Target="header15.xml"/><Relationship Id="rId32" Type="http://schemas.openxmlformats.org/officeDocument/2006/relationships/footer" Target="footer14.xml"/><Relationship Id="rId33" Type="http://schemas.openxmlformats.org/officeDocument/2006/relationships/footer" Target="footer15.xml"/><Relationship Id="rId34" Type="http://schemas.openxmlformats.org/officeDocument/2006/relationships/header" Target="header16.xml"/><Relationship Id="rId35" Type="http://schemas.openxmlformats.org/officeDocument/2006/relationships/header" Target="header17.xml"/><Relationship Id="rId36" Type="http://schemas.openxmlformats.org/officeDocument/2006/relationships/footer" Target="footer16.xml"/><Relationship Id="rId37" Type="http://schemas.openxmlformats.org/officeDocument/2006/relationships/footer" Target="footer17.xml"/><Relationship Id="rId38" Type="http://schemas.openxmlformats.org/officeDocument/2006/relationships/numbering" Target="numbering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224</TotalTime>
  <Application>LibreOffice/24.8.2.1$Linux_X86_64 LibreOffice_project/a41b5e68c837c0a0c4f2ac4e3af29ae42c8e881d</Application>
  <AppVersion>15.0000</AppVersion>
  <Pages>31</Pages>
  <Words>3952</Words>
  <Characters>25195</Characters>
  <CharactersWithSpaces>28441</CharactersWithSpaces>
  <Paragraphs>787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2022-06-02T13:30:00Z</dcterms:created>
  <dc:creator>Tzbs</dc:creator>
  <dc:description/>
  <dc:language>ru-RU</dc:language>
  <cp:lastModifiedBy/>
  <cp:lastPrinted>2023-03-09T14:11:03Z</cp:lastPrinted>
  <dcterms:modified xsi:type="dcterms:W3CDTF">2026-01-22T14:51:57Z</dcterms:modified>
  <cp:revision>78</cp:revision>
  <dc:subject/>
  <dc:title>Министерство Российской Федерации по атомной энергии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