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What to Look for in a Commercial Landscaping Contract in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 vague commercial landscaping contract leads to disputes and poor results. Learn what every commercial grounds agreement should include -- serving Monroe, Charlotte, and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contract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agreement Monroe NC, grounds maintenance contract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What to Look for in a Commercial Landscaping Contract in NC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should a commercial landscaping contract include?</w:t>
            </w:r>
          </w:p>
          <w:p>
            <w:pPr>
              <w:spacing w:after="0" w:before="0"/>
            </w:pPr>
            <w:r>
              <w:rPr>
                <w:rFonts w:ascii="Arial" w:cs="Arial" w:eastAsia="Arial" w:hAnsi="Arial"/>
                <w:color w:val="333333"/>
                <w:sz w:val="22"/>
                <w:szCs w:val="22"/>
              </w:rPr>
              <w:t xml:space="preserve">A good commercial landscaping contract spells out the full scope of services, service frequency, crew requirements, insurance requirements, response time guarantees, damage liability, and termination provisions -- vague contracts lead to billing disputes.</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Why the Contract Is the Most Important Document in Any Commercial Grounds Relationship</w:t>
      </w:r>
    </w:p>
    <w:p>
      <w:pPr>
        <w:spacing w:after="120" w:before="80"/>
      </w:pPr>
      <w:r>
        <w:rPr>
          <w:rFonts w:ascii="Arial" w:cs="Arial" w:eastAsia="Arial" w:hAnsi="Arial"/>
          <w:color w:val="333333"/>
          <w:sz w:val="22"/>
          <w:szCs w:val="22"/>
        </w:rPr>
        <w:t xml:space="preserve">In commercial property management, the landscaping contract is not a formality -- it is the foundation of the entire vendor relationship. Every expectation, every standard, every accountability measure lives or dies in the language of that contract. Property managers in Monroe, Charlotte, Indian Trail, and across Union County who have dealt with underperforming landscaping vendors almost always trace the problem back to one source: a contract that was too vague to enforce.</w:t>
      </w:r>
    </w:p>
    <w:p>
      <w:pPr>
        <w:spacing w:after="120" w:before="80"/>
      </w:pPr>
      <w:r>
        <w:rPr>
          <w:rFonts w:ascii="Arial" w:cs="Arial" w:eastAsia="Arial" w:hAnsi="Arial"/>
          <w:color w:val="333333"/>
          <w:sz w:val="22"/>
          <w:szCs w:val="22"/>
        </w:rPr>
        <w:t xml:space="preserve">When the scope of services is defined in general terms like 'regular mowing' or 'as-needed fertilization,' the vendor and the client will almost certainly disagree about what those terms mean the first time something goes wrong. A precisely written contract protects both parties -- it tells the vendor exactly what is expected, and it gives the property manager clear grounds for performance conversations and, if necessary, termination.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Key Elements Every Commercial Landscaping Contract Should Have</w:t>
      </w:r>
    </w:p>
    <w:p>
      <w:pPr>
        <w:spacing w:after="120" w:before="80"/>
      </w:pPr>
      <w:r>
        <w:rPr>
          <w:rFonts w:ascii="Arial" w:cs="Arial" w:eastAsia="Arial" w:hAnsi="Arial"/>
          <w:color w:val="333333"/>
          <w:sz w:val="22"/>
          <w:szCs w:val="22"/>
        </w:rPr>
        <w:t xml:space="preserve">Before signing any commercial grounds maintenance agreement, verify that it addresses these foundational elements:</w:t>
      </w:r>
    </w:p>
    <w:p>
      <w:pPr>
        <w:pStyle w:val="ListParagraph"/>
        <w:numPr>
          <w:ilvl w:val="0"/>
          <w:numId w:val="2"/>
        </w:numPr>
        <w:spacing w:after="60" w:before="60"/>
      </w:pPr>
      <w:r>
        <w:rPr>
          <w:rFonts w:ascii="Arial" w:cs="Arial" w:eastAsia="Arial" w:hAnsi="Arial"/>
          <w:color w:val="333333"/>
          <w:sz w:val="22"/>
          <w:szCs w:val="22"/>
        </w:rPr>
        <w:t xml:space="preserve">Scope of services: A precise list of every service included, with enough specificity to eliminate ambiguity. 'Mowing' should specify blade height. 'Fertilization' should specify the number of applications and timing.</w:t>
      </w:r>
    </w:p>
    <w:p>
      <w:pPr>
        <w:pStyle w:val="ListParagraph"/>
        <w:numPr>
          <w:ilvl w:val="0"/>
          <w:numId w:val="2"/>
        </w:numPr>
        <w:spacing w:after="60" w:before="60"/>
      </w:pPr>
      <w:r>
        <w:rPr>
          <w:rFonts w:ascii="Arial" w:cs="Arial" w:eastAsia="Arial" w:hAnsi="Arial"/>
          <w:color w:val="333333"/>
          <w:sz w:val="22"/>
          <w:szCs w:val="22"/>
        </w:rPr>
        <w:t xml:space="preserve">Service frequency: How often will each service occur? Weekly mowing during the growing season and biweekly in winter may be appropriate, but it needs to be stated explicitly.</w:t>
      </w:r>
    </w:p>
    <w:p>
      <w:pPr>
        <w:pStyle w:val="ListParagraph"/>
        <w:numPr>
          <w:ilvl w:val="0"/>
          <w:numId w:val="2"/>
        </w:numPr>
        <w:spacing w:after="60" w:before="60"/>
      </w:pPr>
      <w:r>
        <w:rPr>
          <w:rFonts w:ascii="Arial" w:cs="Arial" w:eastAsia="Arial" w:hAnsi="Arial"/>
          <w:color w:val="333333"/>
          <w:sz w:val="22"/>
          <w:szCs w:val="22"/>
        </w:rPr>
        <w:t xml:space="preserve">Crew size and qualifications: For larger properties, minimum crew size matters for meeting scheduling commitments. For pesticide applications, technicians must hold appropriate NC licensing.</w:t>
      </w:r>
    </w:p>
    <w:p>
      <w:pPr>
        <w:pStyle w:val="ListParagraph"/>
        <w:numPr>
          <w:ilvl w:val="0"/>
          <w:numId w:val="2"/>
        </w:numPr>
        <w:spacing w:after="60" w:before="60"/>
      </w:pPr>
      <w:r>
        <w:rPr>
          <w:rFonts w:ascii="Arial" w:cs="Arial" w:eastAsia="Arial" w:hAnsi="Arial"/>
          <w:color w:val="333333"/>
          <w:sz w:val="22"/>
          <w:szCs w:val="22"/>
        </w:rPr>
        <w:t xml:space="preserve">Response time: How quickly will the vendor respond to service issues, complaints, or emergency situations? A 48-hour response time is a reasonable standard; 'we will get to it' is not a commitment.</w:t>
      </w:r>
    </w:p>
    <w:p>
      <w:pPr>
        <w:pStyle w:val="ListParagraph"/>
        <w:numPr>
          <w:ilvl w:val="0"/>
          <w:numId w:val="2"/>
        </w:numPr>
        <w:spacing w:after="60" w:before="60"/>
      </w:pPr>
      <w:r>
        <w:rPr>
          <w:rFonts w:ascii="Arial" w:cs="Arial" w:eastAsia="Arial" w:hAnsi="Arial"/>
          <w:color w:val="333333"/>
          <w:sz w:val="22"/>
          <w:szCs w:val="22"/>
        </w:rPr>
        <w:t xml:space="preserve">Damage and liability: What happens if a crew damages irrigation heads, plant material, windows, or vehicles? The contract should specify the vendor's liability and the process for filing a damage claim.</w:t>
      </w:r>
    </w:p>
    <w:p>
      <w:pPr>
        <w:pStyle w:val="ListParagraph"/>
        <w:numPr>
          <w:ilvl w:val="0"/>
          <w:numId w:val="2"/>
        </w:numPr>
        <w:spacing w:after="60" w:before="60"/>
      </w:pPr>
      <w:r>
        <w:rPr>
          <w:rFonts w:ascii="Arial" w:cs="Arial" w:eastAsia="Arial" w:hAnsi="Arial"/>
          <w:color w:val="333333"/>
          <w:sz w:val="22"/>
          <w:szCs w:val="22"/>
        </w:rPr>
        <w:t xml:space="preserve">Termination provisions: Under what conditions can either party exit the contract? Look for notice periods (30 to 60 days is standard), cause-based termination rights, and provisions for what happens to prepaid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Scope of Services -- What to Spell Out</w:t>
      </w:r>
    </w:p>
    <w:p>
      <w:pPr>
        <w:spacing w:after="120" w:before="80"/>
      </w:pPr>
      <w:r>
        <w:rPr>
          <w:rFonts w:ascii="Arial" w:cs="Arial" w:eastAsia="Arial" w:hAnsi="Arial"/>
          <w:color w:val="333333"/>
          <w:sz w:val="22"/>
          <w:szCs w:val="22"/>
        </w:rPr>
        <w:t xml:space="preserve">The scope section is where most commercial landscaping contracts fall short. A thorough scope of services for a commercial property should address every category of exterior maintenance:</w:t>
      </w:r>
    </w:p>
    <w:p>
      <w:pPr>
        <w:pStyle w:val="ListParagraph"/>
        <w:numPr>
          <w:ilvl w:val="0"/>
          <w:numId w:val="2"/>
        </w:numPr>
        <w:spacing w:after="60" w:before="60"/>
      </w:pPr>
      <w:r>
        <w:rPr>
          <w:rFonts w:ascii="Arial" w:cs="Arial" w:eastAsia="Arial" w:hAnsi="Arial"/>
          <w:color w:val="333333"/>
          <w:sz w:val="22"/>
          <w:szCs w:val="22"/>
        </w:rPr>
        <w:t xml:space="preserve">Turf maintenance: mowing height, frequency, edging schedule, and blowing protocol.</w:t>
      </w:r>
    </w:p>
    <w:p>
      <w:pPr>
        <w:pStyle w:val="ListParagraph"/>
        <w:numPr>
          <w:ilvl w:val="0"/>
          <w:numId w:val="2"/>
        </w:numPr>
        <w:spacing w:after="60" w:before="60"/>
      </w:pPr>
      <w:r>
        <w:rPr>
          <w:rFonts w:ascii="Arial" w:cs="Arial" w:eastAsia="Arial" w:hAnsi="Arial"/>
          <w:color w:val="333333"/>
          <w:sz w:val="22"/>
          <w:szCs w:val="22"/>
        </w:rPr>
        <w:t xml:space="preserve">Fertilization program: number of applications per year, approximate timing, and product categories (slow-release vs. quick-release, granular vs. liquid).</w:t>
      </w:r>
    </w:p>
    <w:p>
      <w:pPr>
        <w:pStyle w:val="ListParagraph"/>
        <w:numPr>
          <w:ilvl w:val="0"/>
          <w:numId w:val="2"/>
        </w:numPr>
        <w:spacing w:after="60" w:before="60"/>
      </w:pPr>
      <w:r>
        <w:rPr>
          <w:rFonts w:ascii="Arial" w:cs="Arial" w:eastAsia="Arial" w:hAnsi="Arial"/>
          <w:color w:val="333333"/>
          <w:sz w:val="22"/>
          <w:szCs w:val="22"/>
        </w:rPr>
        <w:t xml:space="preserve">Weed control: pre-emergent application timing, post-emergent treatment protocol, and what constitutes acceptable weed coverage between visits.</w:t>
      </w:r>
    </w:p>
    <w:p>
      <w:pPr>
        <w:pStyle w:val="ListParagraph"/>
        <w:numPr>
          <w:ilvl w:val="0"/>
          <w:numId w:val="2"/>
        </w:numPr>
        <w:spacing w:after="60" w:before="60"/>
      </w:pPr>
      <w:r>
        <w:rPr>
          <w:rFonts w:ascii="Arial" w:cs="Arial" w:eastAsia="Arial" w:hAnsi="Arial"/>
          <w:color w:val="333333"/>
          <w:sz w:val="22"/>
          <w:szCs w:val="22"/>
        </w:rPr>
        <w:t xml:space="preserve">Shrub and hedge care: pruning frequency, shaping standards, and removal protocol for dead or damaged plants.</w:t>
      </w:r>
    </w:p>
    <w:p>
      <w:pPr>
        <w:pStyle w:val="ListParagraph"/>
        <w:numPr>
          <w:ilvl w:val="0"/>
          <w:numId w:val="2"/>
        </w:numPr>
        <w:spacing w:after="60" w:before="60"/>
      </w:pPr>
      <w:r>
        <w:rPr>
          <w:rFonts w:ascii="Arial" w:cs="Arial" w:eastAsia="Arial" w:hAnsi="Arial"/>
          <w:color w:val="333333"/>
          <w:sz w:val="22"/>
          <w:szCs w:val="22"/>
        </w:rPr>
        <w:t xml:space="preserve">Seasonal services: leaf removal schedule, storm cleanup response, and seasonal color installation if applicable.</w:t>
      </w:r>
    </w:p>
    <w:p>
      <w:pPr>
        <w:pStyle w:val="ListParagraph"/>
        <w:numPr>
          <w:ilvl w:val="0"/>
          <w:numId w:val="2"/>
        </w:numPr>
        <w:spacing w:after="60" w:before="60"/>
      </w:pPr>
      <w:r>
        <w:rPr>
          <w:rFonts w:ascii="Arial" w:cs="Arial" w:eastAsia="Arial" w:hAnsi="Arial"/>
          <w:color w:val="333333"/>
          <w:sz w:val="22"/>
          <w:szCs w:val="22"/>
        </w:rPr>
        <w:t xml:space="preserve">Irrigation: whether irrigation inspection and head adjustment is included, and how irrigation-related damage is handled.</w:t>
      </w:r>
    </w:p>
    <w:p>
      <w:pPr>
        <w:spacing w:after="120" w:before="80"/>
      </w:pPr>
      <w:r>
        <w:rPr>
          <w:rFonts w:ascii="Arial" w:cs="Arial" w:eastAsia="Arial" w:hAnsi="Arial"/>
          <w:color w:val="333333"/>
          <w:sz w:val="22"/>
          <w:szCs w:val="22"/>
        </w:rPr>
        <w:t xml:space="preserve">If a service is not in the contract, do not assume it is included. Any service not explicitly listed will likely be quoted as an extra, and those extras can add up quickly over the course of a season.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Insurance and Licensing Requirements</w:t>
      </w:r>
    </w:p>
    <w:p>
      <w:pPr>
        <w:spacing w:after="120" w:before="80"/>
      </w:pPr>
      <w:r>
        <w:rPr>
          <w:rFonts w:ascii="Arial" w:cs="Arial" w:eastAsia="Arial" w:hAnsi="Arial"/>
          <w:color w:val="333333"/>
          <w:sz w:val="22"/>
          <w:szCs w:val="22"/>
        </w:rPr>
        <w:t xml:space="preserve">A commercial landscaping company operating in North Carolina must carry appropriate insurance and hold applicable licenses. Before signing a contract, request and verify the following:</w:t>
      </w:r>
    </w:p>
    <w:p>
      <w:pPr>
        <w:pStyle w:val="ListParagraph"/>
        <w:numPr>
          <w:ilvl w:val="0"/>
          <w:numId w:val="2"/>
        </w:numPr>
        <w:spacing w:after="60" w:before="60"/>
      </w:pPr>
      <w:r>
        <w:rPr>
          <w:rFonts w:ascii="Arial" w:cs="Arial" w:eastAsia="Arial" w:hAnsi="Arial"/>
          <w:color w:val="333333"/>
          <w:sz w:val="22"/>
          <w:szCs w:val="22"/>
        </w:rPr>
        <w:t xml:space="preserve">General liability insurance: A minimum of $1 million per occurrence is standard for commercial work. For larger properties or higher-risk work like tree removal, $2 million or more may be appropriate. Request a certificate of insurance naming your company or property as an additional insured.</w:t>
      </w:r>
    </w:p>
    <w:p>
      <w:pPr>
        <w:pStyle w:val="ListParagraph"/>
        <w:numPr>
          <w:ilvl w:val="0"/>
          <w:numId w:val="2"/>
        </w:numPr>
        <w:spacing w:after="60" w:before="60"/>
      </w:pPr>
      <w:r>
        <w:rPr>
          <w:rFonts w:ascii="Arial" w:cs="Arial" w:eastAsia="Arial" w:hAnsi="Arial"/>
          <w:color w:val="333333"/>
          <w:sz w:val="22"/>
          <w:szCs w:val="22"/>
        </w:rPr>
        <w:t xml:space="preserve">Workers compensation insurance: Any company with employees must carry workers comp in NC. If a crew member is injured on your property and the vendor does not carry this coverage, your property could face liability exposure.</w:t>
      </w:r>
    </w:p>
    <w:p>
      <w:pPr>
        <w:pStyle w:val="ListParagraph"/>
        <w:numPr>
          <w:ilvl w:val="0"/>
          <w:numId w:val="2"/>
        </w:numPr>
        <w:spacing w:after="60" w:before="60"/>
      </w:pPr>
      <w:r>
        <w:rPr>
          <w:rFonts w:ascii="Arial" w:cs="Arial" w:eastAsia="Arial" w:hAnsi="Arial"/>
          <w:color w:val="333333"/>
          <w:sz w:val="22"/>
          <w:szCs w:val="22"/>
        </w:rPr>
        <w:t xml:space="preserve">NC Pesticide Applicator License: Any company applying herbicides, fungicides, insecticides, or fertilizer-pesticide combinations to commercial property is required to hold a valid NC Department of Agriculture pesticide applicator license. Ask for the license number and verify it with the state.</w:t>
      </w:r>
    </w:p>
    <w:p>
      <w:pPr>
        <w:spacing w:after="120" w:before="80"/>
      </w:pPr>
      <w:r>
        <w:rPr>
          <w:rFonts w:ascii="Arial" w:cs="Arial" w:eastAsia="Arial" w:hAnsi="Arial"/>
          <w:color w:val="333333"/>
          <w:sz w:val="22"/>
          <w:szCs w:val="22"/>
        </w:rPr>
        <w:t xml:space="preserve">Do not accept verbal assurances. Request physical copies or certificates, and make sure your contract requires the vendor to maintain these coverages throughout the contract term with notice if coverage lapses.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Service Frequency and Visit Documentation</w:t>
      </w:r>
    </w:p>
    <w:p>
      <w:pPr>
        <w:spacing w:after="120" w:before="80"/>
      </w:pPr>
      <w:r>
        <w:rPr>
          <w:rFonts w:ascii="Arial" w:cs="Arial" w:eastAsia="Arial" w:hAnsi="Arial"/>
          <w:color w:val="333333"/>
          <w:sz w:val="22"/>
          <w:szCs w:val="22"/>
        </w:rPr>
        <w:t xml:space="preserve">Knowing when services occurred -- and having documentation to prove it -- is critical for property managers who need to report to property owners, resolve tenant complaints, or defend against liability claims. A quality commercial landscaping vendor should provide:</w:t>
      </w:r>
    </w:p>
    <w:p>
      <w:pPr>
        <w:pStyle w:val="ListParagraph"/>
        <w:numPr>
          <w:ilvl w:val="0"/>
          <w:numId w:val="2"/>
        </w:numPr>
        <w:spacing w:after="60" w:before="60"/>
      </w:pPr>
      <w:r>
        <w:rPr>
          <w:rFonts w:ascii="Arial" w:cs="Arial" w:eastAsia="Arial" w:hAnsi="Arial"/>
          <w:color w:val="333333"/>
          <w:sz w:val="22"/>
          <w:szCs w:val="22"/>
        </w:rPr>
        <w:t xml:space="preserve">Scheduled visit frequency in writing, with seasonal adjustments defined.</w:t>
      </w:r>
    </w:p>
    <w:p>
      <w:pPr>
        <w:pStyle w:val="ListParagraph"/>
        <w:numPr>
          <w:ilvl w:val="0"/>
          <w:numId w:val="2"/>
        </w:numPr>
        <w:spacing w:after="60" w:before="60"/>
      </w:pPr>
      <w:r>
        <w:rPr>
          <w:rFonts w:ascii="Arial" w:cs="Arial" w:eastAsia="Arial" w:hAnsi="Arial"/>
          <w:color w:val="333333"/>
          <w:sz w:val="22"/>
          <w:szCs w:val="22"/>
        </w:rPr>
        <w:t xml:space="preserve">Service logs or digital records showing the date, services performed, and crew assigned for each visit.</w:t>
      </w:r>
    </w:p>
    <w:p>
      <w:pPr>
        <w:pStyle w:val="ListParagraph"/>
        <w:numPr>
          <w:ilvl w:val="0"/>
          <w:numId w:val="2"/>
        </w:numPr>
        <w:spacing w:after="60" w:before="60"/>
      </w:pPr>
      <w:r>
        <w:rPr>
          <w:rFonts w:ascii="Arial" w:cs="Arial" w:eastAsia="Arial" w:hAnsi="Arial"/>
          <w:color w:val="333333"/>
          <w:sz w:val="22"/>
          <w:szCs w:val="22"/>
        </w:rPr>
        <w:t xml:space="preserve">Photo documentation, particularly for seasonal services like mulching, leaf removal, and shrub trimming.</w:t>
      </w:r>
    </w:p>
    <w:p>
      <w:pPr>
        <w:pStyle w:val="ListParagraph"/>
        <w:numPr>
          <w:ilvl w:val="0"/>
          <w:numId w:val="2"/>
        </w:numPr>
        <w:spacing w:after="60" w:before="60"/>
      </w:pPr>
      <w:r>
        <w:rPr>
          <w:rFonts w:ascii="Arial" w:cs="Arial" w:eastAsia="Arial" w:hAnsi="Arial"/>
          <w:color w:val="333333"/>
          <w:sz w:val="22"/>
          <w:szCs w:val="22"/>
        </w:rPr>
        <w:t xml:space="preserve">A clear point of contact for service communication and a defined escalation path for unresolved issues.</w:t>
      </w:r>
    </w:p>
    <w:p>
      <w:pPr>
        <w:spacing w:after="120" w:before="80"/>
      </w:pPr>
      <w:r>
        <w:rPr>
          <w:rFonts w:ascii="Arial" w:cs="Arial" w:eastAsia="Arial" w:hAnsi="Arial"/>
          <w:color w:val="333333"/>
          <w:sz w:val="22"/>
          <w:szCs w:val="22"/>
        </w:rPr>
        <w:t xml:space="preserve">If a vendor cannot tell you when they were last at your property or what they did, that is an accountability problem -- and a preview of disputes to come.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Red Flags in Commercial Landscaping Contracts</w:t>
      </w:r>
    </w:p>
    <w:p>
      <w:pPr>
        <w:spacing w:after="120" w:before="80"/>
      </w:pPr>
      <w:r>
        <w:rPr>
          <w:rFonts w:ascii="Arial" w:cs="Arial" w:eastAsia="Arial" w:hAnsi="Arial"/>
          <w:color w:val="333333"/>
          <w:sz w:val="22"/>
          <w:szCs w:val="22"/>
        </w:rPr>
        <w:t xml:space="preserve">Watch for these warning signs before signing any commercial grounds maintenance agreement:</w:t>
      </w:r>
    </w:p>
    <w:p>
      <w:pPr>
        <w:pStyle w:val="ListParagraph"/>
        <w:numPr>
          <w:ilvl w:val="0"/>
          <w:numId w:val="2"/>
        </w:numPr>
        <w:spacing w:after="60" w:before="60"/>
      </w:pPr>
      <w:r>
        <w:rPr>
          <w:rFonts w:ascii="Arial" w:cs="Arial" w:eastAsia="Arial" w:hAnsi="Arial"/>
          <w:color w:val="333333"/>
          <w:sz w:val="22"/>
          <w:szCs w:val="22"/>
        </w:rPr>
        <w:t xml:space="preserve">Vague scope language: Terms like 'as needed,' 'regular maintenance,' or 'standard service' without further definition are red flags. Push for specifics.</w:t>
      </w:r>
    </w:p>
    <w:p>
      <w:pPr>
        <w:pStyle w:val="ListParagraph"/>
        <w:numPr>
          <w:ilvl w:val="0"/>
          <w:numId w:val="2"/>
        </w:numPr>
        <w:spacing w:after="60" w:before="60"/>
      </w:pPr>
      <w:r>
        <w:rPr>
          <w:rFonts w:ascii="Arial" w:cs="Arial" w:eastAsia="Arial" w:hAnsi="Arial"/>
          <w:color w:val="333333"/>
          <w:sz w:val="22"/>
          <w:szCs w:val="22"/>
        </w:rPr>
        <w:t xml:space="preserve">No damage clause: A contract that is silent on damage liability leaves you with no clear recourse if a crew member breaks something. This is a significant omission.</w:t>
      </w:r>
    </w:p>
    <w:p>
      <w:pPr>
        <w:pStyle w:val="ListParagraph"/>
        <w:numPr>
          <w:ilvl w:val="0"/>
          <w:numId w:val="2"/>
        </w:numPr>
        <w:spacing w:after="60" w:before="60"/>
      </w:pPr>
      <w:r>
        <w:rPr>
          <w:rFonts w:ascii="Arial" w:cs="Arial" w:eastAsia="Arial" w:hAnsi="Arial"/>
          <w:color w:val="333333"/>
          <w:sz w:val="22"/>
          <w:szCs w:val="22"/>
        </w:rPr>
        <w:t xml:space="preserve">No proof of insurance: Any vendor that cannot promptly provide a current certificate of insurance should not be awarded a commercial contract.</w:t>
      </w:r>
    </w:p>
    <w:p>
      <w:pPr>
        <w:pStyle w:val="ListParagraph"/>
        <w:numPr>
          <w:ilvl w:val="0"/>
          <w:numId w:val="2"/>
        </w:numPr>
        <w:spacing w:after="60" w:before="60"/>
      </w:pPr>
      <w:r>
        <w:rPr>
          <w:rFonts w:ascii="Arial" w:cs="Arial" w:eastAsia="Arial" w:hAnsi="Arial"/>
          <w:color w:val="333333"/>
          <w:sz w:val="22"/>
          <w:szCs w:val="22"/>
        </w:rPr>
        <w:t xml:space="preserve">No references: A legitimate commercial landscaping company should be able to provide verifiable references from commercial clients of comparable size. If they cannot, ask why.</w:t>
      </w:r>
    </w:p>
    <w:p>
      <w:pPr>
        <w:pStyle w:val="ListParagraph"/>
        <w:numPr>
          <w:ilvl w:val="0"/>
          <w:numId w:val="2"/>
        </w:numPr>
        <w:spacing w:after="60" w:before="60"/>
      </w:pPr>
      <w:r>
        <w:rPr>
          <w:rFonts w:ascii="Arial" w:cs="Arial" w:eastAsia="Arial" w:hAnsi="Arial"/>
          <w:color w:val="333333"/>
          <w:sz w:val="22"/>
          <w:szCs w:val="22"/>
        </w:rPr>
        <w:t xml:space="preserve">Automatic renewal with no exit: Some contracts include automatic multi-year renewals with no meaningful termination right. These give the vendor leverage and leave the property manager with no recourse if quality declines.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Evaluating Commercial Landscaping Companies in Monroe and Charlotte NC</w:t>
      </w:r>
    </w:p>
    <w:p>
      <w:pPr>
        <w:spacing w:after="120" w:before="80"/>
      </w:pPr>
      <w:r>
        <w:rPr>
          <w:rFonts w:ascii="Arial" w:cs="Arial" w:eastAsia="Arial" w:hAnsi="Arial"/>
          <w:color w:val="333333"/>
          <w:sz w:val="22"/>
          <w:szCs w:val="22"/>
        </w:rPr>
        <w:t xml:space="preserve">When evaluating vendors for commercial grounds maintenance in the Monroe, Charlotte, and Union County market, look for:</w:t>
      </w:r>
    </w:p>
    <w:p>
      <w:pPr>
        <w:pStyle w:val="ListParagraph"/>
        <w:numPr>
          <w:ilvl w:val="0"/>
          <w:numId w:val="2"/>
        </w:numPr>
        <w:spacing w:after="60" w:before="60"/>
      </w:pPr>
      <w:r>
        <w:rPr>
          <w:rFonts w:ascii="Arial" w:cs="Arial" w:eastAsia="Arial" w:hAnsi="Arial"/>
          <w:color w:val="333333"/>
          <w:sz w:val="22"/>
          <w:szCs w:val="22"/>
        </w:rPr>
        <w:t xml:space="preserve">Local market experience: Does the company understand NC's clay soils, seasonal timing, and common turf challenges like fescue heat stress and fungal pressure?</w:t>
      </w:r>
    </w:p>
    <w:p>
      <w:pPr>
        <w:pStyle w:val="ListParagraph"/>
        <w:numPr>
          <w:ilvl w:val="0"/>
          <w:numId w:val="2"/>
        </w:numPr>
        <w:spacing w:after="60" w:before="60"/>
      </w:pPr>
      <w:r>
        <w:rPr>
          <w:rFonts w:ascii="Arial" w:cs="Arial" w:eastAsia="Arial" w:hAnsi="Arial"/>
          <w:color w:val="333333"/>
          <w:sz w:val="22"/>
          <w:szCs w:val="22"/>
        </w:rPr>
        <w:t xml:space="preserve">Commercial-specific references: Residential and commercial work are different disciplines. Ask specifically for commercial references from properties of similar size and use type.</w:t>
      </w:r>
    </w:p>
    <w:p>
      <w:pPr>
        <w:pStyle w:val="ListParagraph"/>
        <w:numPr>
          <w:ilvl w:val="0"/>
          <w:numId w:val="2"/>
        </w:numPr>
        <w:spacing w:after="60" w:before="60"/>
      </w:pPr>
      <w:r>
        <w:rPr>
          <w:rFonts w:ascii="Arial" w:cs="Arial" w:eastAsia="Arial" w:hAnsi="Arial"/>
          <w:color w:val="333333"/>
          <w:sz w:val="22"/>
          <w:szCs w:val="22"/>
        </w:rPr>
        <w:t xml:space="preserve">Dedicated account management: Large national companies often rotate account managers. A local company with a dedicated point of contact for your account provides better continuity.</w:t>
      </w:r>
    </w:p>
    <w:p>
      <w:pPr>
        <w:pStyle w:val="ListParagraph"/>
        <w:numPr>
          <w:ilvl w:val="0"/>
          <w:numId w:val="2"/>
        </w:numPr>
        <w:spacing w:after="60" w:before="60"/>
      </w:pPr>
      <w:r>
        <w:rPr>
          <w:rFonts w:ascii="Arial" w:cs="Arial" w:eastAsia="Arial" w:hAnsi="Arial"/>
          <w:color w:val="333333"/>
          <w:sz w:val="22"/>
          <w:szCs w:val="22"/>
        </w:rPr>
        <w:t xml:space="preserve">Transparent pricing: A vendor who provides clear line-item pricing -- not a single lump sum -- makes it easier to compare bids and understand what you are getting.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What is a fair length for a commercial landscaping contract?</w:t>
      </w:r>
    </w:p>
    <w:p>
      <w:pPr>
        <w:spacing w:after="120" w:before="80"/>
      </w:pPr>
      <w:r>
        <w:rPr>
          <w:rFonts w:ascii="Arial" w:cs="Arial" w:eastAsia="Arial" w:hAnsi="Arial"/>
          <w:color w:val="333333"/>
          <w:sz w:val="22"/>
          <w:szCs w:val="22"/>
        </w:rPr>
        <w:t xml:space="preserve">Most commercial landscaping contracts run for one year, with renewal options. Some vendors offer multi-year agreements with locked pricing in exchange for the commitment. One-year terms with clear renewal and termination provisions strike the right balance between pricing stability and flexibility.</w:t>
      </w:r>
    </w:p>
    <w:p>
      <w:pPr>
        <w:pStyle w:val="Heading3"/>
        <w:spacing w:after="100" w:before="200"/>
      </w:pPr>
      <w:r>
        <w:rPr>
          <w:rFonts w:ascii="Arial" w:cs="Arial" w:eastAsia="Arial" w:hAnsi="Arial"/>
          <w:b/>
          <w:bCs/>
          <w:color w:val="444444"/>
          <w:sz w:val="24"/>
          <w:szCs w:val="24"/>
        </w:rPr>
        <w:t xml:space="preserve">Can I terminate a commercial landscaping contract early?</w:t>
      </w:r>
    </w:p>
    <w:p>
      <w:pPr>
        <w:spacing w:after="120" w:before="80"/>
      </w:pPr>
      <w:r>
        <w:rPr>
          <w:rFonts w:ascii="Arial" w:cs="Arial" w:eastAsia="Arial" w:hAnsi="Arial"/>
          <w:color w:val="333333"/>
          <w:sz w:val="22"/>
          <w:szCs w:val="22"/>
        </w:rPr>
        <w:t xml:space="preserve">This depends entirely on the contract language. Look for provisions that allow termination for cause (vendor non-performance) without penalty, and termination for convenience (your decision) with 30 to 60 days written notice. Avoid contracts with no meaningful exit option.</w:t>
      </w:r>
    </w:p>
    <w:p>
      <w:pPr>
        <w:pStyle w:val="Heading3"/>
        <w:spacing w:after="100" w:before="200"/>
      </w:pPr>
      <w:r>
        <w:rPr>
          <w:rFonts w:ascii="Arial" w:cs="Arial" w:eastAsia="Arial" w:hAnsi="Arial"/>
          <w:b/>
          <w:bCs/>
          <w:color w:val="444444"/>
          <w:sz w:val="24"/>
          <w:szCs w:val="24"/>
        </w:rPr>
        <w:t xml:space="preserve">What should I do if my landscaping vendor is not performing?</w:t>
      </w:r>
    </w:p>
    <w:p>
      <w:pPr>
        <w:spacing w:after="120" w:before="80"/>
      </w:pPr>
      <w:r>
        <w:rPr>
          <w:rFonts w:ascii="Arial" w:cs="Arial" w:eastAsia="Arial" w:hAnsi="Arial"/>
          <w:color w:val="333333"/>
          <w:sz w:val="22"/>
          <w:szCs w:val="22"/>
        </w:rPr>
        <w:t xml:space="preserve">Start by documenting the specific failures in writing and sending a formal notice to your account contact referencing the contract terms. Many performance issues are resolved at this stage. If the vendor does not correct the issue within the specified timeframe, you may have grounds for termination under the contract's cure provisions.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Contracts in Monroe, NC -- Carolina Exterior</w:t>
      </w:r>
    </w:p>
    <w:p>
      <w:pPr>
        <w:spacing w:after="120" w:before="80"/>
      </w:pPr>
      <w:r>
        <w:rPr>
          <w:rFonts w:ascii="Arial" w:cs="Arial" w:eastAsia="Arial" w:hAnsi="Arial"/>
          <w:color w:val="333333"/>
          <w:sz w:val="22"/>
          <w:szCs w:val="22"/>
        </w:rPr>
        <w:t xml:space="preserve">Carolina Exterior provides fully documented commercial grounds maintenance agreements to commercial properties throughout Monroe, Indian Trail, Charlotte, Waxhaw, and Union County. Our contracts are clear, comprehensive, and built around the specific needs of each property -- not a generic one-size-fits-all template.</w:t>
      </w:r>
    </w:p>
    <w:p>
      <w:pPr>
        <w:spacing w:after="120" w:before="80"/>
      </w:pPr>
      <w:r>
        <w:rPr>
          <w:rFonts w:ascii="Arial" w:cs="Arial" w:eastAsia="Arial" w:hAnsi="Arial"/>
          <w:color w:val="333333"/>
          <w:sz w:val="22"/>
          <w:szCs w:val="22"/>
        </w:rPr>
        <w:t xml:space="preserve">Contact us to discuss a commercial grounds maintenance program for your property. We are happy to walk you through our standard contract language and answer any questions before you sign.</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2026-06-23T16:25:19.719Z</dcterms:created>
  <dcterms:modified xsi:type="dcterms:W3CDTF">2026-06-23T16:25:19.719Z</dcterms:modified>
</cp:coreProperties>
</file>

<file path=docProps/custom.xml><?xml version="1.0" encoding="utf-8"?>
<Properties xmlns="http://schemas.openxmlformats.org/officeDocument/2006/custom-properties" xmlns:vt="http://schemas.openxmlformats.org/officeDocument/2006/docPropsVTypes"/>
</file>