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spacing w:before="6"/>
        <w:rPr>
          <w:rFonts w:ascii="Times New Roman"/>
          <w:sz w:val="29"/>
        </w:rPr>
      </w:pPr>
    </w:p>
    <w:p>
      <w:pPr>
        <w:pStyle w:val="BodyText"/>
        <w:ind w:left="1675"/>
        <w:rPr>
          <w:rFonts w:ascii="Times New Roman"/>
        </w:rPr>
      </w:pPr>
      <w:r>
        <w:rPr>
          <w:rFonts w:ascii="Times New Roman"/>
        </w:rPr>
        <w:drawing>
          <wp:inline distT="0" distB="0" distL="0" distR="0">
            <wp:extent cx="3943350" cy="171450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943350" cy="1714500"/>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spacing w:before="4"/>
        <w:rPr>
          <w:rFonts w:ascii="Times New Roman"/>
        </w:rPr>
      </w:pPr>
    </w:p>
    <w:p>
      <w:pPr>
        <w:spacing w:before="100"/>
        <w:ind w:left="2095" w:right="0" w:firstLine="0"/>
        <w:jc w:val="left"/>
        <w:rPr>
          <w:rFonts w:ascii="Trebuchet MS"/>
          <w:sz w:val="40"/>
        </w:rPr>
      </w:pPr>
      <w:r>
        <w:rPr>
          <w:rFonts w:ascii="Trebuchet MS"/>
          <w:sz w:val="40"/>
        </w:rPr>
        <w:t>GIS Data for GoCode Colorado</w:t>
      </w:r>
    </w:p>
    <w:p>
      <w:pPr>
        <w:spacing w:before="200"/>
        <w:ind w:left="100" w:right="0" w:firstLine="0"/>
        <w:jc w:val="left"/>
        <w:rPr>
          <w:sz w:val="22"/>
        </w:rPr>
      </w:pPr>
      <w:r>
        <w:rPr>
          <w:b/>
          <w:sz w:val="22"/>
        </w:rPr>
        <w:t>Last Updated: </w:t>
      </w:r>
      <w:r>
        <w:rPr>
          <w:sz w:val="22"/>
        </w:rPr>
        <w:t>3/1/2019</w:t>
      </w:r>
    </w:p>
    <w:p>
      <w:pPr>
        <w:pStyle w:val="BodyText"/>
        <w:spacing w:before="5"/>
        <w:rPr>
          <w:sz w:val="30"/>
        </w:rPr>
      </w:pPr>
    </w:p>
    <w:p>
      <w:pPr>
        <w:pStyle w:val="Heading1"/>
      </w:pPr>
      <w:r>
        <w:rPr/>
        <w:t>Assessor Data</w:t>
      </w:r>
    </w:p>
    <w:p>
      <w:pPr>
        <w:pStyle w:val="BodyText"/>
        <w:spacing w:line="280" w:lineRule="auto" w:before="66"/>
        <w:ind w:left="100" w:right="299"/>
      </w:pPr>
      <w:r>
        <w:rPr/>
        <w:drawing>
          <wp:anchor distT="0" distB="0" distL="0" distR="0" allowOverlap="1" layoutInCell="1" locked="0" behindDoc="0" simplePos="0" relativeHeight="0">
            <wp:simplePos x="0" y="0"/>
            <wp:positionH relativeFrom="page">
              <wp:posOffset>933450</wp:posOffset>
            </wp:positionH>
            <wp:positionV relativeFrom="paragraph">
              <wp:posOffset>2113659</wp:posOffset>
            </wp:positionV>
            <wp:extent cx="3024111" cy="1778889"/>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3024111" cy="1778889"/>
                    </a:xfrm>
                    <a:prstGeom prst="rect">
                      <a:avLst/>
                    </a:prstGeom>
                  </pic:spPr>
                </pic:pic>
              </a:graphicData>
            </a:graphic>
          </wp:anchor>
        </w:drawing>
      </w:r>
      <w:r>
        <w:rPr>
          <w:color w:val="333333"/>
        </w:rPr>
        <w:t>The </w:t>
      </w:r>
      <w:hyperlink r:id="rId7">
        <w:r>
          <w:rPr>
            <w:color w:val="1154CC"/>
            <w:u w:val="single" w:color="1154CC"/>
          </w:rPr>
          <w:t>Statewide Aggregate Parcels in Colorado 2017</w:t>
        </w:r>
        <w:r>
          <w:rPr>
            <w:color w:val="1154CC"/>
          </w:rPr>
          <w:t> </w:t>
        </w:r>
      </w:hyperlink>
      <w:r>
        <w:rPr>
          <w:color w:val="333333"/>
        </w:rPr>
        <w:t>dataset was created to facilitate a statewide view of parcels. The fields in this dataset have been intentionally selected to facilitate mapping attribute data across municipal boundaries. This dataset is updated each year and contains polygon features representing approximate location of tax parcels contained in County Assessor tax rolls in 2017 created and published by the Governor's Office of Information Technology. In many cases, but not always, the assessor data is housed and managed with the municipalities’ GIS shop. For the management of the parcel data, the official record is not the GIS file, instead it is the actual Legal Land Survey. Quite often, Re-Surveying is conducted upon request in cases of legal boundary disputes. Day-to-day operations require management of parcel boundaries to properly reflect the land for assessor purposes in accommodating parcel splits and merges. These geometry changes are considered de facto until a surveyor reports official survey grade geometry, and most parcel data should be viewed as an approximate location unless the data specifies otherwise.</w:t>
      </w:r>
    </w:p>
    <w:p>
      <w:pPr>
        <w:pStyle w:val="Heading1"/>
        <w:spacing w:before="116"/>
      </w:pPr>
      <w:r>
        <w:rPr/>
        <w:t>Colorado Anchor Institutions</w:t>
      </w:r>
    </w:p>
    <w:p>
      <w:pPr>
        <w:pStyle w:val="BodyText"/>
        <w:spacing w:line="280" w:lineRule="auto" w:before="66"/>
        <w:ind w:left="100" w:right="299"/>
      </w:pPr>
      <w:r>
        <w:rPr>
          <w:color w:val="333333"/>
        </w:rPr>
        <w:t>Locations of schools, libraries, medical and healthcare providers, public safety entities, community colleges and other institutions of higher education, and other community support organizations and</w:t>
      </w:r>
    </w:p>
    <w:p>
      <w:pPr>
        <w:spacing w:after="0" w:line="280" w:lineRule="auto"/>
        <w:sectPr>
          <w:type w:val="continuous"/>
          <w:pgSz w:w="12240" w:h="15840"/>
          <w:pgMar w:top="1500" w:bottom="280" w:left="1340" w:right="1300"/>
        </w:sectPr>
      </w:pPr>
    </w:p>
    <w:p>
      <w:pPr>
        <w:pStyle w:val="BodyText"/>
        <w:spacing w:line="280" w:lineRule="auto" w:before="67"/>
        <w:ind w:left="100"/>
      </w:pPr>
      <w:r>
        <w:rPr>
          <w:color w:val="333333"/>
        </w:rPr>
        <w:t>entities can be found in the </w:t>
      </w:r>
      <w:hyperlink r:id="rId8">
        <w:r>
          <w:rPr>
            <w:color w:val="1154CC"/>
            <w:u w:val="single" w:color="1154CC"/>
          </w:rPr>
          <w:t>Community Anchor Institutions dataset</w:t>
        </w:r>
      </w:hyperlink>
      <w:r>
        <w:rPr>
          <w:color w:val="333333"/>
        </w:rPr>
        <w:t>. These locations are gathered in the National Telecommunications Information Administration (NTIA) and State Broadband Data Development Program (SBDD) in an effort to identify existing and potential broadband availability to the public.</w:t>
      </w:r>
    </w:p>
    <w:p>
      <w:pPr>
        <w:pStyle w:val="BodyText"/>
        <w:spacing w:before="3"/>
        <w:ind w:left="100"/>
      </w:pPr>
      <w:r>
        <w:rPr/>
        <w:drawing>
          <wp:anchor distT="0" distB="0" distL="0" distR="0" allowOverlap="1" layoutInCell="1" locked="0" behindDoc="0" simplePos="0" relativeHeight="1">
            <wp:simplePos x="0" y="0"/>
            <wp:positionH relativeFrom="page">
              <wp:posOffset>933450</wp:posOffset>
            </wp:positionH>
            <wp:positionV relativeFrom="paragraph">
              <wp:posOffset>187704</wp:posOffset>
            </wp:positionV>
            <wp:extent cx="5948045" cy="4461033"/>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948045" cy="4461033"/>
                    </a:xfrm>
                    <a:prstGeom prst="rect">
                      <a:avLst/>
                    </a:prstGeom>
                  </pic:spPr>
                </pic:pic>
              </a:graphicData>
            </a:graphic>
          </wp:anchor>
        </w:drawing>
      </w:r>
      <w:r>
        <w:rPr>
          <w:color w:val="333333"/>
        </w:rPr>
        <w:t>Accessing community anchor institutions may involve the use of the external tools.</w:t>
      </w:r>
    </w:p>
    <w:p>
      <w:pPr>
        <w:pStyle w:val="BodyText"/>
        <w:spacing w:before="10"/>
        <w:rPr>
          <w:sz w:val="28"/>
        </w:rPr>
      </w:pPr>
    </w:p>
    <w:p>
      <w:pPr>
        <w:pStyle w:val="Heading1"/>
        <w:spacing w:before="1"/>
      </w:pPr>
      <w:r>
        <w:rPr/>
        <w:t>FEMA Maps and Boundaries</w:t>
      </w:r>
    </w:p>
    <w:p>
      <w:pPr>
        <w:pStyle w:val="BodyText"/>
        <w:spacing w:before="9"/>
        <w:rPr>
          <w:rFonts w:ascii="Trebuchet MS"/>
          <w:sz w:val="28"/>
        </w:rPr>
      </w:pPr>
    </w:p>
    <w:p>
      <w:pPr>
        <w:pStyle w:val="BodyText"/>
        <w:spacing w:line="280" w:lineRule="auto" w:before="1"/>
        <w:ind w:left="100" w:right="104"/>
      </w:pPr>
      <w:r>
        <w:rPr>
          <w:color w:val="333333"/>
        </w:rPr>
        <w:t>The Federal Emergency Management Agency (FEMA) uses Digital Flood Insurance Rate Maps (DFIRM) to determine special hazard zones and risk premium zones. These maps are utilized by insurance companies to spatially identify a dwelling’s location in a particular floodplain and to determine the insurance premium for residing in that floodplain. Any changes to these datasets, Letters of Map Revision (LOMR), involve a series of government processes to update. The Colorado Water Conservation Board (CWCB) makes these changes for FEMA using LOMRs and engineering studies to conduct quality control checks and improve overall flood management practices and programs.</w:t>
      </w:r>
    </w:p>
    <w:p>
      <w:pPr>
        <w:pStyle w:val="BodyText"/>
        <w:rPr>
          <w:sz w:val="24"/>
        </w:rPr>
      </w:pPr>
    </w:p>
    <w:p>
      <w:pPr>
        <w:pStyle w:val="BodyText"/>
        <w:spacing w:line="280" w:lineRule="auto"/>
        <w:ind w:left="100" w:right="193"/>
      </w:pPr>
      <w:r>
        <w:rPr>
          <w:color w:val="333333"/>
        </w:rPr>
        <w:t>In Colorado, flood hazard data is currently managed by the CWCB. They currently maintain the </w:t>
      </w:r>
      <w:hyperlink r:id="rId10">
        <w:r>
          <w:rPr>
            <w:color w:val="1154CC"/>
            <w:u w:val="single" w:color="1154CC"/>
          </w:rPr>
          <w:t>Colorado</w:t>
        </w:r>
      </w:hyperlink>
      <w:r>
        <w:rPr>
          <w:color w:val="1154CC"/>
        </w:rPr>
        <w:t> </w:t>
      </w:r>
      <w:hyperlink r:id="rId10">
        <w:r>
          <w:rPr>
            <w:color w:val="1154CC"/>
            <w:u w:val="single" w:color="1154CC"/>
          </w:rPr>
          <w:t>Hazard Mapping &amp; Risk MAP Portal</w:t>
        </w:r>
      </w:hyperlink>
      <w:r>
        <w:rPr>
          <w:color w:val="333333"/>
        </w:rPr>
        <w:t>. The </w:t>
      </w:r>
      <w:hyperlink r:id="rId11">
        <w:r>
          <w:rPr>
            <w:color w:val="1154CC"/>
            <w:u w:val="single" w:color="1154CC"/>
          </w:rPr>
          <w:t>National Flood Hazard Layer (NFHL)</w:t>
        </w:r>
        <w:r>
          <w:rPr>
            <w:color w:val="1154CC"/>
          </w:rPr>
          <w:t> </w:t>
        </w:r>
      </w:hyperlink>
      <w:r>
        <w:rPr>
          <w:color w:val="333333"/>
        </w:rPr>
        <w:t>31 layers (see below) used in the floodplain modeling are used to create the FIRMs and FIRMettes - pdf maps (see below).</w:t>
      </w:r>
    </w:p>
    <w:p>
      <w:pPr>
        <w:pStyle w:val="BodyText"/>
        <w:spacing w:line="280" w:lineRule="auto" w:before="3"/>
        <w:ind w:left="100"/>
      </w:pPr>
      <w:r>
        <w:rPr>
          <w:color w:val="333333"/>
        </w:rPr>
        <w:t>There is not a complete coverage of the FEMA dataset for the state. FEMA’s priorities lie with making the paper maps accurate over the digital boundary. As with parcel data, the official record is not the GIS file, instead, it is the actual survey.</w:t>
      </w:r>
    </w:p>
    <w:p>
      <w:pPr>
        <w:spacing w:after="0" w:line="280" w:lineRule="auto"/>
        <w:sectPr>
          <w:pgSz w:w="12240" w:h="15840"/>
          <w:pgMar w:top="1380" w:bottom="280" w:left="1340" w:right="1300"/>
        </w:sectPr>
      </w:pPr>
    </w:p>
    <w:p>
      <w:pPr>
        <w:pStyle w:val="BodyText"/>
        <w:spacing w:before="9"/>
        <w:rPr>
          <w:sz w:val="10"/>
        </w:rPr>
      </w:pPr>
    </w:p>
    <w:p>
      <w:pPr>
        <w:pStyle w:val="BodyText"/>
        <w:spacing w:before="93"/>
        <w:ind w:left="100"/>
      </w:pPr>
      <w:r>
        <w:rPr/>
        <w:drawing>
          <wp:anchor distT="0" distB="0" distL="0" distR="0" allowOverlap="1" layoutInCell="1" locked="0" behindDoc="0" simplePos="0" relativeHeight="2">
            <wp:simplePos x="0" y="0"/>
            <wp:positionH relativeFrom="page">
              <wp:posOffset>1035311</wp:posOffset>
            </wp:positionH>
            <wp:positionV relativeFrom="paragraph">
              <wp:posOffset>741508</wp:posOffset>
            </wp:positionV>
            <wp:extent cx="3552933" cy="2124455"/>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3552933" cy="2124455"/>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4686300</wp:posOffset>
            </wp:positionH>
            <wp:positionV relativeFrom="paragraph">
              <wp:posOffset>244854</wp:posOffset>
            </wp:positionV>
            <wp:extent cx="1005356" cy="2854832"/>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3" cstate="print"/>
                    <a:stretch>
                      <a:fillRect/>
                    </a:stretch>
                  </pic:blipFill>
                  <pic:spPr>
                    <a:xfrm>
                      <a:off x="0" y="0"/>
                      <a:ext cx="1005356" cy="2854832"/>
                    </a:xfrm>
                    <a:prstGeom prst="rect">
                      <a:avLst/>
                    </a:prstGeom>
                  </pic:spPr>
                </pic:pic>
              </a:graphicData>
            </a:graphic>
          </wp:anchor>
        </w:drawing>
      </w:r>
      <w:r>
        <w:rPr>
          <w:color w:val="333333"/>
        </w:rPr>
        <w:t>This snapshot of the NFHL shows data availability for Colorado.</w:t>
      </w:r>
    </w:p>
    <w:p>
      <w:pPr>
        <w:pStyle w:val="BodyText"/>
      </w:pPr>
    </w:p>
    <w:p>
      <w:pPr>
        <w:pStyle w:val="BodyText"/>
      </w:pPr>
    </w:p>
    <w:p>
      <w:pPr>
        <w:pStyle w:val="BodyText"/>
        <w:spacing w:before="2"/>
        <w:rPr>
          <w:sz w:val="18"/>
        </w:rPr>
      </w:pPr>
      <w:r>
        <w:rPr/>
        <w:drawing>
          <wp:anchor distT="0" distB="0" distL="0" distR="0" allowOverlap="1" layoutInCell="1" locked="0" behindDoc="0" simplePos="0" relativeHeight="4">
            <wp:simplePos x="0" y="0"/>
            <wp:positionH relativeFrom="page">
              <wp:posOffset>1040090</wp:posOffset>
            </wp:positionH>
            <wp:positionV relativeFrom="paragraph">
              <wp:posOffset>157969</wp:posOffset>
            </wp:positionV>
            <wp:extent cx="4810404" cy="3645408"/>
            <wp:effectExtent l="0" t="0" r="0" b="0"/>
            <wp:wrapTopAndBottom/>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4810404" cy="3645408"/>
                    </a:xfrm>
                    <a:prstGeom prst="rect">
                      <a:avLst/>
                    </a:prstGeom>
                  </pic:spPr>
                </pic:pic>
              </a:graphicData>
            </a:graphic>
          </wp:anchor>
        </w:drawing>
      </w:r>
    </w:p>
    <w:p>
      <w:pPr>
        <w:spacing w:after="0"/>
        <w:rPr>
          <w:sz w:val="18"/>
        </w:rPr>
        <w:sectPr>
          <w:pgSz w:w="12240" w:h="15840"/>
          <w:pgMar w:top="1500" w:bottom="280" w:left="1340" w:right="1300"/>
        </w:sectPr>
      </w:pPr>
    </w:p>
    <w:p>
      <w:pPr>
        <w:pStyle w:val="Heading1"/>
        <w:spacing w:before="87"/>
      </w:pPr>
      <w:r>
        <w:rPr/>
        <w:t>National Hydrography Dataset (NHD) Subset to Colorado</w:t>
      </w:r>
    </w:p>
    <w:p>
      <w:pPr>
        <w:pStyle w:val="BodyText"/>
        <w:spacing w:line="280" w:lineRule="auto" w:before="65"/>
        <w:ind w:left="100" w:right="104"/>
      </w:pPr>
      <w:r>
        <w:rPr>
          <w:color w:val="333333"/>
        </w:rPr>
        <w:t>To help alleviate the need to query The National Map, the </w:t>
      </w:r>
      <w:hyperlink r:id="rId15">
        <w:r>
          <w:rPr>
            <w:color w:val="1154CC"/>
            <w:u w:val="single" w:color="1154CC"/>
          </w:rPr>
          <w:t>National Hydrography Dataset</w:t>
        </w:r>
        <w:r>
          <w:rPr>
            <w:color w:val="1154CC"/>
          </w:rPr>
          <w:t> </w:t>
        </w:r>
      </w:hyperlink>
      <w:r>
        <w:rPr>
          <w:color w:val="333333"/>
        </w:rPr>
        <w:t>subset to Colorado is published to CIM (see below). The NHD contains data on streams, areas, points, flowlines, and watershed basin boundaries in Hydrologic Units 2, 4, 6, 8, 10, and 12. Data is maintained by the U.S. Geological Survey.</w:t>
      </w:r>
    </w:p>
    <w:p>
      <w:pPr>
        <w:pStyle w:val="BodyText"/>
        <w:spacing w:before="9"/>
        <w:rPr>
          <w:sz w:val="23"/>
        </w:rPr>
      </w:pPr>
    </w:p>
    <w:p>
      <w:pPr>
        <w:pStyle w:val="BodyText"/>
        <w:spacing w:line="280" w:lineRule="auto"/>
        <w:ind w:left="100" w:right="104"/>
      </w:pPr>
      <w:r>
        <w:rPr>
          <w:color w:val="333333"/>
        </w:rPr>
        <w:t>CDOT publishes simplified “</w:t>
      </w:r>
      <w:hyperlink r:id="rId16">
        <w:r>
          <w:rPr>
            <w:color w:val="1154CC"/>
            <w:u w:val="single" w:color="1154CC"/>
          </w:rPr>
          <w:t>lakes</w:t>
        </w:r>
      </w:hyperlink>
      <w:r>
        <w:rPr>
          <w:color w:val="333333"/>
        </w:rPr>
        <w:t>” and “</w:t>
      </w:r>
      <w:hyperlink r:id="rId17">
        <w:r>
          <w:rPr>
            <w:color w:val="1154CC"/>
            <w:u w:val="single" w:color="1154CC"/>
          </w:rPr>
          <w:t>streams</w:t>
        </w:r>
      </w:hyperlink>
      <w:r>
        <w:rPr>
          <w:color w:val="333333"/>
        </w:rPr>
        <w:t>.” As noted on the Online Transportation Information System Catalog (OTIS), “The data is best suited for cartography, and not geographic analysis,” while the NHD is suitable for geographic analysis.</w:t>
      </w:r>
    </w:p>
    <w:p>
      <w:pPr>
        <w:pStyle w:val="BodyText"/>
        <w:spacing w:before="8"/>
        <w:rPr>
          <w:sz w:val="23"/>
        </w:rPr>
      </w:pPr>
    </w:p>
    <w:p>
      <w:pPr>
        <w:pStyle w:val="BodyText"/>
        <w:spacing w:line="280" w:lineRule="auto"/>
        <w:ind w:left="100"/>
      </w:pPr>
      <w:r>
        <w:rPr>
          <w:color w:val="333333"/>
        </w:rPr>
        <w:t>Nation-wide currently available data is on </w:t>
      </w:r>
      <w:hyperlink r:id="rId18">
        <w:r>
          <w:rPr>
            <w:color w:val="1154CC"/>
            <w:u w:val="single" w:color="1154CC"/>
          </w:rPr>
          <w:t>https://nhd.usgs.gov/data.html</w:t>
        </w:r>
      </w:hyperlink>
      <w:r>
        <w:rPr>
          <w:color w:val="333333"/>
        </w:rPr>
        <w:t>, and packages are available by querying </w:t>
      </w:r>
      <w:hyperlink r:id="rId19">
        <w:r>
          <w:rPr>
            <w:color w:val="1154CC"/>
            <w:u w:val="single" w:color="1154CC"/>
          </w:rPr>
          <w:t>The National Map</w:t>
        </w:r>
        <w:r>
          <w:rPr>
            <w:color w:val="1154CC"/>
          </w:rPr>
          <w:t> </w:t>
        </w:r>
      </w:hyperlink>
      <w:r>
        <w:rPr>
          <w:color w:val="333333"/>
        </w:rPr>
        <w:t>to achieve a subset to Colorado. NHD has some overlap with what Division of Water Resources (DWR) publishes on both their portal as well as CIM:</w:t>
      </w:r>
    </w:p>
    <w:p>
      <w:pPr>
        <w:pStyle w:val="ListParagraph"/>
        <w:numPr>
          <w:ilvl w:val="0"/>
          <w:numId w:val="1"/>
        </w:numPr>
        <w:tabs>
          <w:tab w:pos="1540" w:val="left" w:leader="none"/>
        </w:tabs>
        <w:spacing w:line="240" w:lineRule="auto" w:before="3" w:after="0"/>
        <w:ind w:left="1540" w:right="0" w:hanging="360"/>
        <w:jc w:val="left"/>
        <w:rPr>
          <w:sz w:val="20"/>
        </w:rPr>
      </w:pPr>
      <w:r>
        <w:rPr>
          <w:color w:val="333333"/>
          <w:sz w:val="20"/>
        </w:rPr>
        <w:t>DWR has agricultural ditches and irrigation unrelated to</w:t>
      </w:r>
      <w:r>
        <w:rPr>
          <w:color w:val="333333"/>
          <w:spacing w:val="-12"/>
          <w:sz w:val="20"/>
        </w:rPr>
        <w:t> </w:t>
      </w:r>
      <w:r>
        <w:rPr>
          <w:color w:val="333333"/>
          <w:sz w:val="20"/>
        </w:rPr>
        <w:t>NHD</w:t>
      </w:r>
    </w:p>
    <w:p>
      <w:pPr>
        <w:pStyle w:val="ListParagraph"/>
        <w:numPr>
          <w:ilvl w:val="0"/>
          <w:numId w:val="1"/>
        </w:numPr>
        <w:tabs>
          <w:tab w:pos="1540" w:val="left" w:leader="none"/>
        </w:tabs>
        <w:spacing w:line="240" w:lineRule="auto" w:before="40" w:after="0"/>
        <w:ind w:left="1540" w:right="0" w:hanging="360"/>
        <w:jc w:val="left"/>
        <w:rPr>
          <w:sz w:val="20"/>
        </w:rPr>
      </w:pPr>
      <w:r>
        <w:rPr>
          <w:color w:val="333333"/>
          <w:sz w:val="20"/>
        </w:rPr>
        <w:t>Streamflow data on DWR’s portal links directly to</w:t>
      </w:r>
      <w:r>
        <w:rPr>
          <w:color w:val="333333"/>
          <w:spacing w:val="-11"/>
          <w:sz w:val="20"/>
        </w:rPr>
        <w:t> </w:t>
      </w:r>
      <w:r>
        <w:rPr>
          <w:color w:val="333333"/>
          <w:sz w:val="20"/>
        </w:rPr>
        <w:t>USGS</w:t>
      </w:r>
    </w:p>
    <w:p>
      <w:pPr>
        <w:pStyle w:val="ListParagraph"/>
        <w:numPr>
          <w:ilvl w:val="0"/>
          <w:numId w:val="1"/>
        </w:numPr>
        <w:tabs>
          <w:tab w:pos="1539" w:val="left" w:leader="none"/>
          <w:tab w:pos="1540" w:val="left" w:leader="none"/>
        </w:tabs>
        <w:spacing w:line="280" w:lineRule="auto" w:before="40" w:after="0"/>
        <w:ind w:left="1540" w:right="312" w:hanging="360"/>
        <w:jc w:val="left"/>
        <w:rPr>
          <w:sz w:val="20"/>
        </w:rPr>
      </w:pPr>
      <w:r>
        <w:rPr>
          <w:color w:val="333333"/>
          <w:sz w:val="20"/>
        </w:rPr>
        <w:t>Hydrography</w:t>
      </w:r>
      <w:r>
        <w:rPr>
          <w:color w:val="333333"/>
          <w:spacing w:val="-5"/>
          <w:sz w:val="20"/>
        </w:rPr>
        <w:t> </w:t>
      </w:r>
      <w:r>
        <w:rPr>
          <w:color w:val="333333"/>
          <w:sz w:val="20"/>
        </w:rPr>
        <w:t>data</w:t>
      </w:r>
      <w:r>
        <w:rPr>
          <w:color w:val="333333"/>
          <w:spacing w:val="-5"/>
          <w:sz w:val="20"/>
        </w:rPr>
        <w:t> </w:t>
      </w:r>
      <w:r>
        <w:rPr>
          <w:color w:val="333333"/>
          <w:sz w:val="20"/>
        </w:rPr>
        <w:t>included</w:t>
      </w:r>
      <w:r>
        <w:rPr>
          <w:color w:val="333333"/>
          <w:spacing w:val="-4"/>
          <w:sz w:val="20"/>
        </w:rPr>
        <w:t> </w:t>
      </w:r>
      <w:r>
        <w:rPr>
          <w:color w:val="333333"/>
          <w:sz w:val="20"/>
        </w:rPr>
        <w:t>in</w:t>
      </w:r>
      <w:r>
        <w:rPr>
          <w:color w:val="333333"/>
          <w:spacing w:val="-5"/>
          <w:sz w:val="20"/>
        </w:rPr>
        <w:t> </w:t>
      </w:r>
      <w:r>
        <w:rPr>
          <w:color w:val="333333"/>
          <w:sz w:val="20"/>
        </w:rPr>
        <w:t>the</w:t>
      </w:r>
      <w:r>
        <w:rPr>
          <w:color w:val="333333"/>
          <w:spacing w:val="-4"/>
          <w:sz w:val="20"/>
        </w:rPr>
        <w:t> </w:t>
      </w:r>
      <w:r>
        <w:rPr>
          <w:color w:val="333333"/>
          <w:sz w:val="20"/>
        </w:rPr>
        <w:t>DWR</w:t>
      </w:r>
      <w:r>
        <w:rPr>
          <w:color w:val="1154CC"/>
          <w:spacing w:val="-5"/>
          <w:sz w:val="20"/>
        </w:rPr>
        <w:t> </w:t>
      </w:r>
      <w:hyperlink r:id="rId20">
        <w:r>
          <w:rPr>
            <w:color w:val="1154CC"/>
            <w:sz w:val="20"/>
            <w:u w:val="single" w:color="1154CC"/>
          </w:rPr>
          <w:t>Online</w:t>
        </w:r>
        <w:r>
          <w:rPr>
            <w:color w:val="1154CC"/>
            <w:spacing w:val="-5"/>
            <w:sz w:val="20"/>
            <w:u w:val="single" w:color="1154CC"/>
          </w:rPr>
          <w:t> </w:t>
        </w:r>
        <w:r>
          <w:rPr>
            <w:color w:val="1154CC"/>
            <w:sz w:val="20"/>
            <w:u w:val="single" w:color="1154CC"/>
          </w:rPr>
          <w:t>Map</w:t>
        </w:r>
        <w:r>
          <w:rPr>
            <w:color w:val="1154CC"/>
            <w:spacing w:val="-4"/>
            <w:sz w:val="20"/>
            <w:u w:val="single" w:color="1154CC"/>
          </w:rPr>
          <w:t> </w:t>
        </w:r>
        <w:r>
          <w:rPr>
            <w:color w:val="1154CC"/>
            <w:sz w:val="20"/>
            <w:u w:val="single" w:color="1154CC"/>
          </w:rPr>
          <w:t>Viewer</w:t>
        </w:r>
        <w:r>
          <w:rPr>
            <w:color w:val="1154CC"/>
            <w:spacing w:val="-5"/>
            <w:sz w:val="20"/>
          </w:rPr>
          <w:t> </w:t>
        </w:r>
      </w:hyperlink>
      <w:r>
        <w:rPr>
          <w:color w:val="333333"/>
          <w:sz w:val="20"/>
        </w:rPr>
        <w:t>contains</w:t>
      </w:r>
      <w:r>
        <w:rPr>
          <w:color w:val="333333"/>
          <w:spacing w:val="-4"/>
          <w:sz w:val="20"/>
        </w:rPr>
        <w:t> </w:t>
      </w:r>
      <w:r>
        <w:rPr>
          <w:color w:val="333333"/>
          <w:sz w:val="20"/>
        </w:rPr>
        <w:t>Confluence</w:t>
      </w:r>
      <w:r>
        <w:rPr>
          <w:color w:val="333333"/>
          <w:spacing w:val="-5"/>
          <w:sz w:val="20"/>
        </w:rPr>
        <w:t> </w:t>
      </w:r>
      <w:r>
        <w:rPr>
          <w:color w:val="333333"/>
          <w:sz w:val="20"/>
        </w:rPr>
        <w:t>Points, Source Water Route Framework, and Stream gauge</w:t>
      </w:r>
      <w:r>
        <w:rPr>
          <w:color w:val="333333"/>
          <w:spacing w:val="-12"/>
          <w:sz w:val="20"/>
        </w:rPr>
        <w:t> </w:t>
      </w:r>
      <w:r>
        <w:rPr>
          <w:color w:val="333333"/>
          <w:sz w:val="20"/>
        </w:rPr>
        <w:t>locations.</w:t>
      </w:r>
    </w:p>
    <w:p>
      <w:pPr>
        <w:pStyle w:val="BodyText"/>
        <w:spacing w:line="280" w:lineRule="auto" w:before="2"/>
        <w:ind w:left="100" w:right="208"/>
      </w:pPr>
      <w:r>
        <w:rPr>
          <w:color w:val="333333"/>
        </w:rPr>
        <w:t>Additional value add from this process would be to remove codes in attributes. For example, ‘FCode’ values column records “STREAM/RIVER - 46003 - Hydrographic Category|intermittent” would be modified to include “46003 = Stream/River - Intermittent.” At this time, it is necessary to utilize the </w:t>
      </w:r>
      <w:hyperlink r:id="rId21">
        <w:r>
          <w:rPr>
            <w:color w:val="1154CC"/>
            <w:u w:val="single" w:color="1154CC"/>
          </w:rPr>
          <w:t>FCode</w:t>
        </w:r>
      </w:hyperlink>
      <w:r>
        <w:rPr>
          <w:color w:val="1154CC"/>
        </w:rPr>
        <w:t> </w:t>
      </w:r>
      <w:hyperlink r:id="rId21">
        <w:r>
          <w:rPr>
            <w:color w:val="1154CC"/>
            <w:u w:val="single" w:color="1154CC"/>
          </w:rPr>
          <w:t>data dictionary</w:t>
        </w:r>
        <w:r>
          <w:rPr>
            <w:color w:val="1154CC"/>
          </w:rPr>
          <w:t> </w:t>
        </w:r>
      </w:hyperlink>
      <w:r>
        <w:rPr>
          <w:color w:val="333333"/>
        </w:rPr>
        <w:t>to explain codified records.</w:t>
      </w:r>
    </w:p>
    <w:p>
      <w:pPr>
        <w:pStyle w:val="BodyText"/>
        <w:spacing w:before="9"/>
        <w:rPr>
          <w:sz w:val="23"/>
        </w:rPr>
      </w:pPr>
    </w:p>
    <w:p>
      <w:pPr>
        <w:pStyle w:val="BodyText"/>
        <w:spacing w:line="280" w:lineRule="auto"/>
        <w:ind w:left="100" w:right="104"/>
      </w:pPr>
      <w:r>
        <w:rPr/>
        <w:drawing>
          <wp:anchor distT="0" distB="0" distL="0" distR="0" allowOverlap="1" layoutInCell="1" locked="0" behindDoc="0" simplePos="0" relativeHeight="5">
            <wp:simplePos x="0" y="0"/>
            <wp:positionH relativeFrom="page">
              <wp:posOffset>933450</wp:posOffset>
            </wp:positionH>
            <wp:positionV relativeFrom="paragraph">
              <wp:posOffset>871599</wp:posOffset>
            </wp:positionV>
            <wp:extent cx="3142009" cy="3186684"/>
            <wp:effectExtent l="0" t="0" r="0" b="0"/>
            <wp:wrapTopAndBottom/>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2" cstate="print"/>
                    <a:stretch>
                      <a:fillRect/>
                    </a:stretch>
                  </pic:blipFill>
                  <pic:spPr>
                    <a:xfrm>
                      <a:off x="0" y="0"/>
                      <a:ext cx="3142009" cy="3186684"/>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4210050</wp:posOffset>
            </wp:positionH>
            <wp:positionV relativeFrom="paragraph">
              <wp:posOffset>2928999</wp:posOffset>
            </wp:positionV>
            <wp:extent cx="875382" cy="1131570"/>
            <wp:effectExtent l="0" t="0" r="0" b="0"/>
            <wp:wrapTopAndBottom/>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3" cstate="print"/>
                    <a:stretch>
                      <a:fillRect/>
                    </a:stretch>
                  </pic:blipFill>
                  <pic:spPr>
                    <a:xfrm>
                      <a:off x="0" y="0"/>
                      <a:ext cx="875382" cy="1131570"/>
                    </a:xfrm>
                    <a:prstGeom prst="rect">
                      <a:avLst/>
                    </a:prstGeom>
                  </pic:spPr>
                </pic:pic>
              </a:graphicData>
            </a:graphic>
          </wp:anchor>
        </w:drawing>
      </w:r>
      <w:r>
        <w:rPr>
          <w:color w:val="333333"/>
        </w:rPr>
        <w:t>In this snapshot of the NHD, the outer boundary without fill is the Watershed Boundaries layer extending into other states. The concentration of data layers overlapping the purple and green fill reflect the location of Colorado in this data rendering. Note the snapshot of the layers displaying what can be expected when loading NHD. Watershed Boundaries Hydrologic Unit 2 is the most common scale at which Watershed Boundaries are worked with.</w:t>
      </w:r>
    </w:p>
    <w:p>
      <w:pPr>
        <w:spacing w:after="0" w:line="280" w:lineRule="auto"/>
        <w:sectPr>
          <w:pgSz w:w="12240" w:h="15840"/>
          <w:pgMar w:top="1360" w:bottom="280" w:left="1340" w:right="1300"/>
        </w:sectPr>
      </w:pPr>
    </w:p>
    <w:p>
      <w:pPr>
        <w:pStyle w:val="Heading1"/>
        <w:spacing w:before="87"/>
      </w:pPr>
      <w:r>
        <w:rPr/>
        <w:t>Contours for Colorado</w:t>
      </w:r>
    </w:p>
    <w:p>
      <w:pPr>
        <w:pStyle w:val="BodyText"/>
        <w:spacing w:before="65"/>
        <w:ind w:left="100"/>
      </w:pPr>
      <w:r>
        <w:rPr>
          <w:color w:val="333333"/>
        </w:rPr>
        <w:t>The Statewide Topographic Contours for Colorado download is 3.5GB gdb (see below)</w:t>
      </w:r>
    </w:p>
    <w:p>
      <w:pPr>
        <w:pStyle w:val="BodyText"/>
        <w:spacing w:line="280" w:lineRule="auto" w:before="40"/>
        <w:ind w:left="100" w:right="299"/>
      </w:pPr>
      <w:r>
        <w:rPr/>
        <w:drawing>
          <wp:anchor distT="0" distB="0" distL="0" distR="0" allowOverlap="1" layoutInCell="1" locked="0" behindDoc="0" simplePos="0" relativeHeight="7">
            <wp:simplePos x="0" y="0"/>
            <wp:positionH relativeFrom="page">
              <wp:posOffset>933450</wp:posOffset>
            </wp:positionH>
            <wp:positionV relativeFrom="paragraph">
              <wp:posOffset>725549</wp:posOffset>
            </wp:positionV>
            <wp:extent cx="5955228" cy="3486912"/>
            <wp:effectExtent l="0" t="0" r="0" b="0"/>
            <wp:wrapTopAndBottom/>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4" cstate="print"/>
                    <a:stretch>
                      <a:fillRect/>
                    </a:stretch>
                  </pic:blipFill>
                  <pic:spPr>
                    <a:xfrm>
                      <a:off x="0" y="0"/>
                      <a:ext cx="5955228" cy="3486912"/>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933450</wp:posOffset>
            </wp:positionH>
            <wp:positionV relativeFrom="paragraph">
              <wp:posOffset>4373624</wp:posOffset>
            </wp:positionV>
            <wp:extent cx="5903662" cy="2393632"/>
            <wp:effectExtent l="0" t="0" r="0" b="0"/>
            <wp:wrapTopAndBottom/>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5" cstate="print"/>
                    <a:stretch>
                      <a:fillRect/>
                    </a:stretch>
                  </pic:blipFill>
                  <pic:spPr>
                    <a:xfrm>
                      <a:off x="0" y="0"/>
                      <a:ext cx="5903662" cy="2393632"/>
                    </a:xfrm>
                    <a:prstGeom prst="rect">
                      <a:avLst/>
                    </a:prstGeom>
                  </pic:spPr>
                </pic:pic>
              </a:graphicData>
            </a:graphic>
          </wp:anchor>
        </w:drawing>
      </w:r>
      <w:r>
        <w:rPr>
          <w:color w:val="333333"/>
        </w:rPr>
        <w:t>are published on CIM as</w:t>
      </w:r>
      <w:hyperlink r:id="rId26">
        <w:r>
          <w:rPr>
            <w:color w:val="1154CC"/>
            <w:u w:val="single" w:color="1154CC"/>
          </w:rPr>
          <w:t> Contour Lines in Colorado</w:t>
        </w:r>
      </w:hyperlink>
      <w:r>
        <w:rPr>
          <w:color w:val="333333"/>
        </w:rPr>
        <w:t>. To work with the data, download a geodatabase containing elevation contours for the entire state of Colorado at contour intervals of 10, 20, and 40. The most recent contour line was entered on 10/01/2009. Dataset is maintained by the U.S. Geological Survey (USGS). The USGS makes available contours for the nation at the </w:t>
      </w:r>
      <w:hyperlink r:id="rId27">
        <w:r>
          <w:rPr>
            <w:color w:val="1154CC"/>
            <w:u w:val="single" w:color="1154CC"/>
          </w:rPr>
          <w:t>1:24,000 Scale</w:t>
        </w:r>
        <w:r>
          <w:rPr>
            <w:color w:val="1154CC"/>
          </w:rPr>
          <w:t> </w:t>
        </w:r>
      </w:hyperlink>
      <w:r>
        <w:rPr>
          <w:color w:val="333333"/>
        </w:rPr>
        <w:t>circa 2012.</w:t>
      </w:r>
    </w:p>
    <w:p>
      <w:pPr>
        <w:pStyle w:val="BodyText"/>
        <w:spacing w:before="1"/>
        <w:rPr>
          <w:sz w:val="16"/>
        </w:rPr>
      </w:pPr>
    </w:p>
    <w:p>
      <w:pPr>
        <w:pStyle w:val="BodyText"/>
        <w:rPr>
          <w:sz w:val="22"/>
        </w:rPr>
      </w:pPr>
    </w:p>
    <w:p>
      <w:pPr>
        <w:pStyle w:val="BodyText"/>
        <w:spacing w:before="11"/>
        <w:rPr>
          <w:sz w:val="23"/>
        </w:rPr>
      </w:pPr>
    </w:p>
    <w:p>
      <w:pPr>
        <w:pStyle w:val="Heading1"/>
      </w:pPr>
      <w:r>
        <w:rPr/>
        <w:t>All Roads in Colorado from CDOT</w:t>
      </w:r>
    </w:p>
    <w:p>
      <w:pPr>
        <w:pStyle w:val="BodyText"/>
        <w:spacing w:before="65"/>
        <w:ind w:left="100"/>
      </w:pPr>
      <w:r>
        <w:rPr>
          <w:color w:val="333333"/>
        </w:rPr>
        <w:t>The Colorado Department of Transportation maintains three separate shapefiles for roads in Colorado:</w:t>
      </w:r>
    </w:p>
    <w:p>
      <w:pPr>
        <w:pStyle w:val="ListParagraph"/>
        <w:numPr>
          <w:ilvl w:val="0"/>
          <w:numId w:val="2"/>
        </w:numPr>
        <w:tabs>
          <w:tab w:pos="820" w:val="left" w:leader="none"/>
        </w:tabs>
        <w:spacing w:line="240" w:lineRule="auto" w:before="40" w:after="0"/>
        <w:ind w:left="820" w:right="0" w:hanging="360"/>
        <w:jc w:val="left"/>
        <w:rPr>
          <w:sz w:val="20"/>
        </w:rPr>
      </w:pPr>
      <w:hyperlink r:id="rId28">
        <w:r>
          <w:rPr>
            <w:color w:val="1154CC"/>
            <w:sz w:val="20"/>
            <w:u w:val="single" w:color="1154CC"/>
          </w:rPr>
          <w:t>Local Roads in</w:t>
        </w:r>
        <w:r>
          <w:rPr>
            <w:color w:val="1154CC"/>
            <w:spacing w:val="-4"/>
            <w:sz w:val="20"/>
            <w:u w:val="single" w:color="1154CC"/>
          </w:rPr>
          <w:t> </w:t>
        </w:r>
        <w:r>
          <w:rPr>
            <w:color w:val="1154CC"/>
            <w:sz w:val="20"/>
            <w:u w:val="single" w:color="1154CC"/>
          </w:rPr>
          <w:t>Colorado</w:t>
        </w:r>
      </w:hyperlink>
    </w:p>
    <w:p>
      <w:pPr>
        <w:spacing w:after="0" w:line="240" w:lineRule="auto"/>
        <w:jc w:val="left"/>
        <w:rPr>
          <w:sz w:val="20"/>
        </w:rPr>
        <w:sectPr>
          <w:pgSz w:w="12240" w:h="15840"/>
          <w:pgMar w:top="1360" w:bottom="280" w:left="1340" w:right="1300"/>
        </w:sectPr>
      </w:pPr>
    </w:p>
    <w:p>
      <w:pPr>
        <w:pStyle w:val="ListParagraph"/>
        <w:numPr>
          <w:ilvl w:val="0"/>
          <w:numId w:val="2"/>
        </w:numPr>
        <w:tabs>
          <w:tab w:pos="820" w:val="left" w:leader="none"/>
        </w:tabs>
        <w:spacing w:line="240" w:lineRule="auto" w:before="67" w:after="0"/>
        <w:ind w:left="820" w:right="0" w:hanging="360"/>
        <w:jc w:val="left"/>
        <w:rPr>
          <w:sz w:val="20"/>
        </w:rPr>
      </w:pPr>
      <w:hyperlink r:id="rId29">
        <w:r>
          <w:rPr>
            <w:color w:val="1154CC"/>
            <w:sz w:val="20"/>
            <w:u w:val="single" w:color="1154CC"/>
          </w:rPr>
          <w:t>Major Roads in</w:t>
        </w:r>
        <w:r>
          <w:rPr>
            <w:color w:val="1154CC"/>
            <w:spacing w:val="-4"/>
            <w:sz w:val="20"/>
            <w:u w:val="single" w:color="1154CC"/>
          </w:rPr>
          <w:t> </w:t>
        </w:r>
        <w:r>
          <w:rPr>
            <w:color w:val="1154CC"/>
            <w:sz w:val="20"/>
            <w:u w:val="single" w:color="1154CC"/>
          </w:rPr>
          <w:t>Colorado</w:t>
        </w:r>
      </w:hyperlink>
    </w:p>
    <w:p>
      <w:pPr>
        <w:pStyle w:val="ListParagraph"/>
        <w:numPr>
          <w:ilvl w:val="0"/>
          <w:numId w:val="2"/>
        </w:numPr>
        <w:tabs>
          <w:tab w:pos="820" w:val="left" w:leader="none"/>
        </w:tabs>
        <w:spacing w:line="240" w:lineRule="auto" w:before="40" w:after="0"/>
        <w:ind w:left="820" w:right="0" w:hanging="360"/>
        <w:jc w:val="left"/>
        <w:rPr>
          <w:sz w:val="20"/>
        </w:rPr>
      </w:pPr>
      <w:hyperlink r:id="rId30">
        <w:r>
          <w:rPr>
            <w:color w:val="1154CC"/>
            <w:sz w:val="20"/>
            <w:u w:val="single" w:color="1154CC"/>
          </w:rPr>
          <w:t>Highways in</w:t>
        </w:r>
        <w:r>
          <w:rPr>
            <w:color w:val="1154CC"/>
            <w:spacing w:val="-3"/>
            <w:sz w:val="20"/>
            <w:u w:val="single" w:color="1154CC"/>
          </w:rPr>
          <w:t> </w:t>
        </w:r>
        <w:r>
          <w:rPr>
            <w:color w:val="1154CC"/>
            <w:sz w:val="20"/>
            <w:u w:val="single" w:color="1154CC"/>
          </w:rPr>
          <w:t>Colorado</w:t>
        </w:r>
      </w:hyperlink>
    </w:p>
    <w:p>
      <w:pPr>
        <w:pStyle w:val="BodyText"/>
        <w:spacing w:line="280" w:lineRule="auto" w:before="40"/>
        <w:ind w:left="100"/>
      </w:pPr>
      <w:r>
        <w:rPr>
          <w:color w:val="333333"/>
        </w:rPr>
        <w:t>These</w:t>
      </w:r>
      <w:r>
        <w:rPr>
          <w:color w:val="333333"/>
          <w:spacing w:val="-5"/>
        </w:rPr>
        <w:t> </w:t>
      </w:r>
      <w:r>
        <w:rPr>
          <w:color w:val="333333"/>
        </w:rPr>
        <w:t>three</w:t>
      </w:r>
      <w:r>
        <w:rPr>
          <w:color w:val="333333"/>
          <w:spacing w:val="-4"/>
        </w:rPr>
        <w:t> </w:t>
      </w:r>
      <w:r>
        <w:rPr>
          <w:color w:val="333333"/>
        </w:rPr>
        <w:t>options</w:t>
      </w:r>
      <w:r>
        <w:rPr>
          <w:color w:val="333333"/>
          <w:spacing w:val="-4"/>
        </w:rPr>
        <w:t> </w:t>
      </w:r>
      <w:r>
        <w:rPr>
          <w:color w:val="333333"/>
        </w:rPr>
        <w:t>allow</w:t>
      </w:r>
      <w:r>
        <w:rPr>
          <w:color w:val="333333"/>
          <w:spacing w:val="-4"/>
        </w:rPr>
        <w:t> </w:t>
      </w:r>
      <w:r>
        <w:rPr>
          <w:color w:val="333333"/>
        </w:rPr>
        <w:t>for</w:t>
      </w:r>
      <w:r>
        <w:rPr>
          <w:color w:val="333333"/>
          <w:spacing w:val="-4"/>
        </w:rPr>
        <w:t> </w:t>
      </w:r>
      <w:r>
        <w:rPr>
          <w:color w:val="333333"/>
        </w:rPr>
        <w:t>different</w:t>
      </w:r>
      <w:r>
        <w:rPr>
          <w:color w:val="333333"/>
          <w:spacing w:val="-4"/>
        </w:rPr>
        <w:t> </w:t>
      </w:r>
      <w:r>
        <w:rPr>
          <w:color w:val="333333"/>
        </w:rPr>
        <w:t>analysis</w:t>
      </w:r>
      <w:r>
        <w:rPr>
          <w:color w:val="333333"/>
          <w:spacing w:val="-4"/>
        </w:rPr>
        <w:t> </w:t>
      </w:r>
      <w:r>
        <w:rPr>
          <w:color w:val="333333"/>
        </w:rPr>
        <w:t>and/or</w:t>
      </w:r>
      <w:r>
        <w:rPr>
          <w:color w:val="333333"/>
          <w:spacing w:val="-4"/>
        </w:rPr>
        <w:t> </w:t>
      </w:r>
      <w:r>
        <w:rPr>
          <w:color w:val="333333"/>
        </w:rPr>
        <w:t>cartographic</w:t>
      </w:r>
      <w:r>
        <w:rPr>
          <w:color w:val="333333"/>
          <w:spacing w:val="-5"/>
        </w:rPr>
        <w:t> </w:t>
      </w:r>
      <w:r>
        <w:rPr>
          <w:color w:val="333333"/>
        </w:rPr>
        <w:t>purposes</w:t>
      </w:r>
      <w:r>
        <w:rPr>
          <w:color w:val="333333"/>
          <w:spacing w:val="-4"/>
        </w:rPr>
        <w:t> </w:t>
      </w:r>
      <w:r>
        <w:rPr>
          <w:color w:val="333333"/>
        </w:rPr>
        <w:t>which</w:t>
      </w:r>
      <w:r>
        <w:rPr>
          <w:color w:val="333333"/>
          <w:spacing w:val="-4"/>
        </w:rPr>
        <w:t> </w:t>
      </w:r>
      <w:r>
        <w:rPr>
          <w:color w:val="333333"/>
        </w:rPr>
        <w:t>is</w:t>
      </w:r>
      <w:r>
        <w:rPr>
          <w:color w:val="333333"/>
          <w:spacing w:val="-4"/>
        </w:rPr>
        <w:t> </w:t>
      </w:r>
      <w:r>
        <w:rPr>
          <w:color w:val="333333"/>
        </w:rPr>
        <w:t>why</w:t>
      </w:r>
      <w:r>
        <w:rPr>
          <w:color w:val="333333"/>
          <w:spacing w:val="-4"/>
        </w:rPr>
        <w:t> </w:t>
      </w:r>
      <w:r>
        <w:rPr>
          <w:color w:val="333333"/>
        </w:rPr>
        <w:t>they</w:t>
      </w:r>
      <w:r>
        <w:rPr>
          <w:color w:val="333333"/>
          <w:spacing w:val="-4"/>
        </w:rPr>
        <w:t> </w:t>
      </w:r>
      <w:r>
        <w:rPr>
          <w:color w:val="333333"/>
        </w:rPr>
        <w:t>are published separately. The process is simple for creating a shapefile with all roads</w:t>
      </w:r>
      <w:r>
        <w:rPr>
          <w:color w:val="333333"/>
          <w:spacing w:val="-37"/>
        </w:rPr>
        <w:t> </w:t>
      </w:r>
      <w:r>
        <w:rPr>
          <w:color w:val="333333"/>
        </w:rPr>
        <w:t>combined.</w:t>
      </w:r>
    </w:p>
    <w:p>
      <w:pPr>
        <w:pStyle w:val="ListParagraph"/>
        <w:numPr>
          <w:ilvl w:val="0"/>
          <w:numId w:val="3"/>
        </w:numPr>
        <w:tabs>
          <w:tab w:pos="820" w:val="left" w:leader="none"/>
        </w:tabs>
        <w:spacing w:line="280" w:lineRule="auto" w:before="2" w:after="0"/>
        <w:ind w:left="820" w:right="355" w:hanging="360"/>
        <w:jc w:val="left"/>
        <w:rPr>
          <w:sz w:val="20"/>
        </w:rPr>
      </w:pPr>
      <w:r>
        <w:rPr>
          <w:color w:val="333333"/>
          <w:sz w:val="20"/>
        </w:rPr>
        <w:t>Export</w:t>
      </w:r>
      <w:r>
        <w:rPr>
          <w:color w:val="333333"/>
          <w:spacing w:val="-6"/>
          <w:sz w:val="20"/>
        </w:rPr>
        <w:t> </w:t>
      </w:r>
      <w:r>
        <w:rPr>
          <w:color w:val="333333"/>
          <w:sz w:val="20"/>
        </w:rPr>
        <w:t>each</w:t>
      </w:r>
      <w:r>
        <w:rPr>
          <w:color w:val="333333"/>
          <w:spacing w:val="-5"/>
          <w:sz w:val="20"/>
        </w:rPr>
        <w:t> </w:t>
      </w:r>
      <w:r>
        <w:rPr>
          <w:color w:val="333333"/>
          <w:sz w:val="20"/>
        </w:rPr>
        <w:t>dataset</w:t>
      </w:r>
      <w:r>
        <w:rPr>
          <w:color w:val="333333"/>
          <w:spacing w:val="-5"/>
          <w:sz w:val="20"/>
        </w:rPr>
        <w:t> </w:t>
      </w:r>
      <w:r>
        <w:rPr>
          <w:color w:val="333333"/>
          <w:sz w:val="20"/>
        </w:rPr>
        <w:t>as</w:t>
      </w:r>
      <w:r>
        <w:rPr>
          <w:color w:val="333333"/>
          <w:spacing w:val="-5"/>
          <w:sz w:val="20"/>
        </w:rPr>
        <w:t> </w:t>
      </w:r>
      <w:r>
        <w:rPr>
          <w:color w:val="333333"/>
          <w:sz w:val="20"/>
        </w:rPr>
        <w:t>“Original”</w:t>
      </w:r>
      <w:r>
        <w:rPr>
          <w:color w:val="333333"/>
          <w:spacing w:val="-5"/>
          <w:sz w:val="20"/>
        </w:rPr>
        <w:t> </w:t>
      </w:r>
      <w:r>
        <w:rPr>
          <w:color w:val="333333"/>
          <w:sz w:val="20"/>
        </w:rPr>
        <w:t>if</w:t>
      </w:r>
      <w:r>
        <w:rPr>
          <w:color w:val="333333"/>
          <w:spacing w:val="-5"/>
          <w:sz w:val="20"/>
        </w:rPr>
        <w:t> </w:t>
      </w:r>
      <w:r>
        <w:rPr>
          <w:color w:val="333333"/>
          <w:sz w:val="20"/>
        </w:rPr>
        <w:t>the</w:t>
      </w:r>
      <w:r>
        <w:rPr>
          <w:color w:val="333333"/>
          <w:spacing w:val="-5"/>
          <w:sz w:val="20"/>
        </w:rPr>
        <w:t> </w:t>
      </w:r>
      <w:r>
        <w:rPr>
          <w:color w:val="333333"/>
          <w:sz w:val="20"/>
        </w:rPr>
        <w:t>original</w:t>
      </w:r>
      <w:r>
        <w:rPr>
          <w:color w:val="333333"/>
          <w:spacing w:val="-6"/>
          <w:sz w:val="20"/>
        </w:rPr>
        <w:t> </w:t>
      </w:r>
      <w:r>
        <w:rPr>
          <w:color w:val="333333"/>
          <w:sz w:val="20"/>
        </w:rPr>
        <w:t>projection</w:t>
      </w:r>
      <w:r>
        <w:rPr>
          <w:color w:val="333333"/>
          <w:spacing w:val="-5"/>
          <w:sz w:val="20"/>
        </w:rPr>
        <w:t> </w:t>
      </w:r>
      <w:r>
        <w:rPr>
          <w:color w:val="333333"/>
          <w:sz w:val="20"/>
        </w:rPr>
        <w:t>(NAD83_UTM_Zone_13N)</w:t>
      </w:r>
      <w:r>
        <w:rPr>
          <w:color w:val="333333"/>
          <w:spacing w:val="-5"/>
          <w:sz w:val="20"/>
        </w:rPr>
        <w:t> </w:t>
      </w:r>
      <w:r>
        <w:rPr>
          <w:color w:val="333333"/>
          <w:sz w:val="20"/>
        </w:rPr>
        <w:t>is</w:t>
      </w:r>
      <w:r>
        <w:rPr>
          <w:color w:val="333333"/>
          <w:spacing w:val="-5"/>
          <w:sz w:val="20"/>
        </w:rPr>
        <w:t> </w:t>
      </w:r>
      <w:r>
        <w:rPr>
          <w:color w:val="333333"/>
          <w:sz w:val="20"/>
        </w:rPr>
        <w:t>desired, otherwise export as “Shapefile” for a WGS84 geographic coordinate</w:t>
      </w:r>
      <w:r>
        <w:rPr>
          <w:color w:val="333333"/>
          <w:spacing w:val="-18"/>
          <w:sz w:val="20"/>
        </w:rPr>
        <w:t> </w:t>
      </w:r>
      <w:r>
        <w:rPr>
          <w:color w:val="333333"/>
          <w:sz w:val="20"/>
        </w:rPr>
        <w:t>system</w:t>
      </w:r>
    </w:p>
    <w:p>
      <w:pPr>
        <w:pStyle w:val="BodyText"/>
        <w:spacing w:before="2"/>
        <w:rPr>
          <w:sz w:val="22"/>
        </w:rPr>
      </w:pPr>
      <w:r>
        <w:rPr/>
        <w:drawing>
          <wp:anchor distT="0" distB="0" distL="0" distR="0" allowOverlap="1" layoutInCell="1" locked="0" behindDoc="0" simplePos="0" relativeHeight="9">
            <wp:simplePos x="0" y="0"/>
            <wp:positionH relativeFrom="page">
              <wp:posOffset>2895600</wp:posOffset>
            </wp:positionH>
            <wp:positionV relativeFrom="paragraph">
              <wp:posOffset>187153</wp:posOffset>
            </wp:positionV>
            <wp:extent cx="1983590" cy="2663952"/>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31" cstate="print"/>
                    <a:stretch>
                      <a:fillRect/>
                    </a:stretch>
                  </pic:blipFill>
                  <pic:spPr>
                    <a:xfrm>
                      <a:off x="0" y="0"/>
                      <a:ext cx="1983590" cy="2663952"/>
                    </a:xfrm>
                    <a:prstGeom prst="rect">
                      <a:avLst/>
                    </a:prstGeom>
                  </pic:spPr>
                </pic:pic>
              </a:graphicData>
            </a:graphic>
          </wp:anchor>
        </w:drawing>
      </w:r>
    </w:p>
    <w:p>
      <w:pPr>
        <w:pStyle w:val="ListParagraph"/>
        <w:numPr>
          <w:ilvl w:val="0"/>
          <w:numId w:val="3"/>
        </w:numPr>
        <w:tabs>
          <w:tab w:pos="820" w:val="left" w:leader="none"/>
        </w:tabs>
        <w:spacing w:line="240" w:lineRule="auto" w:before="43" w:after="0"/>
        <w:ind w:left="820" w:right="0" w:hanging="360"/>
        <w:jc w:val="left"/>
        <w:rPr>
          <w:sz w:val="20"/>
        </w:rPr>
      </w:pPr>
      <w:r>
        <w:rPr>
          <w:color w:val="333333"/>
          <w:sz w:val="20"/>
        </w:rPr>
        <w:t>Load each dataset into the desired geospatial</w:t>
      </w:r>
      <w:r>
        <w:rPr>
          <w:color w:val="333333"/>
          <w:spacing w:val="-10"/>
          <w:sz w:val="20"/>
        </w:rPr>
        <w:t> </w:t>
      </w:r>
      <w:r>
        <w:rPr>
          <w:color w:val="333333"/>
          <w:sz w:val="20"/>
        </w:rPr>
        <w:t>software</w:t>
      </w:r>
    </w:p>
    <w:p>
      <w:pPr>
        <w:pStyle w:val="ListParagraph"/>
        <w:numPr>
          <w:ilvl w:val="0"/>
          <w:numId w:val="3"/>
        </w:numPr>
        <w:tabs>
          <w:tab w:pos="820" w:val="left" w:leader="none"/>
        </w:tabs>
        <w:spacing w:line="280" w:lineRule="auto" w:before="40" w:after="0"/>
        <w:ind w:left="820" w:right="889" w:hanging="360"/>
        <w:jc w:val="left"/>
        <w:rPr>
          <w:sz w:val="20"/>
        </w:rPr>
      </w:pPr>
      <w:r>
        <w:rPr>
          <w:color w:val="333333"/>
          <w:sz w:val="20"/>
        </w:rPr>
        <w:t>Run</w:t>
      </w:r>
      <w:r>
        <w:rPr>
          <w:color w:val="333333"/>
          <w:spacing w:val="-4"/>
          <w:sz w:val="20"/>
        </w:rPr>
        <w:t> </w:t>
      </w:r>
      <w:r>
        <w:rPr>
          <w:color w:val="333333"/>
          <w:sz w:val="20"/>
        </w:rPr>
        <w:t>a</w:t>
      </w:r>
      <w:r>
        <w:rPr>
          <w:color w:val="333333"/>
          <w:spacing w:val="-4"/>
          <w:sz w:val="20"/>
        </w:rPr>
        <w:t> </w:t>
      </w:r>
      <w:r>
        <w:rPr>
          <w:color w:val="333333"/>
          <w:sz w:val="20"/>
        </w:rPr>
        <w:t>Merge</w:t>
      </w:r>
      <w:r>
        <w:rPr>
          <w:color w:val="333333"/>
          <w:spacing w:val="-4"/>
          <w:sz w:val="20"/>
        </w:rPr>
        <w:t> </w:t>
      </w:r>
      <w:r>
        <w:rPr>
          <w:color w:val="333333"/>
          <w:sz w:val="20"/>
        </w:rPr>
        <w:t>on</w:t>
      </w:r>
      <w:r>
        <w:rPr>
          <w:color w:val="333333"/>
          <w:spacing w:val="-4"/>
          <w:sz w:val="20"/>
        </w:rPr>
        <w:t> </w:t>
      </w:r>
      <w:r>
        <w:rPr>
          <w:color w:val="333333"/>
          <w:sz w:val="20"/>
        </w:rPr>
        <w:t>all</w:t>
      </w:r>
      <w:r>
        <w:rPr>
          <w:color w:val="333333"/>
          <w:spacing w:val="-4"/>
          <w:sz w:val="20"/>
        </w:rPr>
        <w:t> </w:t>
      </w:r>
      <w:r>
        <w:rPr>
          <w:color w:val="333333"/>
          <w:sz w:val="20"/>
        </w:rPr>
        <w:t>three</w:t>
      </w:r>
      <w:r>
        <w:rPr>
          <w:color w:val="333333"/>
          <w:spacing w:val="-4"/>
          <w:sz w:val="20"/>
        </w:rPr>
        <w:t> </w:t>
      </w:r>
      <w:r>
        <w:rPr>
          <w:color w:val="333333"/>
          <w:sz w:val="20"/>
        </w:rPr>
        <w:t>of</w:t>
      </w:r>
      <w:r>
        <w:rPr>
          <w:color w:val="333333"/>
          <w:spacing w:val="-4"/>
          <w:sz w:val="20"/>
        </w:rPr>
        <w:t> </w:t>
      </w:r>
      <w:r>
        <w:rPr>
          <w:color w:val="333333"/>
          <w:sz w:val="20"/>
        </w:rPr>
        <w:t>Highway</w:t>
      </w:r>
      <w:r>
        <w:rPr>
          <w:color w:val="333333"/>
          <w:spacing w:val="-3"/>
          <w:sz w:val="20"/>
        </w:rPr>
        <w:t> </w:t>
      </w:r>
      <w:r>
        <w:rPr>
          <w:color w:val="333333"/>
          <w:sz w:val="20"/>
        </w:rPr>
        <w:t>Quality,</w:t>
      </w:r>
      <w:r>
        <w:rPr>
          <w:color w:val="333333"/>
          <w:spacing w:val="-4"/>
          <w:sz w:val="20"/>
        </w:rPr>
        <w:t> </w:t>
      </w:r>
      <w:r>
        <w:rPr>
          <w:color w:val="333333"/>
          <w:sz w:val="20"/>
        </w:rPr>
        <w:t>Local_Roads,</w:t>
      </w:r>
      <w:r>
        <w:rPr>
          <w:color w:val="333333"/>
          <w:spacing w:val="-4"/>
          <w:sz w:val="20"/>
        </w:rPr>
        <w:t> </w:t>
      </w:r>
      <w:r>
        <w:rPr>
          <w:color w:val="333333"/>
          <w:sz w:val="20"/>
        </w:rPr>
        <w:t>and</w:t>
      </w:r>
      <w:r>
        <w:rPr>
          <w:color w:val="333333"/>
          <w:spacing w:val="-4"/>
          <w:sz w:val="20"/>
        </w:rPr>
        <w:t> </w:t>
      </w:r>
      <w:r>
        <w:rPr>
          <w:color w:val="333333"/>
          <w:sz w:val="20"/>
        </w:rPr>
        <w:t>Highways</w:t>
      </w:r>
      <w:r>
        <w:rPr>
          <w:color w:val="333333"/>
          <w:spacing w:val="-4"/>
          <w:sz w:val="20"/>
        </w:rPr>
        <w:t> </w:t>
      </w:r>
      <w:r>
        <w:rPr>
          <w:color w:val="333333"/>
          <w:sz w:val="20"/>
        </w:rPr>
        <w:t>to</w:t>
      </w:r>
      <w:r>
        <w:rPr>
          <w:color w:val="333333"/>
          <w:spacing w:val="-4"/>
          <w:sz w:val="20"/>
        </w:rPr>
        <w:t> </w:t>
      </w:r>
      <w:r>
        <w:rPr>
          <w:color w:val="333333"/>
          <w:sz w:val="20"/>
        </w:rPr>
        <w:t>combine</w:t>
      </w:r>
      <w:r>
        <w:rPr>
          <w:color w:val="333333"/>
          <w:spacing w:val="-4"/>
          <w:sz w:val="20"/>
        </w:rPr>
        <w:t> </w:t>
      </w:r>
      <w:r>
        <w:rPr>
          <w:color w:val="333333"/>
          <w:sz w:val="20"/>
        </w:rPr>
        <w:t>for analysis</w:t>
      </w:r>
      <w:r>
        <w:rPr>
          <w:color w:val="333333"/>
          <w:spacing w:val="-2"/>
          <w:sz w:val="20"/>
        </w:rPr>
        <w:t> </w:t>
      </w:r>
      <w:r>
        <w:rPr>
          <w:color w:val="333333"/>
          <w:sz w:val="20"/>
        </w:rPr>
        <w:t>-or-</w:t>
      </w:r>
    </w:p>
    <w:p>
      <w:pPr>
        <w:pStyle w:val="ListParagraph"/>
        <w:numPr>
          <w:ilvl w:val="0"/>
          <w:numId w:val="3"/>
        </w:numPr>
        <w:tabs>
          <w:tab w:pos="820" w:val="left" w:leader="none"/>
        </w:tabs>
        <w:spacing w:line="240" w:lineRule="auto" w:before="2" w:after="0"/>
        <w:ind w:left="820" w:right="0" w:hanging="360"/>
        <w:jc w:val="left"/>
        <w:rPr>
          <w:sz w:val="20"/>
        </w:rPr>
      </w:pPr>
      <w:r>
        <w:rPr>
          <w:color w:val="333333"/>
          <w:sz w:val="20"/>
        </w:rPr>
        <w:t>Symbolize all three layers using the same symbology for cartographic</w:t>
      </w:r>
      <w:r>
        <w:rPr>
          <w:color w:val="333333"/>
          <w:spacing w:val="-20"/>
          <w:sz w:val="20"/>
        </w:rPr>
        <w:t> </w:t>
      </w:r>
      <w:r>
        <w:rPr>
          <w:color w:val="333333"/>
          <w:sz w:val="20"/>
        </w:rPr>
        <w:t>purposes</w:t>
      </w:r>
    </w:p>
    <w:p>
      <w:pPr>
        <w:pStyle w:val="BodyText"/>
        <w:spacing w:before="9"/>
        <w:rPr>
          <w:sz w:val="29"/>
        </w:rPr>
      </w:pPr>
      <w:r>
        <w:rPr/>
        <w:drawing>
          <wp:anchor distT="0" distB="0" distL="0" distR="0" allowOverlap="1" layoutInCell="1" locked="0" behindDoc="0" simplePos="0" relativeHeight="10">
            <wp:simplePos x="0" y="0"/>
            <wp:positionH relativeFrom="page">
              <wp:posOffset>1861057</wp:posOffset>
            </wp:positionH>
            <wp:positionV relativeFrom="paragraph">
              <wp:posOffset>242639</wp:posOffset>
            </wp:positionV>
            <wp:extent cx="4012161" cy="3109722"/>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32" cstate="print"/>
                    <a:stretch>
                      <a:fillRect/>
                    </a:stretch>
                  </pic:blipFill>
                  <pic:spPr>
                    <a:xfrm>
                      <a:off x="0" y="0"/>
                      <a:ext cx="4012161" cy="3109722"/>
                    </a:xfrm>
                    <a:prstGeom prst="rect">
                      <a:avLst/>
                    </a:prstGeom>
                  </pic:spPr>
                </pic:pic>
              </a:graphicData>
            </a:graphic>
          </wp:anchor>
        </w:drawing>
      </w:r>
    </w:p>
    <w:sectPr>
      <w:pgSz w:w="12240" w:h="15840"/>
      <w:pgMar w:top="1380" w:bottom="280" w:left="1340" w:right="13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820" w:hanging="360"/>
        <w:jc w:val="left"/>
      </w:pPr>
      <w:rPr>
        <w:rFonts w:hint="default" w:ascii="Arial" w:hAnsi="Arial" w:eastAsia="Arial" w:cs="Arial"/>
        <w:color w:val="333333"/>
        <w:spacing w:val="-1"/>
        <w:w w:val="100"/>
        <w:sz w:val="20"/>
        <w:szCs w:val="20"/>
      </w:rPr>
    </w:lvl>
    <w:lvl w:ilvl="1">
      <w:start w:val="0"/>
      <w:numFmt w:val="bullet"/>
      <w:lvlText w:val="•"/>
      <w:lvlJc w:val="left"/>
      <w:pPr>
        <w:ind w:left="169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454" w:hanging="360"/>
      </w:pPr>
      <w:rPr>
        <w:rFonts w:hint="default"/>
      </w:rPr>
    </w:lvl>
    <w:lvl w:ilvl="4">
      <w:start w:val="0"/>
      <w:numFmt w:val="bullet"/>
      <w:lvlText w:val="•"/>
      <w:lvlJc w:val="left"/>
      <w:pPr>
        <w:ind w:left="4332" w:hanging="360"/>
      </w:pPr>
      <w:rPr>
        <w:rFonts w:hint="default"/>
      </w:rPr>
    </w:lvl>
    <w:lvl w:ilvl="5">
      <w:start w:val="0"/>
      <w:numFmt w:val="bullet"/>
      <w:lvlText w:val="•"/>
      <w:lvlJc w:val="left"/>
      <w:pPr>
        <w:ind w:left="5210" w:hanging="360"/>
      </w:pPr>
      <w:rPr>
        <w:rFonts w:hint="default"/>
      </w:rPr>
    </w:lvl>
    <w:lvl w:ilvl="6">
      <w:start w:val="0"/>
      <w:numFmt w:val="bullet"/>
      <w:lvlText w:val="•"/>
      <w:lvlJc w:val="left"/>
      <w:pPr>
        <w:ind w:left="6088" w:hanging="360"/>
      </w:pPr>
      <w:rPr>
        <w:rFonts w:hint="default"/>
      </w:rPr>
    </w:lvl>
    <w:lvl w:ilvl="7">
      <w:start w:val="0"/>
      <w:numFmt w:val="bullet"/>
      <w:lvlText w:val="•"/>
      <w:lvlJc w:val="left"/>
      <w:pPr>
        <w:ind w:left="6966" w:hanging="360"/>
      </w:pPr>
      <w:rPr>
        <w:rFonts w:hint="default"/>
      </w:rPr>
    </w:lvl>
    <w:lvl w:ilvl="8">
      <w:start w:val="0"/>
      <w:numFmt w:val="bullet"/>
      <w:lvlText w:val="•"/>
      <w:lvlJc w:val="left"/>
      <w:pPr>
        <w:ind w:left="7844" w:hanging="360"/>
      </w:pPr>
      <w:rPr>
        <w:rFonts w:hint="default"/>
      </w:rPr>
    </w:lvl>
  </w:abstractNum>
  <w:abstractNum w:abstractNumId="1">
    <w:multiLevelType w:val="hybridMultilevel"/>
    <w:lvl w:ilvl="0">
      <w:start w:val="1"/>
      <w:numFmt w:val="decimal"/>
      <w:lvlText w:val="%1."/>
      <w:lvlJc w:val="left"/>
      <w:pPr>
        <w:ind w:left="820" w:hanging="360"/>
        <w:jc w:val="left"/>
      </w:pPr>
      <w:rPr>
        <w:rFonts w:hint="default" w:ascii="Arial" w:hAnsi="Arial" w:eastAsia="Arial" w:cs="Arial"/>
        <w:color w:val="333333"/>
        <w:spacing w:val="-1"/>
        <w:w w:val="100"/>
        <w:sz w:val="20"/>
        <w:szCs w:val="20"/>
      </w:rPr>
    </w:lvl>
    <w:lvl w:ilvl="1">
      <w:start w:val="0"/>
      <w:numFmt w:val="bullet"/>
      <w:lvlText w:val="•"/>
      <w:lvlJc w:val="left"/>
      <w:pPr>
        <w:ind w:left="1698" w:hanging="360"/>
      </w:pPr>
      <w:rPr>
        <w:rFonts w:hint="default"/>
      </w:rPr>
    </w:lvl>
    <w:lvl w:ilvl="2">
      <w:start w:val="0"/>
      <w:numFmt w:val="bullet"/>
      <w:lvlText w:val="•"/>
      <w:lvlJc w:val="left"/>
      <w:pPr>
        <w:ind w:left="2576" w:hanging="360"/>
      </w:pPr>
      <w:rPr>
        <w:rFonts w:hint="default"/>
      </w:rPr>
    </w:lvl>
    <w:lvl w:ilvl="3">
      <w:start w:val="0"/>
      <w:numFmt w:val="bullet"/>
      <w:lvlText w:val="•"/>
      <w:lvlJc w:val="left"/>
      <w:pPr>
        <w:ind w:left="3454" w:hanging="360"/>
      </w:pPr>
      <w:rPr>
        <w:rFonts w:hint="default"/>
      </w:rPr>
    </w:lvl>
    <w:lvl w:ilvl="4">
      <w:start w:val="0"/>
      <w:numFmt w:val="bullet"/>
      <w:lvlText w:val="•"/>
      <w:lvlJc w:val="left"/>
      <w:pPr>
        <w:ind w:left="4332" w:hanging="360"/>
      </w:pPr>
      <w:rPr>
        <w:rFonts w:hint="default"/>
      </w:rPr>
    </w:lvl>
    <w:lvl w:ilvl="5">
      <w:start w:val="0"/>
      <w:numFmt w:val="bullet"/>
      <w:lvlText w:val="•"/>
      <w:lvlJc w:val="left"/>
      <w:pPr>
        <w:ind w:left="5210" w:hanging="360"/>
      </w:pPr>
      <w:rPr>
        <w:rFonts w:hint="default"/>
      </w:rPr>
    </w:lvl>
    <w:lvl w:ilvl="6">
      <w:start w:val="0"/>
      <w:numFmt w:val="bullet"/>
      <w:lvlText w:val="•"/>
      <w:lvlJc w:val="left"/>
      <w:pPr>
        <w:ind w:left="6088" w:hanging="360"/>
      </w:pPr>
      <w:rPr>
        <w:rFonts w:hint="default"/>
      </w:rPr>
    </w:lvl>
    <w:lvl w:ilvl="7">
      <w:start w:val="0"/>
      <w:numFmt w:val="bullet"/>
      <w:lvlText w:val="•"/>
      <w:lvlJc w:val="left"/>
      <w:pPr>
        <w:ind w:left="6966" w:hanging="360"/>
      </w:pPr>
      <w:rPr>
        <w:rFonts w:hint="default"/>
      </w:rPr>
    </w:lvl>
    <w:lvl w:ilvl="8">
      <w:start w:val="0"/>
      <w:numFmt w:val="bullet"/>
      <w:lvlText w:val="•"/>
      <w:lvlJc w:val="left"/>
      <w:pPr>
        <w:ind w:left="7844" w:hanging="360"/>
      </w:pPr>
      <w:rPr>
        <w:rFonts w:hint="default"/>
      </w:rPr>
    </w:lvl>
  </w:abstractNum>
  <w:abstractNum w:abstractNumId="0">
    <w:multiLevelType w:val="hybridMultilevel"/>
    <w:lvl w:ilvl="0">
      <w:start w:val="1"/>
      <w:numFmt w:val="lowerLetter"/>
      <w:lvlText w:val="%1."/>
      <w:lvlJc w:val="left"/>
      <w:pPr>
        <w:ind w:left="1540" w:hanging="360"/>
        <w:jc w:val="left"/>
      </w:pPr>
      <w:rPr>
        <w:rFonts w:hint="default" w:ascii="Arial" w:hAnsi="Arial" w:eastAsia="Arial" w:cs="Arial"/>
        <w:color w:val="333333"/>
        <w:spacing w:val="-1"/>
        <w:w w:val="100"/>
        <w:sz w:val="20"/>
        <w:szCs w:val="20"/>
      </w:rPr>
    </w:lvl>
    <w:lvl w:ilvl="1">
      <w:start w:val="0"/>
      <w:numFmt w:val="bullet"/>
      <w:lvlText w:val="•"/>
      <w:lvlJc w:val="left"/>
      <w:pPr>
        <w:ind w:left="2346" w:hanging="360"/>
      </w:pPr>
      <w:rPr>
        <w:rFonts w:hint="default"/>
      </w:rPr>
    </w:lvl>
    <w:lvl w:ilvl="2">
      <w:start w:val="0"/>
      <w:numFmt w:val="bullet"/>
      <w:lvlText w:val="•"/>
      <w:lvlJc w:val="left"/>
      <w:pPr>
        <w:ind w:left="3152" w:hanging="360"/>
      </w:pPr>
      <w:rPr>
        <w:rFonts w:hint="default"/>
      </w:rPr>
    </w:lvl>
    <w:lvl w:ilvl="3">
      <w:start w:val="0"/>
      <w:numFmt w:val="bullet"/>
      <w:lvlText w:val="•"/>
      <w:lvlJc w:val="left"/>
      <w:pPr>
        <w:ind w:left="3958" w:hanging="360"/>
      </w:pPr>
      <w:rPr>
        <w:rFonts w:hint="default"/>
      </w:rPr>
    </w:lvl>
    <w:lvl w:ilvl="4">
      <w:start w:val="0"/>
      <w:numFmt w:val="bullet"/>
      <w:lvlText w:val="•"/>
      <w:lvlJc w:val="left"/>
      <w:pPr>
        <w:ind w:left="4764" w:hanging="360"/>
      </w:pPr>
      <w:rPr>
        <w:rFonts w:hint="default"/>
      </w:rPr>
    </w:lvl>
    <w:lvl w:ilvl="5">
      <w:start w:val="0"/>
      <w:numFmt w:val="bullet"/>
      <w:lvlText w:val="•"/>
      <w:lvlJc w:val="left"/>
      <w:pPr>
        <w:ind w:left="5570" w:hanging="360"/>
      </w:pPr>
      <w:rPr>
        <w:rFonts w:hint="default"/>
      </w:rPr>
    </w:lvl>
    <w:lvl w:ilvl="6">
      <w:start w:val="0"/>
      <w:numFmt w:val="bullet"/>
      <w:lvlText w:val="•"/>
      <w:lvlJc w:val="left"/>
      <w:pPr>
        <w:ind w:left="6376" w:hanging="360"/>
      </w:pPr>
      <w:rPr>
        <w:rFonts w:hint="default"/>
      </w:rPr>
    </w:lvl>
    <w:lvl w:ilvl="7">
      <w:start w:val="0"/>
      <w:numFmt w:val="bullet"/>
      <w:lvlText w:val="•"/>
      <w:lvlJc w:val="left"/>
      <w:pPr>
        <w:ind w:left="7182" w:hanging="360"/>
      </w:pPr>
      <w:rPr>
        <w:rFonts w:hint="default"/>
      </w:rPr>
    </w:lvl>
    <w:lvl w:ilvl="8">
      <w:start w:val="0"/>
      <w:numFmt w:val="bullet"/>
      <w:lvlText w:val="•"/>
      <w:lvlJc w:val="left"/>
      <w:pPr>
        <w:ind w:left="7988" w:hanging="360"/>
      </w:pPr>
      <w:rPr>
        <w:rFonts w:hint="default"/>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rPr>
  </w:style>
  <w:style w:styleId="BodyText" w:type="paragraph">
    <w:name w:val="Body Text"/>
    <w:basedOn w:val="Normal"/>
    <w:uiPriority w:val="1"/>
    <w:qFormat/>
    <w:pPr/>
    <w:rPr>
      <w:rFonts w:ascii="Arial" w:hAnsi="Arial" w:eastAsia="Arial" w:cs="Arial"/>
      <w:sz w:val="20"/>
      <w:szCs w:val="20"/>
    </w:rPr>
  </w:style>
  <w:style w:styleId="Heading1" w:type="paragraph">
    <w:name w:val="Heading 1"/>
    <w:basedOn w:val="Normal"/>
    <w:uiPriority w:val="1"/>
    <w:qFormat/>
    <w:pPr>
      <w:ind w:left="100"/>
      <w:outlineLvl w:val="1"/>
    </w:pPr>
    <w:rPr>
      <w:rFonts w:ascii="Trebuchet MS" w:hAnsi="Trebuchet MS" w:eastAsia="Trebuchet MS" w:cs="Trebuchet MS"/>
      <w:sz w:val="28"/>
      <w:szCs w:val="28"/>
    </w:rPr>
  </w:style>
  <w:style w:styleId="ListParagraph" w:type="paragraph">
    <w:name w:val="List Paragraph"/>
    <w:basedOn w:val="Normal"/>
    <w:uiPriority w:val="1"/>
    <w:qFormat/>
    <w:pPr>
      <w:spacing w:before="40"/>
      <w:ind w:left="820" w:hanging="360"/>
    </w:pPr>
    <w:rPr>
      <w:rFonts w:ascii="Arial" w:hAnsi="Arial" w:eastAsia="Arial" w:cs="Arial"/>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hyperlink" Target="https://data.colorado.gov/Local-Aggregation/Statewide-Aggregate-Parcels-in-Colorado-2017/izys-vycy" TargetMode="External"/><Relationship Id="rId8" Type="http://schemas.openxmlformats.org/officeDocument/2006/relationships/hyperlink" Target="https://data.colorado.gov/Telecommunications/Community-Anchor-Institutions-2017/ysa7-n95j" TargetMode="External"/><Relationship Id="rId9" Type="http://schemas.openxmlformats.org/officeDocument/2006/relationships/image" Target="media/image3.jpeg"/><Relationship Id="rId10" Type="http://schemas.openxmlformats.org/officeDocument/2006/relationships/hyperlink" Target="http://coloradohazardmapping.com/hazardMapping/floodplainMapping/" TargetMode="External"/><Relationship Id="rId11" Type="http://schemas.openxmlformats.org/officeDocument/2006/relationships/hyperlink" Target="https://hazards-fema.maps.arcgis.com/apps/webappviewer/index.html?id=8b0adb51996444d4879338b5529aa9cd"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data.colorado.gov/Water/National-Hydrography-Dataset-NHD-in-Colorado/5ccs-vx79" TargetMode="External"/><Relationship Id="rId16" Type="http://schemas.openxmlformats.org/officeDocument/2006/relationships/hyperlink" Target="https://data.colorado.gov/Water/Lakes-in-Colorado/uksn-8qya" TargetMode="External"/><Relationship Id="rId17" Type="http://schemas.openxmlformats.org/officeDocument/2006/relationships/hyperlink" Target="https://data.colorado.gov/Water/Streams-in-Colorado/x238-vje7" TargetMode="External"/><Relationship Id="rId18" Type="http://schemas.openxmlformats.org/officeDocument/2006/relationships/hyperlink" Target="https://nhd.usgs.gov/data.html" TargetMode="External"/><Relationship Id="rId19" Type="http://schemas.openxmlformats.org/officeDocument/2006/relationships/hyperlink" Target="https://viewer.nationalmap.gov/basic/" TargetMode="External"/><Relationship Id="rId20" Type="http://schemas.openxmlformats.org/officeDocument/2006/relationships/hyperlink" Target="http://water.state.co.us/DataMaps/GISandMaps/MapViewer/Pages/FAQ.aspx" TargetMode="External"/><Relationship Id="rId21" Type="http://schemas.openxmlformats.org/officeDocument/2006/relationships/hyperlink" Target="https://nhd.usgs.gov/userGuide/Robohelpfiles/NHD_User_Guide/Feature_Catalog/Hydrography_Dataset/Complete_FCode_List.htm" TargetMode="External"/><Relationship Id="rId22" Type="http://schemas.openxmlformats.org/officeDocument/2006/relationships/image" Target="media/image7.jpeg"/><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image" Target="media/image10.jpeg"/><Relationship Id="rId26" Type="http://schemas.openxmlformats.org/officeDocument/2006/relationships/hyperlink" Target="https://data.colorado.gov/Environment/Contour-Lines-in-Colorado/sc9q-ryk8" TargetMode="External"/><Relationship Id="rId27" Type="http://schemas.openxmlformats.org/officeDocument/2006/relationships/hyperlink" Target="https://topotools.cr.usgs.gov/contour_data.php" TargetMode="External"/><Relationship Id="rId28" Type="http://schemas.openxmlformats.org/officeDocument/2006/relationships/hyperlink" Target="https://data.colorado.gov/Transportation/Local-Roads-in-Colorado/qvrk-xsmj" TargetMode="External"/><Relationship Id="rId29" Type="http://schemas.openxmlformats.org/officeDocument/2006/relationships/hyperlink" Target="https://data.colorado.gov/Transportation/Major-Roads-in-Colorado/e7ye-tasg" TargetMode="External"/><Relationship Id="rId30" Type="http://schemas.openxmlformats.org/officeDocument/2006/relationships/hyperlink" Target="https://data.colorado.gov/Transportation/Highways-in-Colorado/2h6w-z9ry" TargetMode="External"/><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2019-11-12T16:20:12Z</dcterms:created>
  <dcterms:modified xsi:type="dcterms:W3CDTF">2019-11-12T16:20:12Z</dcterms:modified>
</cp:coreProperties>
</file>