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spacing w:before="3"/>
        <w:rPr>
          <w:rFonts w:ascii="Times New Roman"/>
          <w:sz w:val="11"/>
        </w:rPr>
      </w:pPr>
    </w:p>
    <w:p>
      <w:pPr>
        <w:pStyle w:val="BodyText"/>
        <w:ind w:left="2761"/>
        <w:rPr>
          <w:rFonts w:ascii="Times New Roman"/>
          <w:sz w:val="20"/>
        </w:rPr>
      </w:pPr>
      <w:r>
        <w:rPr>
          <w:rFonts w:ascii="Times New Roman"/>
          <w:sz w:val="20"/>
        </w:rPr>
        <w:drawing>
          <wp:inline distT="0" distB="0" distL="0" distR="0">
            <wp:extent cx="2556518" cy="129444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556518" cy="1294447"/>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15"/>
        </w:rPr>
      </w:pPr>
    </w:p>
    <w:p>
      <w:pPr>
        <w:spacing w:after="0"/>
        <w:rPr>
          <w:rFonts w:ascii="Times New Roman"/>
          <w:sz w:val="15"/>
        </w:rPr>
        <w:sectPr>
          <w:type w:val="continuous"/>
          <w:pgSz w:w="12240" w:h="15840"/>
          <w:pgMar w:top="1460" w:bottom="280" w:left="1340" w:right="1340"/>
        </w:sectPr>
      </w:pPr>
    </w:p>
    <w:p>
      <w:pPr>
        <w:pStyle w:val="BodyText"/>
        <w:rPr>
          <w:rFonts w:ascii="Times New Roman"/>
          <w:sz w:val="24"/>
        </w:rPr>
      </w:pPr>
    </w:p>
    <w:p>
      <w:pPr>
        <w:pStyle w:val="BodyText"/>
        <w:rPr>
          <w:rFonts w:ascii="Times New Roman"/>
          <w:sz w:val="24"/>
        </w:rPr>
      </w:pPr>
    </w:p>
    <w:p>
      <w:pPr>
        <w:spacing w:before="212"/>
        <w:ind w:left="100" w:right="0" w:firstLine="0"/>
        <w:jc w:val="left"/>
        <w:rPr>
          <w:sz w:val="22"/>
        </w:rPr>
      </w:pPr>
      <w:r>
        <w:rPr>
          <w:b/>
          <w:sz w:val="22"/>
        </w:rPr>
        <w:t>Last updated:</w:t>
      </w:r>
      <w:r>
        <w:rPr>
          <w:b/>
          <w:spacing w:val="-18"/>
          <w:sz w:val="22"/>
        </w:rPr>
        <w:t> </w:t>
      </w:r>
      <w:r>
        <w:rPr>
          <w:sz w:val="22"/>
        </w:rPr>
        <w:t>3/12/2019</w:t>
      </w:r>
    </w:p>
    <w:p>
      <w:pPr>
        <w:spacing w:before="100"/>
        <w:ind w:left="-1" w:right="0" w:firstLine="0"/>
        <w:jc w:val="left"/>
        <w:rPr>
          <w:rFonts w:ascii="Trebuchet MS"/>
          <w:sz w:val="40"/>
        </w:rPr>
      </w:pPr>
      <w:r>
        <w:rPr/>
        <w:br w:type="column"/>
      </w:r>
      <w:r>
        <w:rPr>
          <w:rFonts w:ascii="Trebuchet MS"/>
          <w:sz w:val="40"/>
        </w:rPr>
        <w:t>City of Fort Collins Data</w:t>
      </w:r>
    </w:p>
    <w:p>
      <w:pPr>
        <w:spacing w:after="0"/>
        <w:jc w:val="left"/>
        <w:rPr>
          <w:rFonts w:ascii="Trebuchet MS"/>
          <w:sz w:val="40"/>
        </w:rPr>
        <w:sectPr>
          <w:type w:val="continuous"/>
          <w:pgSz w:w="12240" w:h="15840"/>
          <w:pgMar w:top="1460" w:bottom="280" w:left="1340" w:right="1340"/>
          <w:cols w:num="2" w:equalWidth="0">
            <w:col w:w="2581" w:space="40"/>
            <w:col w:w="6939"/>
          </w:cols>
        </w:sectPr>
      </w:pPr>
    </w:p>
    <w:p>
      <w:pPr>
        <w:pStyle w:val="BodyText"/>
        <w:spacing w:before="11"/>
        <w:rPr>
          <w:rFonts w:ascii="Trebuchet MS"/>
          <w:sz w:val="21"/>
        </w:rPr>
      </w:pPr>
    </w:p>
    <w:p>
      <w:pPr>
        <w:pStyle w:val="BodyText"/>
        <w:spacing w:line="285" w:lineRule="auto" w:before="93"/>
        <w:ind w:left="100" w:right="173"/>
      </w:pPr>
      <w:r>
        <w:rPr/>
        <w:t>The goal of </w:t>
      </w:r>
      <w:hyperlink r:id="rId7">
        <w:r>
          <w:rPr>
            <w:color w:val="1154CC"/>
            <w:u w:val="single" w:color="1154CC"/>
          </w:rPr>
          <w:t>Fort Collins OpenData</w:t>
        </w:r>
        <w:r>
          <w:rPr>
            <w:color w:val="1154CC"/>
          </w:rPr>
          <w:t> </w:t>
        </w:r>
      </w:hyperlink>
      <w:r>
        <w:rPr/>
        <w:t>is to maintain a web portal to host data sets that are available to the public in a format that citizens can easily search, filter, and utilize in innovative and creative ways. Making data available allows citizens to learn about the City, help make decisions, and be a part of creating solutions.</w:t>
      </w:r>
    </w:p>
    <w:p>
      <w:pPr>
        <w:pStyle w:val="BodyText"/>
        <w:rPr>
          <w:sz w:val="26"/>
        </w:rPr>
      </w:pPr>
    </w:p>
    <w:p>
      <w:pPr>
        <w:pStyle w:val="Heading1"/>
      </w:pPr>
      <w:r>
        <w:rPr/>
        <w:t>City of Fort Collins Overview of Relevant Datasets</w:t>
      </w:r>
    </w:p>
    <w:p>
      <w:pPr>
        <w:pStyle w:val="BodyText"/>
        <w:spacing w:line="285" w:lineRule="auto" w:before="61"/>
        <w:ind w:left="100" w:right="173"/>
      </w:pPr>
      <w:r>
        <w:rPr/>
        <w:t>The City of Fort Collins </w:t>
      </w:r>
      <w:hyperlink r:id="rId8">
        <w:r>
          <w:rPr>
            <w:color w:val="1154CC"/>
            <w:u w:val="single" w:color="1154CC"/>
          </w:rPr>
          <w:t>open data portal</w:t>
        </w:r>
        <w:r>
          <w:rPr>
            <w:color w:val="1154CC"/>
          </w:rPr>
          <w:t> </w:t>
        </w:r>
      </w:hyperlink>
      <w:r>
        <w:rPr/>
        <w:t>contains a wide variety of datasets that may be applicable to this challenge, including datasets focused on:</w:t>
      </w:r>
    </w:p>
    <w:p>
      <w:pPr>
        <w:pStyle w:val="ListParagraph"/>
        <w:numPr>
          <w:ilvl w:val="0"/>
          <w:numId w:val="1"/>
        </w:numPr>
        <w:tabs>
          <w:tab w:pos="819" w:val="left" w:leader="none"/>
          <w:tab w:pos="820" w:val="left" w:leader="none"/>
        </w:tabs>
        <w:spacing w:line="251" w:lineRule="exact" w:before="0" w:after="0"/>
        <w:ind w:left="820" w:right="0" w:hanging="360"/>
        <w:jc w:val="left"/>
        <w:rPr>
          <w:sz w:val="22"/>
        </w:rPr>
      </w:pPr>
      <w:r>
        <w:rPr>
          <w:sz w:val="22"/>
        </w:rPr>
        <w:t>Culture and</w:t>
      </w:r>
      <w:r>
        <w:rPr>
          <w:spacing w:val="-3"/>
          <w:sz w:val="22"/>
        </w:rPr>
        <w:t> </w:t>
      </w:r>
      <w:r>
        <w:rPr>
          <w:sz w:val="22"/>
        </w:rPr>
        <w:t>Recreation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Economic</w:t>
      </w:r>
      <w:r>
        <w:rPr>
          <w:spacing w:val="-2"/>
          <w:sz w:val="22"/>
        </w:rPr>
        <w:t> </w:t>
      </w:r>
      <w:r>
        <w:rPr>
          <w:sz w:val="22"/>
        </w:rPr>
        <w:t>Health</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Environmental</w:t>
      </w:r>
      <w:r>
        <w:rPr>
          <w:spacing w:val="-2"/>
          <w:sz w:val="22"/>
        </w:rPr>
        <w:t> </w:t>
      </w:r>
      <w:r>
        <w:rPr>
          <w:sz w:val="22"/>
        </w:rPr>
        <w:t>Health</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Safe</w:t>
      </w:r>
      <w:r>
        <w:rPr>
          <w:spacing w:val="-2"/>
          <w:sz w:val="22"/>
        </w:rPr>
        <w:t> </w:t>
      </w:r>
      <w:r>
        <w:rPr>
          <w:sz w:val="22"/>
        </w:rPr>
        <w:t>Community</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Transportation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High Performing</w:t>
      </w:r>
      <w:r>
        <w:rPr>
          <w:spacing w:val="-3"/>
          <w:sz w:val="22"/>
        </w:rPr>
        <w:t> </w:t>
      </w:r>
      <w:r>
        <w:rPr>
          <w:sz w:val="22"/>
        </w:rPr>
        <w:t>Government</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Strategic</w:t>
      </w:r>
      <w:r>
        <w:rPr>
          <w:spacing w:val="-2"/>
          <w:sz w:val="22"/>
        </w:rPr>
        <w:t> </w:t>
      </w:r>
      <w:r>
        <w:rPr>
          <w:sz w:val="22"/>
        </w:rPr>
        <w:t>Plans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City Council</w:t>
      </w:r>
      <w:r>
        <w:rPr>
          <w:spacing w:val="-3"/>
          <w:sz w:val="22"/>
        </w:rPr>
        <w:t> </w:t>
      </w:r>
      <w:r>
        <w:rPr>
          <w:sz w:val="22"/>
        </w:rPr>
        <w:t>Meetings</w:t>
      </w:r>
    </w:p>
    <w:p>
      <w:pPr>
        <w:spacing w:after="0" w:line="240" w:lineRule="auto"/>
        <w:jc w:val="left"/>
        <w:rPr>
          <w:sz w:val="22"/>
        </w:rPr>
        <w:sectPr>
          <w:type w:val="continuous"/>
          <w:pgSz w:w="12240" w:h="15840"/>
          <w:pgMar w:top="1460" w:bottom="280" w:left="1340" w:right="1340"/>
        </w:sectPr>
      </w:pPr>
    </w:p>
    <w:p>
      <w:pPr>
        <w:pStyle w:val="Heading1"/>
        <w:spacing w:before="87"/>
      </w:pPr>
      <w:r>
        <w:rPr/>
        <w:t>How to Get Started</w:t>
      </w:r>
    </w:p>
    <w:p>
      <w:pPr>
        <w:pStyle w:val="BodyText"/>
        <w:spacing w:line="285" w:lineRule="auto" w:before="61"/>
        <w:ind w:left="100"/>
      </w:pPr>
      <w:r>
        <w:rPr/>
        <w:t>Fort Collins data can be accessed on </w:t>
      </w:r>
      <w:hyperlink r:id="rId8">
        <w:r>
          <w:rPr>
            <w:color w:val="1154CC"/>
            <w:u w:val="single" w:color="1154CC"/>
          </w:rPr>
          <w:t>opendata.fcgov.com</w:t>
        </w:r>
        <w:r>
          <w:rPr>
            <w:color w:val="1154CC"/>
          </w:rPr>
          <w:t> </w:t>
        </w:r>
      </w:hyperlink>
      <w:r>
        <w:rPr/>
        <w:t>and on </w:t>
      </w:r>
      <w:hyperlink r:id="rId9">
        <w:r>
          <w:rPr>
            <w:color w:val="1154CC"/>
            <w:u w:val="single" w:color="1154CC"/>
          </w:rPr>
          <w:t>data.colorado.gov</w:t>
        </w:r>
      </w:hyperlink>
      <w:r>
        <w:rPr/>
        <w:t>. The layout of the two websites in nearly identical, as both are powered by Socrata. The City of Fort Collins also has its own </w:t>
      </w:r>
      <w:hyperlink r:id="rId10">
        <w:r>
          <w:rPr>
            <w:color w:val="1154CC"/>
            <w:u w:val="single" w:color="1154CC"/>
          </w:rPr>
          <w:t>map-specific website</w:t>
        </w:r>
      </w:hyperlink>
      <w:r>
        <w:rPr/>
        <w:t>, where pre-prepared map data can be visualized and exported for further explanation.</w:t>
      </w:r>
    </w:p>
    <w:p>
      <w:pPr>
        <w:pStyle w:val="BodyText"/>
        <w:rPr>
          <w:sz w:val="24"/>
        </w:rPr>
      </w:pPr>
    </w:p>
    <w:p>
      <w:pPr>
        <w:pStyle w:val="BodyText"/>
        <w:spacing w:before="1"/>
        <w:rPr>
          <w:sz w:val="28"/>
        </w:rPr>
      </w:pPr>
    </w:p>
    <w:p>
      <w:pPr>
        <w:pStyle w:val="Heading1"/>
        <w:spacing w:before="1"/>
      </w:pPr>
      <w:r>
        <w:rPr/>
        <w:t>Metadata</w:t>
      </w:r>
    </w:p>
    <w:p>
      <w:pPr>
        <w:pStyle w:val="BodyText"/>
        <w:spacing w:before="61"/>
        <w:ind w:left="100"/>
      </w:pPr>
      <w:r>
        <w:rPr/>
        <w:t>Metadata can be found under the “About” tab when viewing any dataset.</w:t>
      </w:r>
    </w:p>
    <w:p>
      <w:pPr>
        <w:pStyle w:val="BodyText"/>
        <w:rPr>
          <w:sz w:val="24"/>
        </w:rPr>
      </w:pPr>
    </w:p>
    <w:p>
      <w:pPr>
        <w:pStyle w:val="BodyText"/>
        <w:spacing w:before="6"/>
        <w:rPr>
          <w:sz w:val="32"/>
        </w:rPr>
      </w:pPr>
    </w:p>
    <w:p>
      <w:pPr>
        <w:pStyle w:val="Heading1"/>
        <w:spacing w:before="1"/>
      </w:pPr>
      <w:r>
        <w:rPr/>
        <w:t>Solar Installations Data</w:t>
      </w:r>
    </w:p>
    <w:p>
      <w:pPr>
        <w:pStyle w:val="BodyText"/>
        <w:spacing w:line="285" w:lineRule="auto" w:before="61"/>
        <w:ind w:left="100" w:right="173"/>
      </w:pPr>
      <w:r>
        <w:rPr/>
        <w:t>The </w:t>
      </w:r>
      <w:hyperlink r:id="rId11">
        <w:r>
          <w:rPr>
            <w:color w:val="1154CC"/>
            <w:u w:val="single" w:color="1154CC"/>
          </w:rPr>
          <w:t>Solar Installations Data</w:t>
        </w:r>
        <w:r>
          <w:rPr>
            <w:color w:val="1154CC"/>
          </w:rPr>
          <w:t> </w:t>
        </w:r>
      </w:hyperlink>
      <w:r>
        <w:rPr/>
        <w:t>includes all solar (photovoltaic) systems interconnected with Fort Collins Utilities distribution system and includes three fields: the date of service, system address, and solar system capacity (kilowatts-DC).</w:t>
      </w:r>
    </w:p>
    <w:p>
      <w:pPr>
        <w:pStyle w:val="BodyText"/>
        <w:spacing w:before="8"/>
        <w:rPr>
          <w:sz w:val="24"/>
        </w:rPr>
      </w:pPr>
      <w:r>
        <w:rPr/>
        <w:drawing>
          <wp:anchor distT="0" distB="0" distL="0" distR="0" allowOverlap="1" layoutInCell="1" locked="0" behindDoc="0" simplePos="0" relativeHeight="0">
            <wp:simplePos x="0" y="0"/>
            <wp:positionH relativeFrom="page">
              <wp:posOffset>1771650</wp:posOffset>
            </wp:positionH>
            <wp:positionV relativeFrom="paragraph">
              <wp:posOffset>205399</wp:posOffset>
            </wp:positionV>
            <wp:extent cx="4248247" cy="243030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248247" cy="2430303"/>
                    </a:xfrm>
                    <a:prstGeom prst="rect">
                      <a:avLst/>
                    </a:prstGeom>
                  </pic:spPr>
                </pic:pic>
              </a:graphicData>
            </a:graphic>
          </wp:anchor>
        </w:drawing>
      </w:r>
    </w:p>
    <w:p>
      <w:pPr>
        <w:pStyle w:val="BodyText"/>
        <w:spacing w:before="8"/>
        <w:rPr>
          <w:sz w:val="35"/>
        </w:rPr>
      </w:pPr>
    </w:p>
    <w:p>
      <w:pPr>
        <w:pStyle w:val="Heading1"/>
      </w:pPr>
      <w:r>
        <w:rPr/>
        <w:t>Bikeway System Map</w:t>
      </w:r>
    </w:p>
    <w:p>
      <w:pPr>
        <w:pStyle w:val="BodyText"/>
        <w:spacing w:line="285" w:lineRule="auto" w:before="62"/>
        <w:ind w:left="100" w:right="173"/>
      </w:pPr>
      <w:r>
        <w:rPr/>
        <w:t>Fort Collins is proud of its bike infrastructure and culture, and has provided a </w:t>
      </w:r>
      <w:hyperlink r:id="rId13">
        <w:r>
          <w:rPr>
            <w:color w:val="1154CC"/>
            <w:u w:val="single" w:color="1154CC"/>
          </w:rPr>
          <w:t>map of their</w:t>
        </w:r>
      </w:hyperlink>
      <w:r>
        <w:rPr>
          <w:color w:val="1154CC"/>
        </w:rPr>
        <w:t> </w:t>
      </w:r>
      <w:hyperlink r:id="rId13">
        <w:r>
          <w:rPr>
            <w:color w:val="1154CC"/>
            <w:u w:val="single" w:color="1154CC"/>
          </w:rPr>
          <w:t>bikeway system.</w:t>
        </w:r>
        <w:r>
          <w:rPr>
            <w:color w:val="1154CC"/>
          </w:rPr>
          <w:t> </w:t>
        </w:r>
      </w:hyperlink>
      <w:r>
        <w:rPr/>
        <w:t>Users may find this information applicable to the smart cities challenge category.</w:t>
      </w:r>
    </w:p>
    <w:p>
      <w:pPr>
        <w:spacing w:after="0" w:line="285" w:lineRule="auto"/>
        <w:sectPr>
          <w:pgSz w:w="12240" w:h="15840"/>
          <w:pgMar w:top="1360" w:bottom="280" w:left="1340" w:right="1340"/>
        </w:sectPr>
      </w:pPr>
    </w:p>
    <w:p>
      <w:pPr>
        <w:pStyle w:val="BodyText"/>
        <w:ind w:left="2425"/>
        <w:rPr>
          <w:sz w:val="20"/>
        </w:rPr>
      </w:pPr>
      <w:r>
        <w:rPr>
          <w:sz w:val="20"/>
        </w:rPr>
        <w:drawing>
          <wp:inline distT="0" distB="0" distL="0" distR="0">
            <wp:extent cx="3075301" cy="16478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075301" cy="1647825"/>
                    </a:xfrm>
                    <a:prstGeom prst="rect">
                      <a:avLst/>
                    </a:prstGeom>
                  </pic:spPr>
                </pic:pic>
              </a:graphicData>
            </a:graphic>
          </wp:inline>
        </w:drawing>
      </w:r>
      <w:r>
        <w:rPr>
          <w:sz w:val="20"/>
        </w:rPr>
      </w:r>
    </w:p>
    <w:p>
      <w:pPr>
        <w:pStyle w:val="BodyText"/>
        <w:spacing w:before="8"/>
        <w:rPr>
          <w:sz w:val="25"/>
        </w:rPr>
      </w:pPr>
    </w:p>
    <w:p>
      <w:pPr>
        <w:pStyle w:val="BodyText"/>
        <w:spacing w:before="93"/>
        <w:ind w:left="100"/>
      </w:pPr>
      <w:r>
        <w:rPr/>
        <w:t>The data can be exported in BMP, JPG, PNG, TIFF, GeoTIFF, and pdf.</w:t>
      </w:r>
    </w:p>
    <w:p>
      <w:pPr>
        <w:pStyle w:val="BodyText"/>
        <w:rPr>
          <w:sz w:val="24"/>
        </w:rPr>
      </w:pPr>
    </w:p>
    <w:p>
      <w:pPr>
        <w:pStyle w:val="BodyText"/>
        <w:spacing w:before="6"/>
        <w:rPr>
          <w:sz w:val="32"/>
        </w:rPr>
      </w:pPr>
    </w:p>
    <w:p>
      <w:pPr>
        <w:pStyle w:val="Heading1"/>
      </w:pPr>
      <w:r>
        <w:rPr/>
        <w:t>City of Fort Collins Community Performance Measurement Dashboard</w:t>
      </w:r>
    </w:p>
    <w:p>
      <w:pPr>
        <w:pStyle w:val="BodyText"/>
        <w:spacing w:line="285" w:lineRule="auto" w:before="62"/>
        <w:ind w:left="100"/>
      </w:pPr>
      <w:r>
        <w:rPr/>
        <w:drawing>
          <wp:anchor distT="0" distB="0" distL="0" distR="0" allowOverlap="1" layoutInCell="1" locked="0" behindDoc="0" simplePos="0" relativeHeight="1">
            <wp:simplePos x="0" y="0"/>
            <wp:positionH relativeFrom="page">
              <wp:posOffset>2028825</wp:posOffset>
            </wp:positionH>
            <wp:positionV relativeFrom="paragraph">
              <wp:posOffset>627606</wp:posOffset>
            </wp:positionV>
            <wp:extent cx="3668145" cy="259080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3668145" cy="2590800"/>
                    </a:xfrm>
                    <a:prstGeom prst="rect">
                      <a:avLst/>
                    </a:prstGeom>
                  </pic:spPr>
                </pic:pic>
              </a:graphicData>
            </a:graphic>
          </wp:anchor>
        </w:drawing>
      </w:r>
      <w:r>
        <w:rPr/>
        <w:t>The City of Fort Collins </w:t>
      </w:r>
      <w:hyperlink r:id="rId16">
        <w:r>
          <w:rPr>
            <w:color w:val="1154CC"/>
            <w:u w:val="single" w:color="1154CC"/>
          </w:rPr>
          <w:t>Community Dashboard</w:t>
        </w:r>
        <w:r>
          <w:rPr>
            <w:color w:val="1154CC"/>
          </w:rPr>
          <w:t> </w:t>
        </w:r>
      </w:hyperlink>
      <w:r>
        <w:rPr/>
        <w:t>is a quarterly snapshot of the community’s progress in attaining key outcomes. This Dashboard reinforces the City of Fort Collins’ steadfast commitment to accountability and continuous improvement.</w:t>
      </w:r>
    </w:p>
    <w:p>
      <w:pPr>
        <w:pStyle w:val="BodyText"/>
        <w:spacing w:line="285" w:lineRule="auto" w:before="109"/>
        <w:ind w:left="100" w:right="173"/>
      </w:pPr>
      <w:r>
        <w:rPr/>
        <w:t>Users may find this data useful for many purposes. For example, the Neighborhood Livability and Social Health category on the dashboard tracks key metrics such as housing inventory, housing costs, graffiti removal, and code compliance to measure and track Neighborhood Livability. Progress towards environmental health is determined by tracking energy use, air quality, and wastewater treatment effectiveness.</w:t>
      </w:r>
    </w:p>
    <w:p>
      <w:pPr>
        <w:pStyle w:val="BodyText"/>
        <w:spacing w:before="11"/>
        <w:rPr>
          <w:sz w:val="25"/>
        </w:rPr>
      </w:pPr>
    </w:p>
    <w:p>
      <w:pPr>
        <w:pStyle w:val="Heading1"/>
      </w:pPr>
      <w:r>
        <w:rPr/>
        <w:t>City Buildings Energy Star Score</w:t>
      </w:r>
    </w:p>
    <w:p>
      <w:pPr>
        <w:pStyle w:val="BodyText"/>
        <w:spacing w:line="285" w:lineRule="auto" w:before="62"/>
        <w:ind w:left="100"/>
      </w:pPr>
      <w:r>
        <w:rPr/>
        <w:t>This map contains data on </w:t>
      </w:r>
      <w:hyperlink r:id="rId17">
        <w:r>
          <w:rPr>
            <w:color w:val="1154CC"/>
            <w:u w:val="single" w:color="1154CC"/>
          </w:rPr>
          <w:t>city-owned building Energy Star scores</w:t>
        </w:r>
        <w:r>
          <w:rPr>
            <w:color w:val="1154CC"/>
          </w:rPr>
          <w:t> </w:t>
        </w:r>
      </w:hyperlink>
      <w:r>
        <w:rPr/>
        <w:t>from 2016. The data can be exported to KML, KMZ, shapefile, and GeoJSON. Users may find this data relevant to the smart cities challenge category.</w:t>
      </w:r>
    </w:p>
    <w:p>
      <w:pPr>
        <w:spacing w:after="0" w:line="285" w:lineRule="auto"/>
        <w:sectPr>
          <w:pgSz w:w="12240" w:h="15840"/>
          <w:pgMar w:top="1460" w:bottom="280" w:left="1340" w:right="1340"/>
        </w:sectPr>
      </w:pPr>
    </w:p>
    <w:p>
      <w:pPr>
        <w:pStyle w:val="BodyText"/>
        <w:ind w:left="2515"/>
        <w:rPr>
          <w:sz w:val="20"/>
        </w:rPr>
      </w:pPr>
      <w:r>
        <w:rPr>
          <w:sz w:val="20"/>
        </w:rPr>
        <w:drawing>
          <wp:inline distT="0" distB="0" distL="0" distR="0">
            <wp:extent cx="2884564" cy="250250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2884564" cy="2502503"/>
                    </a:xfrm>
                    <a:prstGeom prst="rect">
                      <a:avLst/>
                    </a:prstGeom>
                  </pic:spPr>
                </pic:pic>
              </a:graphicData>
            </a:graphic>
          </wp:inline>
        </w:drawing>
      </w:r>
      <w:r>
        <w:rPr>
          <w:sz w:val="20"/>
        </w:rPr>
      </w:r>
    </w:p>
    <w:p>
      <w:pPr>
        <w:pStyle w:val="BodyText"/>
        <w:rPr>
          <w:sz w:val="20"/>
        </w:rPr>
      </w:pPr>
    </w:p>
    <w:p>
      <w:pPr>
        <w:pStyle w:val="BodyText"/>
        <w:rPr>
          <w:sz w:val="20"/>
        </w:rPr>
      </w:pPr>
    </w:p>
    <w:p>
      <w:pPr>
        <w:pStyle w:val="Heading1"/>
        <w:spacing w:before="236"/>
      </w:pPr>
      <w:r>
        <w:rPr/>
        <w:t>Much More</w:t>
      </w:r>
    </w:p>
    <w:p>
      <w:pPr>
        <w:pStyle w:val="BodyText"/>
        <w:spacing w:line="285" w:lineRule="auto" w:before="61"/>
        <w:ind w:left="100" w:right="5515"/>
      </w:pPr>
      <w:r>
        <w:rPr/>
        <w:t>Make sure to explore these sites: </w:t>
      </w:r>
      <w:hyperlink r:id="rId7">
        <w:r>
          <w:rPr>
            <w:color w:val="1154CC"/>
            <w:u w:val="single" w:color="1154CC"/>
          </w:rPr>
          <w:t>https://www.fcgov.com/opendata/</w:t>
        </w:r>
      </w:hyperlink>
      <w:r>
        <w:rPr>
          <w:color w:val="1154CC"/>
        </w:rPr>
        <w:t> </w:t>
      </w:r>
      <w:hyperlink r:id="rId19">
        <w:r>
          <w:rPr>
            <w:color w:val="1154CC"/>
            <w:u w:val="single" w:color="1154CC"/>
          </w:rPr>
          <w:t>https://www.fcgov.com/gis/maps.php</w:t>
        </w:r>
      </w:hyperlink>
      <w:r>
        <w:rPr>
          <w:color w:val="1154CC"/>
        </w:rPr>
        <w:t> </w:t>
      </w:r>
      <w:hyperlink r:id="rId20">
        <w:r>
          <w:rPr>
            <w:color w:val="1154CC"/>
            <w:u w:val="single" w:color="1154CC"/>
          </w:rPr>
          <w:t>https://data.colorado.gov/</w:t>
        </w:r>
      </w:hyperlink>
      <w:r>
        <w:rPr>
          <w:color w:val="1154CC"/>
        </w:rPr>
        <w:t> </w:t>
      </w:r>
      <w:hyperlink r:id="rId21">
        <w:r>
          <w:rPr>
            <w:color w:val="1154CC"/>
            <w:u w:val="single" w:color="1154CC"/>
          </w:rPr>
          <w:t>https://fortcollins.clearpointstrategy.com/</w:t>
        </w:r>
      </w:hyperlink>
    </w:p>
    <w:sectPr>
      <w:pgSz w:w="12240" w:h="15840"/>
      <w:pgMar w:top="14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spacing w:before="47"/>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fcgov.com/opendata/" TargetMode="External"/><Relationship Id="rId8" Type="http://schemas.openxmlformats.org/officeDocument/2006/relationships/hyperlink" Target="https://opendata.fcgov.com/" TargetMode="External"/><Relationship Id="rId9" Type="http://schemas.openxmlformats.org/officeDocument/2006/relationships/hyperlink" Target="https://data.colorado.gov/browse?federation_filter=1999" TargetMode="External"/><Relationship Id="rId10" Type="http://schemas.openxmlformats.org/officeDocument/2006/relationships/hyperlink" Target="https://gisweb.fcgov.com/HTML5Viewer/Index.html?viewer=FCMaps" TargetMode="External"/><Relationship Id="rId11" Type="http://schemas.openxmlformats.org/officeDocument/2006/relationships/hyperlink" Target="https://opendata.fcgov.com/Environmental-Health/Solar-Installations/3ku5-x4k9" TargetMode="External"/><Relationship Id="rId12" Type="http://schemas.openxmlformats.org/officeDocument/2006/relationships/image" Target="media/image3.jpeg"/><Relationship Id="rId13" Type="http://schemas.openxmlformats.org/officeDocument/2006/relationships/hyperlink" Target="https://gisweb.fcgov.com/HTML5Viewer/Index.html?Viewer=FCMaps&amp;amp;layerTheme=Bikeway%20System"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fortcollins.clearpointstrategy.com/" TargetMode="External"/><Relationship Id="rId17" Type="http://schemas.openxmlformats.org/officeDocument/2006/relationships/hyperlink" Target="https://opendata.fcgov.com/High-Performing-Government/City-Buildings-Energy-Star-Score/2x5v-i6zb" TargetMode="External"/><Relationship Id="rId18" Type="http://schemas.openxmlformats.org/officeDocument/2006/relationships/image" Target="media/image6.jpeg"/><Relationship Id="rId19" Type="http://schemas.openxmlformats.org/officeDocument/2006/relationships/hyperlink" Target="https://www.fcgov.com/gis/maps.php" TargetMode="External"/><Relationship Id="rId20" Type="http://schemas.openxmlformats.org/officeDocument/2006/relationships/hyperlink" Target="https://data.colorado.gov/" TargetMode="External"/><Relationship Id="rId21" Type="http://schemas.openxmlformats.org/officeDocument/2006/relationships/hyperlink" Target="https://fortcollins.clearpointstrategy.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2019-11-12T16:20:19Z</dcterms:created>
  <dcterms:modified xsi:type="dcterms:W3CDTF">2019-11-12T16:20:19Z</dcterms:modified>
</cp:coreProperties>
</file>