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MARCO TEÓRICO</w:t>
      </w:r>
    </w:p>
    <w:p>
      <w:pPr>
        <w:pStyle w:val="Heading2"/>
      </w:pPr>
      <w:r>
        <w:t>2.1  Marco Conceptual</w:t>
      </w:r>
    </w:p>
    <w:p>
      <w:pPr>
        <w:pStyle w:val="Heading3"/>
      </w:pPr>
      <w:r>
        <w:t xml:space="preserve">2.1.1  El Proceso de Producción Instruccional</w:t>
      </w:r>
    </w:p>
    <w:p>
      <w:r>
        <w:t>En esta sección se describen los elementos que componen el proceso de producción de cursos virtuales en una institución de educación superior: los documentos de entrada que definen el curso y los artefactos que se producen a lo largo del proceso.</w:t>
      </w:r>
    </w:p>
    <w:p>
      <w:r>
        <w:rPr>
          <w:b w:val="0"/>
        </w:rPr>
        <w:t xml:space="preserve">Se describen los documentos e insumos que intervienen en el proceso de producción instruccional. El proceso parte de dos documentos de entrada: el </w:t>
      </w:r>
      <w:r>
        <w:rPr>
          <w:b/>
        </w:rPr>
        <w:t>sílabo</w:t>
      </w:r>
      <w:r>
        <w:rPr>
          <w:b w:val="0"/>
        </w:rPr>
        <w:t xml:space="preserve">, documento oficial del curso que establece su estructura académica (unidades, semanas, temas y logros de aprendizaje), y el </w:t>
      </w:r>
      <w:r>
        <w:rPr>
          <w:b/>
        </w:rPr>
        <w:t>kickoff</w:t>
      </w:r>
      <w:r>
        <w:rPr>
          <w:b w:val="0"/>
        </w:rPr>
        <w:t xml:space="preserve"> o acta de reunión de inicio, que recoge los acuerdos pedagógicos previos a la producción (perfil del estudiante, enfoque didáctico y criterios específicos del curso). A partir de estos insumos, el proceso genera tres artefactos de forma secuencial: el </w:t>
      </w:r>
      <w:r>
        <w:rPr>
          <w:b/>
        </w:rPr>
        <w:t>IPES</w:t>
      </w:r>
      <w:r>
        <w:rPr>
          <w:b w:val="0"/>
        </w:rPr>
        <w:t xml:space="preserve"> (Introducción, Presentaciones y Ejercicios), documento de planificación instruccional semanal que actúa como hoja de ruta del contenido a producir; el </w:t>
      </w:r>
      <w:r>
        <w:rPr>
          <w:b/>
        </w:rPr>
        <w:t>Material Base</w:t>
      </w:r>
      <w:r>
        <w:rPr>
          <w:b w:val="0"/>
        </w:rPr>
        <w:t xml:space="preserve">, que constituye el contenido final que consumen los estudiantes (guiones de video, separatas, recursos interactivos); y las </w:t>
      </w:r>
      <w:r>
        <w:rPr>
          <w:b/>
        </w:rPr>
        <w:t>Consignas</w:t>
      </w:r>
      <w:r>
        <w:rPr>
          <w:b w:val="0"/>
        </w:rPr>
        <w:t>, instrumentos formales de evaluación que definen cómo se valorará el desempeño del estudiante en las actividades calificadas.</w:t>
      </w:r>
    </w:p>
    <w:p>
      <w:pPr>
        <w:pStyle w:val="Heading3"/>
      </w:pPr>
      <w:r>
        <w:t xml:space="preserve">2.1.2  Agentes de IA</w:t>
      </w:r>
    </w:p>
    <w:p>
      <w:r>
        <w:t>Se presentan los conceptos que conforman la capa de inteligencia artificial del sistema: el mecanismo de instrucción de los modelos, la estructura de sus salidas, la especialización por agente, el control de flujo y el framework de orquestación.</w:t>
      </w:r>
    </w:p>
    <w:p>
      <w:pPr>
        <w:pStyle w:val="Heading4"/>
      </w:pPr>
      <w:r>
        <w:t>Prompt Engineering</w:t>
      </w:r>
    </w:p>
    <w:p>
      <w:r>
        <w:t>El diseño de prompts es la principal interfaz de programación con los modelos de lenguaje grandes. En este trabajo, cada agente del sistema está definido por un prompt que especifica su rol, sus reglas obligatorias y sus lineamientos de criterio. Se explicará por qué es relevante para esta tesis:</w:t>
      </w:r>
    </w:p>
    <w:p>
      <w:pPr>
        <w:pStyle w:val="ListBullet"/>
      </w:pPr>
      <w:r>
        <w:t>Qué es un prompt y la separación entre system prompt (instrucciones permanentes de rol y reglas) y user prompt (contexto variable de cada ejecución).</w:t>
      </w:r>
    </w:p>
    <w:p>
      <w:pPr>
        <w:pStyle w:val="ListBullet"/>
      </w:pPr>
      <w:r>
        <w:t>El patrón de hard rules vs. soft guidelines: reglas no negociables que el agente debe respetar siempre, versus lineamientos donde aplica criterio propio. Este patrón gobierna todos los agentes del sistema.</w:t>
      </w:r>
    </w:p>
    <w:p>
      <w:pPr>
        <w:pStyle w:val="ListBullet"/>
      </w:pPr>
      <w:r>
        <w:t>El proceso iterativo de refinamiento de prompts con validación por expertos como metodología de desarrollo de la capa de IA (Wei et al., 2022).</w:t>
      </w:r>
    </w:p>
    <w:p>
      <w:pPr>
        <w:pStyle w:val="Heading4"/>
      </w:pPr>
      <w:r>
        <w:t>Structured Outputs (Salidas Estructuradas)</w:t>
      </w:r>
    </w:p>
    <w:p>
      <w:r>
        <w:t>Para que la solución funcione como pipeline encadenado, cada agente debe producir datos en formato JSON validado, no texto libre. Se explicará por qué es fundamental en esta tesis:</w:t>
      </w:r>
    </w:p>
    <w:p>
      <w:pPr>
        <w:pStyle w:val="ListBullet"/>
      </w:pPr>
      <w:r>
        <w:t>JSON mode / structured output: el modelo es forzado a producir un JSON que cumple un esquema predefinido (OpenAI, 2024; Google DeepMind, 2024). Permite que el output de un agente sea el input directo del siguiente.</w:t>
      </w:r>
    </w:p>
    <w:p>
      <w:pPr>
        <w:pStyle w:val="ListBullet"/>
      </w:pPr>
      <w:r>
        <w:t>Pydantic como contrato de datos: cada agente define su modelo de entrada y salida mediante clases Pydantic, garantizando tipos y campos correctos en toda la cadena de producción.</w:t>
      </w:r>
    </w:p>
    <w:p>
      <w:pPr>
        <w:pStyle w:val="Heading4"/>
      </w:pPr>
      <w:r>
        <w:t>Sistemas Multi-Agente</w:t>
      </w:r>
    </w:p>
    <w:p>
      <w:r>
        <w:t>El sistema distribuye la generación de contenido entre múltiples agentes especializados en lugar de un único agente generalista. Se explicará por qué este enfoque es relevante para esta tesis:</w:t>
      </w:r>
    </w:p>
    <w:p>
      <w:pPr>
        <w:pStyle w:val="ListBullet"/>
      </w:pPr>
      <w:r>
        <w:t>Qué es un agente de IA: una instancia de un modelo de lenguaje con un rol, instrucciones y responsabilidad específica.</w:t>
      </w:r>
    </w:p>
    <w:p>
      <w:pPr>
        <w:pStyle w:val="ListBullet"/>
      </w:pPr>
      <w:r>
        <w:t>Por qué especializar: un agente con una sola responsabilidad bien definida produce resultados más precisos y confiables. En este sistema, agentes distintos manejan el parseo, el esquema curricular, la generación de contenido y la validación de calidad (Park et al., 2023).</w:t>
      </w:r>
    </w:p>
    <w:p>
      <w:pPr>
        <w:pStyle w:val="Heading4"/>
      </w:pPr>
      <w:r>
        <w:t>Nodos y Grafos de Estado</w:t>
      </w:r>
    </w:p>
    <w:p>
      <w:r>
        <w:t>La orquestación de agentes en el sistema se implementa como un grafo de estado dirigido, donde cada nodo representa un paso de procesamiento. Se explicará por qué es relevante para esta tesis:</w:t>
      </w:r>
    </w:p>
    <w:p>
      <w:pPr>
        <w:pStyle w:val="ListBullet"/>
      </w:pPr>
      <w:r>
        <w:t>Un nodo como unidad de procesamiento: puede invocar un LLM, ejecutar código determinístico o tomar una decisión condicional. El estado es compartido entre todos los nodos del grafo.</w:t>
      </w:r>
    </w:p>
    <w:p>
      <w:pPr>
        <w:pStyle w:val="ListBullet"/>
      </w:pPr>
      <w:r>
        <w:t>Aristas condicionales y ciclos de reintento: el flujo puede bifurcarse según el resultado de un nodo (validación pasa → continuar, validación falla → reintentar con feedback). Este mecanismo es el que garantiza el cumplimiento de restricciones pedagógicas.</w:t>
      </w:r>
    </w:p>
    <w:p>
      <w:pPr>
        <w:pStyle w:val="Heading4"/>
      </w:pPr>
      <w:r>
        <w:t>Agent Framework: LangChain y LangGraph</w:t>
      </w:r>
    </w:p>
    <w:p>
      <w:r>
        <w:t>LangChain y LangGraph son las herramientas de orquestación sobre las que se implementó el sistema. Se explicará por qué son relevantes para esta tesis:</w:t>
      </w:r>
    </w:p>
    <w:p>
      <w:pPr>
        <w:pStyle w:val="ListBullet"/>
      </w:pPr>
      <w:r>
        <w:t>LangChain: capa de abstracción sobre múltiples proveedores de LLM (OpenAI, Google Gemini) que estandariza la invocación de modelos, el manejo de prompts y el procesamiento de outputs.</w:t>
      </w:r>
    </w:p>
    <w:p>
      <w:pPr>
        <w:pStyle w:val="ListBullet"/>
      </w:pPr>
      <w:r>
        <w:t>LangGraph: extensión de LangChain que implementa grafos de estado dirigidos, habilitando flujos condicionales, ciclos de reintento y estado compartido entre nodos. Supera al prompt chaining simple al permitir lógica de control real sobre el flujo de generación (Chase, 2024).</w:t>
      </w:r>
    </w:p>
    <w:p>
      <w:pPr>
        <w:pStyle w:val="Heading4"/>
      </w:pPr>
      <w:r>
        <w:t>Python como ecosistema de desarrollo de IA</w:t>
      </w:r>
    </w:p>
    <w:p>
      <w:r>
        <w:t>Python es el lenguaje de implementación del backend. Ya que nos permite tener lo siguiente:</w:t>
      </w:r>
    </w:p>
    <w:p>
      <w:pPr>
        <w:pStyle w:val="ListBullet"/>
      </w:pPr>
      <w:r>
        <w:t>Ecosistema: concentra las bibliotecas más utilizadas para modelos de lenguaje (LangChain, LangGraph), procesamiento documental (pdfplumber, python-docx, pandas) y exposición de APIs (FastAPI).</w:t>
      </w:r>
    </w:p>
    <w:p>
      <w:pPr>
        <w:pStyle w:val="ListBullet"/>
      </w:pPr>
      <w:r>
        <w:t>FastAPI y Pydantic: FastAPI expone los agentes como endpoints HTTP; Pydantic valida los modelos de datos y hace cumplir los structured outputs en toda la cadena de agentes.</w:t>
      </w:r>
    </w:p>
    <w:p>
      <w:pPr>
        <w:pStyle w:val="Heading3"/>
      </w:pPr>
      <w:r>
        <w:t xml:space="preserve">2.1.3  Infraestructura Backend</w:t>
      </w:r>
    </w:p>
    <w:p>
      <w:r>
        <w:t>Se presentan los conceptos de arquitectura de software y servicios cloud que soportan la ejecución del sistema en producción.</w:t>
      </w:r>
    </w:p>
    <w:p>
      <w:pPr>
        <w:pStyle w:val="Heading4"/>
      </w:pPr>
      <w:r>
        <w:t>Backend</w:t>
      </w:r>
    </w:p>
    <w:p>
      <w:r>
        <w:t>El backend de una aplicación es la capa de software responsable de procesar la lógica de negocio, gestionar el acceso a datos y exponer servicios a los clientes mediante interfaces de red —típicamente APIs HTTP—. A diferencia del frontend, que gestiona la presentación e interacción con el usuario, el backend concentra el procesamiento, la persistencia y la seguridad del sistema (Richardson, 2018).</w:t>
      </w:r>
    </w:p>
    <w:p>
      <w:pPr>
        <w:pStyle w:val="Heading4"/>
      </w:pPr>
      <w:r>
        <w:t>Arquitectura del Sistema</w:t>
      </w:r>
    </w:p>
    <w:p>
      <w:r>
        <w:t>La arquitectura de software define cómo los componentes de un sistema se organizan, comunican y escalan para cumplir los requisitos funcionales y no funcionales (Richardson, 2018). En sistemas que procesan tareas de duración media o prolongada, la arquitectura incorpora capas especializadas: un punto de entrada que gestiona las solicitudes, un motor de cómputo que ejecuta el procesamiento, y componentes de mensajería que desacoplan la recepción de una solicitud de su ejecución efectiva.</w:t>
      </w:r>
    </w:p>
    <w:p>
      <w:pPr>
        <w:pStyle w:val="Heading4"/>
      </w:pPr>
      <w:r>
        <w:t>Procesamiento Asíncrono</w:t>
      </w:r>
    </w:p>
    <w:p>
      <w:r>
        <w:t>El procesamiento asíncrono es el patrón arquitectónico que desacopla la recepción de una solicitud de su ejecución. En un modelo síncrono, el cliente espera bloqueado hasta recibir respuesta; para tareas de duración prolongada esto genera timeouts inaceptables (Kleppmann, 2017). En el modelo asíncrono, el cliente recibe una confirmación inmediata y el trabajo se ejecuta en segundo plano; al finalizar, el sistema notifica al cliente a través de un webhook o servicio de mensajería. Este patrón sigue el modelo productor-consumidor: una cola de mensajes actúa como intermediario entre quien solicita el trabajo y quien lo ejecuta (Richardson, 2018).</w:t>
      </w:r>
    </w:p>
    <w:p>
      <w:pPr>
        <w:pStyle w:val="Heading4"/>
      </w:pPr>
      <w:r>
        <w:t>Amazon Web Services (AWS)</w:t>
      </w:r>
    </w:p>
    <w:p>
      <w:r>
        <w:t>Amazon Web Services (AWS) es la plataforma cloud seleccionada para el despliegue de la infraestructura backend del sistema. AWS ofrece un ecosistema de servicios gestionados bajo un modelo de pago por uso que abarca cómputo serverless, mensajería, almacenamiento y gestión de APIs, lo que reduce la complejidad operativa frente a infraestructura autogestionada (Wittig &amp; Wittig, 2018). Para implementar la arquitectura asíncrona descrita, el sistema utiliza cuatro servicios de AWS: un servicio de gestión y exposición de APIs HTTP (Amazon API Gateway), un motor de cómputo serverless que ejecuta el pipeline de agentes (AWS Lambda), un servicio de cola de mensajes que actúa como buffer de trabajos (Amazon SQS) y un sistema de notificaciones pub/sub que comunica la finalización del procesamiento (Amazon SNS). La configuración e integración específica de cada uno de estos servicios se describe en el Capítulo 3.</w:t>
      </w:r>
    </w:p>
    <w:p>
      <w:pPr>
        <w:pStyle w:val="Heading2"/>
      </w:pPr>
      <w:r>
        <w:t>2.2  Estándares, Frameworks y Buenas Prácticas</w:t>
      </w:r>
    </w:p>
    <w:p>
      <w:pPr>
        <w:pStyle w:val="Heading3"/>
      </w:pPr>
      <w:r>
        <w:t xml:space="preserve">2.2.1  Taxonomía de Bloom</w:t>
      </w:r>
    </w:p>
    <w:p>
      <w:r>
        <w:t>La Taxonomía de Bloom, en su revisión de Anderson &amp; Krathwohl (2001), constituye el marco central de clasificación de objetivos de aprendizaje sobre el que el sistema fundamenta sus decisiones de selección de recursos. Se explicará en detalle dado su rol estructural en la lógica del sistema. Los puntos a cubrir son:</w:t>
      </w:r>
    </w:p>
    <w:p>
      <w:pPr>
        <w:pStyle w:val="ListBullet"/>
      </w:pPr>
      <w:r>
        <w:t>Los seis niveles cognitivos y sus verbos asociados (Recordar, Comprender, Aplicar, Analizar, Evaluar, Crear), según la revisión de Anderson &amp; Krathwohl (2001) sobre la taxonomía original de Bloom et al. (1956).</w:t>
      </w:r>
    </w:p>
    <w:p>
      <w:pPr>
        <w:pStyle w:val="ListBullet"/>
      </w:pPr>
      <w:r>
        <w:t>Cómo el verbo del logro de aprendizaje semanal determina el tipo de recurso a utilizar: la tabla verbo × densidad de contenido → tipo de recurso que el sistema aplica en cada semana del curso.</w:t>
      </w:r>
    </w:p>
    <w:p>
      <w:pPr>
        <w:pStyle w:val="ListBullet"/>
      </w:pPr>
      <w:r>
        <w:t>La jerarquía de logros: Logro del Curso → Logro de Unidad → Logro de Semana → Propósito del Recurso, y por qué cada nivel debe ser consistente con el superior (principio de alineación vertical).</w:t>
      </w:r>
    </w:p>
    <w:p>
      <w:pPr>
        <w:pStyle w:val="ListBullet"/>
      </w:pPr>
      <w:r>
        <w:t>La distinción entre contenido procedimental (requiere recurso demostrativo), teórico (requiere recurso expositivo) y básico (flexible), y cómo el verbo del logro permite identificar cada tipo.</w:t>
      </w:r>
    </w:p>
    <w:p>
      <w:pPr>
        <w:pStyle w:val="Heading3"/>
      </w:pPr>
      <w:r>
        <w:t xml:space="preserve">2.2.2  SCRUM en equipos multidisciplinarios</w:t>
      </w:r>
    </w:p>
    <w:p>
      <w:r>
        <w:t>Se explicará el framework SCRUM (Schwaber &amp; Sutherland, 2020) y su aplicación en un equipo compuesto por perfiles de distintas disciplinas (ingeniería de software, diseño instruccional, expertos temáticos). Los puntos a cubrir son:</w:t>
      </w:r>
    </w:p>
    <w:p>
      <w:pPr>
        <w:pStyle w:val="ListBullet"/>
      </w:pPr>
      <w:r>
        <w:t>Qué es SCRUM: framework ágil de desarrollo iterativo e incremental basado en sprints de duración fija, revisiones constantes y adaptación continua (Schwaber &amp; Sutherland, 2020).</w:t>
      </w:r>
    </w:p>
    <w:p>
      <w:pPr>
        <w:pStyle w:val="ListBullet"/>
      </w:pPr>
      <w:r>
        <w:t>Por qué SCRUM es adecuado para proyectos de IA: la calidad del output de un sistema LLM es desconocida hasta que se prueba con datos reales; los ciclos cortos permiten detectar y corregir problemas de prompt y arquitectura rápidamente.</w:t>
      </w:r>
    </w:p>
    <w:p>
      <w:pPr>
        <w:pStyle w:val="ListBullet"/>
      </w:pPr>
      <w:r>
        <w:t>La dimensión multidisciplinaria: el equipo integró roles de desarrollo (backend, frontend) con roles instruccionales (LxD, Docente Revisor), lo que exige una coordinación explícita y roles bien definidos dentro del sprint.</w:t>
      </w:r>
    </w:p>
    <w:p>
      <w:pPr>
        <w:pStyle w:val="ListBullet"/>
      </w:pPr>
      <w:r>
        <w:t>El rol del Docente Revisor como validador en cada sprint: cada iteración de prompts se valida con expertos reales, no solo con métricas automáticas.</w:t>
      </w:r>
    </w:p>
    <w:p>
      <w:pPr>
        <w:pStyle w:val="Heading2"/>
      </w:pPr>
      <w:r>
        <w:t>2.3  Bases Legales y Marco Normativo</w:t>
      </w:r>
    </w:p>
    <w:p>
      <w:pPr>
        <w:pStyle w:val="Heading3"/>
      </w:pPr>
      <w:r>
        <w:t>2.3.1  Ley de Protección de Datos Personales (Ley 29733 — Perú)</w:t>
      </w:r>
    </w:p>
    <w:p>
      <w:pPr/>
      <w:r>
        <w:t>La Ley N.° 29733, Ley de Protección de Datos Personales (2011), y su Reglamento aprobado mediante D.S. N.° 003-2013-JUS, constituyen el marco normativo vigente en el Perú para el tratamiento de datos de carácter personal. La norma establece los principios de legalidad, consentimiento informado, finalidad, proporcionalidad y seguridad como ejes rectores de todo procesamiento. Su autoridad de supervisión es la Autoridad Nacional de Protección de Datos Personales (ANPDP), adscrita al Ministerio de Justicia y Derechos Humanos, con facultad sancionadora ante infracciones.</w:t>
      </w:r>
    </w:p>
    <w:p>
      <w:pPr/>
      <w:r>
        <w:t>En el contexto del sistema desarrollado, la normativa resulta aplicable dado que el proceso instruccional involucra documentos institucionales que pueden contener referencias a personas identificables, como docentes y coordinadores académicos. Por ello, el diseño del sistema contempla: (i) procesamiento en entornos controlados sin almacenamiento persistente de datos personales; (ii) tratamiento de los documentos de entrada como insumos transitorios que no son indexados ni cedidos a terceros; y (iii) alineación con el principio de minimización de datos, procesando únicamente la información estrictamente necesaria para la generación de los materiales instruccionales.</w:t>
      </w:r>
    </w:p>
    <w:p>
      <w:pPr>
        <w:pStyle w:val="Heading2"/>
      </w:pPr>
      <w:r>
        <w:t>Referencias del Capítulo</w:t>
      </w:r>
    </w:p>
    <w:p>
      <w:r>
        <w:t>Anderson, L. W., &amp; Krathwohl, D. R. (2001). A Taxonomy for Learning, Teaching, and Assessing: A Revision of Bloom's Taxonomy of Educational Objectives. Longman.</w:t>
      </w:r>
    </w:p>
    <w:p>
      <w:r>
        <w:t>Amazon Web Services. (2024). AWS Documentation. https://docs.aws.amazon.com</w:t>
      </w:r>
    </w:p>
    <w:p>
      <w:r>
        <w:t>Bloom, B. S., Engelhart, M. D., Furst, E. J., Hill, W. H., &amp; Krathwohl, D. R. (1956). Taxonomy of Educational Objectives: The Classification of Educational Goals. David McKay.</w:t>
      </w:r>
    </w:p>
    <w:p>
      <w:r>
        <w:t>Brown, T. B., Mann, B., Ryder, N., Subbiah, M., Kaplan, J., Dhariwal, P., &amp; Amodei, D. (2020). Language models are few-shot learners. Advances in Neural Information Processing Systems, 33, 1877–1901.</w:t>
      </w:r>
    </w:p>
    <w:p>
      <w:r>
        <w:t>Chase, H. (2024). LangGraph: Building stateful, multi-actor applications with LLMs. LangChain, Inc. https://langchain-ai.github.io/langgraph/</w:t>
      </w:r>
    </w:p>
    <w:p>
      <w:r>
        <w:t>Kleppmann, M. (2017). Designing Data-Intensive Applications: The Big Ideas Behind Reliable, Scalable, and Maintainable Systems. O'Reilly Media.</w:t>
      </w:r>
    </w:p>
    <w:p>
      <w:r>
        <w:t>Liu, P., Yuan, W., Fu, J., Jiang, Z., Hayashi, H., &amp; Neubig, G. (2023). Pre-train, prompt, and predict: A systematic survey of prompting methods in natural language processing. ACM Computing Surveys, 55(9), 1–35.</w:t>
      </w:r>
    </w:p>
    <w:p>
      <w:r>
        <w:t>OpenAI. (2024). Structured outputs. OpenAI Platform Documentation. https://platform.openai.com/docs/guides/structured-outputs</w:t>
      </w:r>
    </w:p>
    <w:p>
      <w:r>
        <w:t>Park, J. S., O'Brien, J. C., Cai, C. J., Morris, M. R., Liang, P., &amp; Bernstein, M. S. (2023). Generative agents: Interactive simulacra of human behavior. Proceedings of the 36th Annual ACM Symposium on User Interface Software and Technology (UIST).</w:t>
      </w:r>
    </w:p>
    <w:p>
      <w:r>
        <w:t>Raschka, S., Patterson, J., &amp; Nolet, C. (2020). Machine learning in Python: Main developments and technology trends in data science, machine learning, and artificial intelligence. Information, 11(4), 193.</w:t>
      </w:r>
    </w:p>
    <w:p>
      <w:r>
        <w:t>Richardson, C. (2018). Microservices Patterns: With Examples in Java. Manning Publications.</w:t>
      </w:r>
    </w:p>
    <w:p>
      <w:r>
        <w:t>Rigby, D. K., Sutherland, J., &amp; Takeuchi, H. (2016). Embracing agile. Harvard Business Review, 94(5), 40–50.</w:t>
      </w:r>
    </w:p>
    <w:p>
      <w:r>
        <w:t>Schwaber, K., &amp; Sutherland, J. (2020). The Scrum Guide. Scrum.org. https://scrumguides.org/scrum-guide.html</w:t>
      </w:r>
    </w:p>
    <w:p>
      <w:r>
        <w:t>Wei, J., Wang, X., Schuurmans, D., Bosma, M., Xia, F., Chi, E., &amp; Zhou, D. (2022). Chain-of-thought prompting elicits reasoning in large language models. Advances in Neural Information Processing Systems, 35, 24824–24837.</w:t>
      </w:r>
    </w:p>
    <w:p>
      <w:r>
        <w:t>Wittig, M., &amp; Wittig, A. (2018). Amazon Web Services in Action (2nd ed.). Manning Publications.</w:t>
      </w:r>
    </w:p>
    <w:p>
      <w:r>
        <w:t>Wu, Q., Bansal, G., Zhang, J., Wu, Y., Li, B., Zhu, E., &amp; Wang, C. (2023). AutoGen: Enabling next-gen LLM applications via multi-agent conversation. arXiv preprint arXiv:2308.08155.</w:t>
      </w:r>
    </w:p>
    <w:p>
      <w:r>
        <w:t>Yao, S., Zhao, J., Yu, D., Du, N., Shafran, I., Narasimhan, K., &amp; Cao, Y. (2023). ReAct: Synergizing reasoning and acting in language models. International Conference on Learning Representations (ICLR).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