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2F556A" w14:textId="77777777" w:rsidR="00C63DA2" w:rsidRDefault="001A780D">
      <w:pPr>
        <w:pStyle w:val="Ttulo1"/>
      </w:pPr>
      <w:r>
        <w:t>CAPÍTULO 2: MARCO TEÓRICO</w:t>
      </w:r>
    </w:p>
    <w:p w14:paraId="2DEC86DF" w14:textId="77777777" w:rsidR="00C63DA2" w:rsidRDefault="001A780D">
      <w:pPr>
        <w:pStyle w:val="Ttulo2"/>
      </w:pPr>
      <w:r>
        <w:t>2.1  El Proceso de Producción Instruccional</w:t>
      </w:r>
    </w:p>
    <w:p w14:paraId="65FED7CD" w14:textId="77777777" w:rsidR="00C63DA2" w:rsidRDefault="001A780D">
      <w:pPr>
        <w:spacing w:after="120"/>
      </w:pPr>
      <w:r>
        <w:rPr>
          <w:b/>
        </w:rPr>
        <w:t>En esta sección se describen los elementos que componen el proceso de producción de cursos virtuales en una institución de educación superior: los roles del equipo, los documentos de entrada que definen el curso</w:t>
      </w:r>
      <w:r>
        <w:t>, los artefactos que se producen y el catálogo de tipos de recursos educativos.</w:t>
      </w:r>
    </w:p>
    <w:p w14:paraId="7CA9B58D" w14:textId="77777777" w:rsidR="00C63DA2" w:rsidRDefault="001A780D">
      <w:pPr>
        <w:pStyle w:val="Ttulo3"/>
      </w:pPr>
      <w:r>
        <w:t>2.1.1  Roles del equipo de producción</w:t>
      </w:r>
    </w:p>
    <w:p w14:paraId="15A6D983" w14:textId="77777777" w:rsidR="00C63DA2" w:rsidRDefault="001A780D">
      <w:pPr>
        <w:spacing w:after="120"/>
      </w:pPr>
      <w:r>
        <w:t>Se explicará cada uno de los perfiles que intervienen en el proceso de virtualización de cursos, su responsabilidad específica dentro del flujo de producción y la relación entre ellos. Los roles a desarrollar son:</w:t>
      </w:r>
    </w:p>
    <w:p w14:paraId="3CF330A9" w14:textId="77777777" w:rsidR="00C63DA2" w:rsidRDefault="001A780D">
      <w:pPr>
        <w:pStyle w:val="Listaconvietas"/>
        <w:spacing w:after="60"/>
      </w:pPr>
      <w:r>
        <w:rPr>
          <w:b/>
        </w:rPr>
        <w:t xml:space="preserve">DDA (Dirección de Diseño Académico): </w:t>
      </w:r>
      <w:r>
        <w:t>Rol con visión macro del proceso de producción. Puede intervenir y tomar decisiones sobre cualquier curso en cualquier momento. No necesariamente es experto en el contenido de cada asignatura.</w:t>
      </w:r>
    </w:p>
    <w:p w14:paraId="589E9477" w14:textId="77777777" w:rsidR="00C63DA2" w:rsidRDefault="001A780D">
      <w:pPr>
        <w:pStyle w:val="Listaconvietas"/>
        <w:spacing w:after="60"/>
      </w:pPr>
      <w:r>
        <w:rPr>
          <w:b/>
        </w:rPr>
        <w:t xml:space="preserve">LxD (Learning Designer / Diseñador Instruccional): </w:t>
      </w:r>
      <w:r>
        <w:t>Profesional que diseña la estructura instruccional del curso. Conoce cómo debe estructurarse un curso pero no es el experto en la materia. Es quien genera el IPES.</w:t>
      </w:r>
    </w:p>
    <w:p w14:paraId="56B28799" w14:textId="77777777" w:rsidR="00C63DA2" w:rsidRDefault="001A780D">
      <w:pPr>
        <w:pStyle w:val="Listaconvietas"/>
        <w:spacing w:after="60"/>
      </w:pPr>
      <w:r>
        <w:rPr>
          <w:b/>
        </w:rPr>
        <w:t xml:space="preserve">Docente Virtualizador / Experto Temático: </w:t>
      </w:r>
      <w:r>
        <w:t>Experto en el contenido de la asignatura y responsable de crear los materiales instruccionales. Es el rol que el sistema replica mediante IA.</w:t>
      </w:r>
    </w:p>
    <w:p w14:paraId="1A08E7C7" w14:textId="77777777" w:rsidR="00C63DA2" w:rsidRDefault="001A780D">
      <w:pPr>
        <w:pStyle w:val="Listaconvietas"/>
        <w:spacing w:after="60"/>
      </w:pPr>
      <w:r>
        <w:rPr>
          <w:b/>
        </w:rPr>
        <w:t xml:space="preserve">Docente Revisor: </w:t>
      </w:r>
      <w:r>
        <w:t>Experto que revisa y valida los materiales generados —ya sea por humanos o por IA— antes de que pasen a producción. Es el validador final de calidad.</w:t>
      </w:r>
    </w:p>
    <w:p w14:paraId="62B0860C" w14:textId="77777777" w:rsidR="00C63DA2" w:rsidRDefault="001A780D">
      <w:pPr>
        <w:pStyle w:val="Listaconvietas"/>
        <w:spacing w:after="60"/>
      </w:pPr>
      <w:r>
        <w:rPr>
          <w:b/>
        </w:rPr>
        <w:t xml:space="preserve">Área de Evaluación: </w:t>
      </w:r>
      <w:r>
        <w:t>Equipo especializado en la construcción de instrumentos de evaluación (consignas, rúbricas, listas de cotejo). Verifica que las actividades calificadas estén bien construidas pedagógicamente.</w:t>
      </w:r>
    </w:p>
    <w:p w14:paraId="29136283" w14:textId="77777777" w:rsidR="00C63DA2" w:rsidRDefault="00C63DA2"/>
    <w:p w14:paraId="67B7017F" w14:textId="77777777" w:rsidR="00C63DA2" w:rsidRDefault="001A780D">
      <w:pPr>
        <w:pStyle w:val="Ttulo3"/>
      </w:pPr>
      <w:r>
        <w:t>2.1.2  Documentos de entrada: Sílabo y Kickoff</w:t>
      </w:r>
    </w:p>
    <w:p w14:paraId="72C15108" w14:textId="77777777" w:rsidR="00C63DA2" w:rsidRDefault="001A780D">
      <w:pPr>
        <w:spacing w:after="120"/>
      </w:pPr>
      <w:r>
        <w:t>Se describirán los dos documentos que el sistema recibe como entrada y que concentran toda la información necesaria para producir el contenido de un curso:</w:t>
      </w:r>
    </w:p>
    <w:p w14:paraId="7D4E8F52" w14:textId="77777777" w:rsidR="00C63DA2" w:rsidRDefault="001A780D">
      <w:pPr>
        <w:pStyle w:val="Listaconvietas"/>
        <w:spacing w:after="60"/>
      </w:pPr>
      <w:r>
        <w:rPr>
          <w:b/>
        </w:rPr>
        <w:t xml:space="preserve">Sílabo: </w:t>
      </w:r>
      <w:r>
        <w:t>Documento oficial del curso (formato Excel) que contiene la estructura académica: unidades, semanas, temas, logros de aprendizaje y actividades calificadas. Es la fuente de verdad estructural del curso.</w:t>
      </w:r>
    </w:p>
    <w:p w14:paraId="49DD40E3" w14:textId="77777777" w:rsidR="00C63DA2" w:rsidRDefault="001A780D">
      <w:pPr>
        <w:pStyle w:val="Listaconvietas"/>
        <w:spacing w:after="60"/>
      </w:pPr>
      <w:r>
        <w:rPr>
          <w:b/>
        </w:rPr>
        <w:t xml:space="preserve">Kickoff / Acta de Reunión de Inicio: </w:t>
      </w:r>
      <w:r>
        <w:t>Documento que recoge los acuerdos tomados entre el equipo académico y el experto antes de iniciar la producción. Incluye: perfil del estudiante, enfoque de diseño (teórico / práctico / mixto), temas complejos, fórmula de evaluación y criterios específicos del curso. Contiene información que el sílabo no recoge y que condiciona decisiones de diseño.</w:t>
      </w:r>
    </w:p>
    <w:p w14:paraId="480F274C" w14:textId="77777777" w:rsidR="00C63DA2" w:rsidRDefault="00C63DA2"/>
    <w:p w14:paraId="0863587E" w14:textId="77777777" w:rsidR="00C63DA2" w:rsidRDefault="001A780D">
      <w:pPr>
        <w:pStyle w:val="Ttulo3"/>
      </w:pPr>
      <w:r>
        <w:lastRenderedPageBreak/>
        <w:t>2.1.3  Artefactos producidos: IPES, Material Base y Consignas</w:t>
      </w:r>
    </w:p>
    <w:p w14:paraId="664690FE" w14:textId="77777777" w:rsidR="00C63DA2" w:rsidRDefault="001A780D">
      <w:pPr>
        <w:spacing w:after="120"/>
      </w:pPr>
      <w:r>
        <w:t>Se explicarán los tres artefactos principales que produce el proceso de virtualización, con énfasis en la relación secuencial entre ellos:</w:t>
      </w:r>
    </w:p>
    <w:p w14:paraId="3C355B75" w14:textId="77777777" w:rsidR="00C63DA2" w:rsidRDefault="001A780D">
      <w:pPr>
        <w:pStyle w:val="Listaconvietas"/>
        <w:spacing w:after="60"/>
      </w:pPr>
      <w:r>
        <w:rPr>
          <w:b/>
        </w:rPr>
        <w:t xml:space="preserve">IPES (Introducción, Presentaciones y Ejercicios): </w:t>
      </w:r>
      <w:r>
        <w:t>Primer output del sistema. Documento de planificación instruccional por semana que define la situación de apertura, los recursos de presentación con su tipo y propósito, y el ejercicio de la semana (calificado o no calificado). El IPES no es el contenido final; es la hoja de ruta que indica qué producir.</w:t>
      </w:r>
    </w:p>
    <w:p w14:paraId="660262A8" w14:textId="77777777" w:rsidR="00C63DA2" w:rsidRDefault="001A780D">
      <w:pPr>
        <w:pStyle w:val="Listaconvietas"/>
        <w:spacing w:after="60"/>
      </w:pPr>
      <w:r>
        <w:rPr>
          <w:b/>
        </w:rPr>
        <w:t xml:space="preserve">Material Base / Base Content: </w:t>
      </w:r>
      <w:r>
        <w:t>Último output del proceso. Usando el IPES como entrada, se genera el contenido real que consumirán los estudiantes: guiones de narración para videos, texto de separatas y manuales, pantallas para recursos interactivos, instrucciones y resoluciones de ejercicios. Es el artefacto final de la cadena de producción.</w:t>
      </w:r>
    </w:p>
    <w:p w14:paraId="048FA7FE" w14:textId="77777777" w:rsidR="00C63DA2" w:rsidRDefault="001A780D">
      <w:pPr>
        <w:pStyle w:val="Listaconvietas"/>
        <w:spacing w:after="60"/>
      </w:pPr>
      <w:r>
        <w:rPr>
          <w:b/>
        </w:rPr>
        <w:t xml:space="preserve">Consignas: </w:t>
      </w:r>
      <w:r>
        <w:t>Instrumentos de evaluación formales: rúbricas, listas de cotejo y escalas de valoración. Definen cómo se evaluará el desempeño del estudiante en las actividades calificadas. Son revisados por el Área de Evaluación.</w:t>
      </w:r>
    </w:p>
    <w:p w14:paraId="162C7067" w14:textId="77777777" w:rsidR="00C63DA2" w:rsidRDefault="00C63DA2"/>
    <w:p w14:paraId="41E0CA94" w14:textId="77777777" w:rsidR="00C63DA2" w:rsidRDefault="001A780D">
      <w:pPr>
        <w:pStyle w:val="Ttulo3"/>
      </w:pPr>
      <w:r>
        <w:t>2.1.4  Catálogo de recursos educativos</w:t>
      </w:r>
    </w:p>
    <w:p w14:paraId="67C85B37" w14:textId="77777777" w:rsidR="00C63DA2" w:rsidRDefault="001A780D">
      <w:pPr>
        <w:spacing w:after="120"/>
      </w:pPr>
      <w:r>
        <w:t>Se presentará el conjunto de tipos de recursos educativos que el sistema maneja. La clasificación de recursos es institucional: cada universidad puede definir su propio catálogo; el sistema utiliza el de la institución donde se validó el proyecto.</w:t>
      </w:r>
    </w:p>
    <w:tbl>
      <w:tblPr>
        <w:tblStyle w:val="Tablaconcuadrcula"/>
        <w:tblW w:w="0" w:type="auto"/>
        <w:tblLook w:val="04A0" w:firstRow="1" w:lastRow="0" w:firstColumn="1" w:lastColumn="0" w:noHBand="0" w:noVBand="1"/>
      </w:tblPr>
      <w:tblGrid>
        <w:gridCol w:w="4561"/>
        <w:gridCol w:w="4561"/>
      </w:tblGrid>
      <w:tr w:rsidR="00C63DA2" w14:paraId="451D3CB2" w14:textId="77777777">
        <w:tc>
          <w:tcPr>
            <w:tcW w:w="4561" w:type="dxa"/>
            <w:shd w:val="clear" w:color="auto" w:fill="1F3864"/>
          </w:tcPr>
          <w:p w14:paraId="0C6049D1" w14:textId="77777777" w:rsidR="00C63DA2" w:rsidRDefault="001A780D">
            <w:r>
              <w:rPr>
                <w:b/>
                <w:color w:val="FFFFFF"/>
              </w:rPr>
              <w:t>Tipo de Recurso</w:t>
            </w:r>
          </w:p>
        </w:tc>
        <w:tc>
          <w:tcPr>
            <w:tcW w:w="4561" w:type="dxa"/>
            <w:shd w:val="clear" w:color="auto" w:fill="1F3864"/>
          </w:tcPr>
          <w:p w14:paraId="64FC7B90" w14:textId="77777777" w:rsidR="00C63DA2" w:rsidRDefault="001A780D">
            <w:r>
              <w:rPr>
                <w:b/>
                <w:color w:val="FFFFFF"/>
              </w:rPr>
              <w:t>Categoría</w:t>
            </w:r>
          </w:p>
        </w:tc>
      </w:tr>
      <w:tr w:rsidR="00C63DA2" w14:paraId="362A2ABA" w14:textId="77777777">
        <w:tc>
          <w:tcPr>
            <w:tcW w:w="4561" w:type="dxa"/>
          </w:tcPr>
          <w:p w14:paraId="0DAE5C66" w14:textId="77777777" w:rsidR="00C63DA2" w:rsidRDefault="001A780D">
            <w:r>
              <w:t>H5P</w:t>
            </w:r>
          </w:p>
        </w:tc>
        <w:tc>
          <w:tcPr>
            <w:tcW w:w="4561" w:type="dxa"/>
          </w:tcPr>
          <w:p w14:paraId="751B5F76" w14:textId="77777777" w:rsidR="00C63DA2" w:rsidRDefault="001A780D">
            <w:r>
              <w:t>Contenido interactivo</w:t>
            </w:r>
          </w:p>
        </w:tc>
      </w:tr>
      <w:tr w:rsidR="00C63DA2" w14:paraId="2403FBF9" w14:textId="77777777">
        <w:tc>
          <w:tcPr>
            <w:tcW w:w="4561" w:type="dxa"/>
          </w:tcPr>
          <w:p w14:paraId="0AB5FAF7" w14:textId="77777777" w:rsidR="00C63DA2" w:rsidRDefault="001A780D">
            <w:r>
              <w:t>HTML</w:t>
            </w:r>
          </w:p>
        </w:tc>
        <w:tc>
          <w:tcPr>
            <w:tcW w:w="4561" w:type="dxa"/>
          </w:tcPr>
          <w:p w14:paraId="02697D99" w14:textId="77777777" w:rsidR="00C63DA2" w:rsidRDefault="001A780D">
            <w:r>
              <w:t>Contenido interactivo</w:t>
            </w:r>
          </w:p>
        </w:tc>
      </w:tr>
      <w:tr w:rsidR="00C63DA2" w14:paraId="47E1B812" w14:textId="77777777">
        <w:tc>
          <w:tcPr>
            <w:tcW w:w="4561" w:type="dxa"/>
          </w:tcPr>
          <w:p w14:paraId="47E64B70" w14:textId="77777777" w:rsidR="00C63DA2" w:rsidRDefault="001A780D">
            <w:r>
              <w:t>Rise</w:t>
            </w:r>
          </w:p>
        </w:tc>
        <w:tc>
          <w:tcPr>
            <w:tcW w:w="4561" w:type="dxa"/>
          </w:tcPr>
          <w:p w14:paraId="68E8D935" w14:textId="77777777" w:rsidR="00C63DA2" w:rsidRDefault="001A780D">
            <w:r>
              <w:t>Contenido interactivo</w:t>
            </w:r>
          </w:p>
        </w:tc>
      </w:tr>
      <w:tr w:rsidR="00C63DA2" w14:paraId="35D45CF5" w14:textId="77777777">
        <w:tc>
          <w:tcPr>
            <w:tcW w:w="4561" w:type="dxa"/>
          </w:tcPr>
          <w:p w14:paraId="395F6102" w14:textId="77777777" w:rsidR="00C63DA2" w:rsidRDefault="001A780D">
            <w:r>
              <w:t>Storyline</w:t>
            </w:r>
          </w:p>
        </w:tc>
        <w:tc>
          <w:tcPr>
            <w:tcW w:w="4561" w:type="dxa"/>
          </w:tcPr>
          <w:p w14:paraId="1B1954BB" w14:textId="77777777" w:rsidR="00C63DA2" w:rsidRDefault="001A780D">
            <w:r>
              <w:t>Contenido interactivo</w:t>
            </w:r>
          </w:p>
        </w:tc>
      </w:tr>
      <w:tr w:rsidR="00C63DA2" w14:paraId="29575C04" w14:textId="77777777">
        <w:tc>
          <w:tcPr>
            <w:tcW w:w="4561" w:type="dxa"/>
          </w:tcPr>
          <w:p w14:paraId="2EFEE05F" w14:textId="77777777" w:rsidR="00C63DA2" w:rsidRDefault="001A780D">
            <w:r>
              <w:t>Video Explicativo</w:t>
            </w:r>
          </w:p>
        </w:tc>
        <w:tc>
          <w:tcPr>
            <w:tcW w:w="4561" w:type="dxa"/>
          </w:tcPr>
          <w:p w14:paraId="02F26D4A" w14:textId="77777777" w:rsidR="00C63DA2" w:rsidRDefault="001A780D">
            <w:r>
              <w:t>Audiovisual</w:t>
            </w:r>
          </w:p>
        </w:tc>
      </w:tr>
      <w:tr w:rsidR="00C63DA2" w14:paraId="5F91D0D2" w14:textId="77777777">
        <w:tc>
          <w:tcPr>
            <w:tcW w:w="4561" w:type="dxa"/>
          </w:tcPr>
          <w:p w14:paraId="1771DEC6" w14:textId="77777777" w:rsidR="00C63DA2" w:rsidRDefault="001A780D">
            <w:r>
              <w:t>Video Demo</w:t>
            </w:r>
          </w:p>
        </w:tc>
        <w:tc>
          <w:tcPr>
            <w:tcW w:w="4561" w:type="dxa"/>
          </w:tcPr>
          <w:p w14:paraId="067C09D4" w14:textId="77777777" w:rsidR="00C63DA2" w:rsidRDefault="001A780D">
            <w:r>
              <w:t>Audiovisual</w:t>
            </w:r>
          </w:p>
        </w:tc>
      </w:tr>
      <w:tr w:rsidR="00C63DA2" w14:paraId="79D33372" w14:textId="77777777">
        <w:tc>
          <w:tcPr>
            <w:tcW w:w="4561" w:type="dxa"/>
          </w:tcPr>
          <w:p w14:paraId="7804FB13" w14:textId="77777777" w:rsidR="00C63DA2" w:rsidRDefault="001A780D">
            <w:r>
              <w:t>Video Interactivo</w:t>
            </w:r>
          </w:p>
        </w:tc>
        <w:tc>
          <w:tcPr>
            <w:tcW w:w="4561" w:type="dxa"/>
          </w:tcPr>
          <w:p w14:paraId="72211298" w14:textId="77777777" w:rsidR="00C63DA2" w:rsidRDefault="001A780D">
            <w:r>
              <w:t>Audiovisual</w:t>
            </w:r>
          </w:p>
        </w:tc>
      </w:tr>
      <w:tr w:rsidR="00C63DA2" w14:paraId="41FA2B5D" w14:textId="77777777">
        <w:tc>
          <w:tcPr>
            <w:tcW w:w="4561" w:type="dxa"/>
          </w:tcPr>
          <w:p w14:paraId="3669A1B6" w14:textId="77777777" w:rsidR="00C63DA2" w:rsidRDefault="001A780D">
            <w:r>
              <w:t>Podcast</w:t>
            </w:r>
          </w:p>
        </w:tc>
        <w:tc>
          <w:tcPr>
            <w:tcW w:w="4561" w:type="dxa"/>
          </w:tcPr>
          <w:p w14:paraId="0D6DA25B" w14:textId="77777777" w:rsidR="00C63DA2" w:rsidRDefault="001A780D">
            <w:r>
              <w:t>Audiovisual</w:t>
            </w:r>
          </w:p>
        </w:tc>
      </w:tr>
      <w:tr w:rsidR="00C63DA2" w14:paraId="1F54984A" w14:textId="77777777">
        <w:tc>
          <w:tcPr>
            <w:tcW w:w="4561" w:type="dxa"/>
          </w:tcPr>
          <w:p w14:paraId="355E725E" w14:textId="77777777" w:rsidR="00C63DA2" w:rsidRDefault="001A780D">
            <w:r>
              <w:t>Separata</w:t>
            </w:r>
          </w:p>
        </w:tc>
        <w:tc>
          <w:tcPr>
            <w:tcW w:w="4561" w:type="dxa"/>
          </w:tcPr>
          <w:p w14:paraId="035642FD" w14:textId="77777777" w:rsidR="00C63DA2" w:rsidRDefault="001A780D">
            <w:r>
              <w:t>Lectura</w:t>
            </w:r>
          </w:p>
        </w:tc>
      </w:tr>
      <w:tr w:rsidR="00C63DA2" w14:paraId="1B464AF8" w14:textId="77777777">
        <w:tc>
          <w:tcPr>
            <w:tcW w:w="4561" w:type="dxa"/>
          </w:tcPr>
          <w:p w14:paraId="0B630117" w14:textId="77777777" w:rsidR="00C63DA2" w:rsidRDefault="001A780D">
            <w:r>
              <w:t>Manual</w:t>
            </w:r>
          </w:p>
        </w:tc>
        <w:tc>
          <w:tcPr>
            <w:tcW w:w="4561" w:type="dxa"/>
          </w:tcPr>
          <w:p w14:paraId="702D774A" w14:textId="77777777" w:rsidR="00C63DA2" w:rsidRDefault="001A780D">
            <w:r>
              <w:t>Lectura</w:t>
            </w:r>
          </w:p>
        </w:tc>
      </w:tr>
      <w:tr w:rsidR="00C63DA2" w14:paraId="457E42EB" w14:textId="77777777">
        <w:tc>
          <w:tcPr>
            <w:tcW w:w="4561" w:type="dxa"/>
          </w:tcPr>
          <w:p w14:paraId="72B6D3F2" w14:textId="77777777" w:rsidR="00C63DA2" w:rsidRDefault="001A780D">
            <w:r>
              <w:t>Lectura</w:t>
            </w:r>
          </w:p>
        </w:tc>
        <w:tc>
          <w:tcPr>
            <w:tcW w:w="4561" w:type="dxa"/>
          </w:tcPr>
          <w:p w14:paraId="6AEDF288" w14:textId="77777777" w:rsidR="00C63DA2" w:rsidRDefault="001A780D">
            <w:r>
              <w:t>Lectura</w:t>
            </w:r>
          </w:p>
        </w:tc>
      </w:tr>
      <w:tr w:rsidR="00C63DA2" w14:paraId="6DFCA804" w14:textId="77777777">
        <w:tc>
          <w:tcPr>
            <w:tcW w:w="4561" w:type="dxa"/>
          </w:tcPr>
          <w:p w14:paraId="17DA006C" w14:textId="77777777" w:rsidR="00C63DA2" w:rsidRDefault="001A780D">
            <w:r>
              <w:t>Organizador Visual</w:t>
            </w:r>
          </w:p>
        </w:tc>
        <w:tc>
          <w:tcPr>
            <w:tcW w:w="4561" w:type="dxa"/>
          </w:tcPr>
          <w:p w14:paraId="214EFAEA" w14:textId="77777777" w:rsidR="00C63DA2" w:rsidRDefault="001A780D">
            <w:r>
              <w:t>Visual / gráfico</w:t>
            </w:r>
          </w:p>
        </w:tc>
      </w:tr>
      <w:tr w:rsidR="00C63DA2" w14:paraId="2DA25B79" w14:textId="77777777">
        <w:tc>
          <w:tcPr>
            <w:tcW w:w="4561" w:type="dxa"/>
          </w:tcPr>
          <w:p w14:paraId="10C68676" w14:textId="77777777" w:rsidR="00C63DA2" w:rsidRDefault="001A780D">
            <w:r>
              <w:t>Lectura Complementaria</w:t>
            </w:r>
          </w:p>
        </w:tc>
        <w:tc>
          <w:tcPr>
            <w:tcW w:w="4561" w:type="dxa"/>
          </w:tcPr>
          <w:p w14:paraId="2B210AA6" w14:textId="77777777" w:rsidR="00C63DA2" w:rsidRDefault="001A780D">
            <w:r>
              <w:t>Lectura opcional</w:t>
            </w:r>
          </w:p>
        </w:tc>
      </w:tr>
    </w:tbl>
    <w:p w14:paraId="489BEA47" w14:textId="77777777" w:rsidR="00C63DA2" w:rsidRDefault="00C63DA2"/>
    <w:p w14:paraId="20777DE9" w14:textId="77777777" w:rsidR="00C63DA2" w:rsidRDefault="001A780D">
      <w:pPr>
        <w:pStyle w:val="Ttulo2"/>
      </w:pPr>
      <w:r>
        <w:t>2.2  Fundamentos Pedagógicos</w:t>
      </w:r>
    </w:p>
    <w:p w14:paraId="23261E80" w14:textId="77777777" w:rsidR="00C63DA2" w:rsidRDefault="001A780D">
      <w:pPr>
        <w:spacing w:after="120"/>
      </w:pPr>
      <w:r>
        <w:t>En esta sección se presenta el marco teórico del aprendizaje que sustenta las reglas pedagógicas codificadas en el sistema.</w:t>
      </w:r>
    </w:p>
    <w:p w14:paraId="086CD996" w14:textId="77777777" w:rsidR="00C63DA2" w:rsidRDefault="001A780D">
      <w:pPr>
        <w:pStyle w:val="Ttulo3"/>
      </w:pPr>
      <w:r>
        <w:t>2.2.1  Taxonomía de Bloom</w:t>
      </w:r>
    </w:p>
    <w:p w14:paraId="52E4151A" w14:textId="77777777" w:rsidR="00C63DA2" w:rsidRDefault="001A780D">
      <w:pPr>
        <w:spacing w:after="120"/>
      </w:pPr>
      <w:r>
        <w:t xml:space="preserve">La Taxonomía de Bloom, en su revisión de Anderson &amp; Krathwohl (2001), constituye el marco central de clasificación de objetivos de aprendizaje sobre el que el sistema fundamenta sus </w:t>
      </w:r>
      <w:r>
        <w:lastRenderedPageBreak/>
        <w:t>decisiones de selección de recursos. Se explicará en detalle dado su rol estructural en la lógica del sistema. Los puntos a cubrir son:</w:t>
      </w:r>
    </w:p>
    <w:p w14:paraId="130A5679" w14:textId="77777777" w:rsidR="00C63DA2" w:rsidRDefault="001A780D">
      <w:pPr>
        <w:pStyle w:val="Listaconvietas"/>
        <w:spacing w:after="60"/>
      </w:pPr>
      <w:r>
        <w:t>Los seis niveles cognitivos y sus verbos asociados (Recordar, Comprender, Aplicar, Analizar, Evaluar, Crear), según la revisión de Anderson &amp; Krathwohl (2001) sobre la taxonomía original de Bloom et al. (1956).</w:t>
      </w:r>
    </w:p>
    <w:p w14:paraId="0EA41323" w14:textId="77777777" w:rsidR="00C63DA2" w:rsidRDefault="001A780D">
      <w:pPr>
        <w:pStyle w:val="Listaconvietas"/>
        <w:spacing w:after="60"/>
      </w:pPr>
      <w:r>
        <w:t>Cómo el verbo del logro de aprendizaje semanal determina el tipo de recurso a utilizar: la tabla verbo × densidad de contenido → tipo de recurso que el sistema aplica en cada semana del curso.</w:t>
      </w:r>
    </w:p>
    <w:p w14:paraId="477EDB83" w14:textId="77777777" w:rsidR="00C63DA2" w:rsidRDefault="001A780D">
      <w:pPr>
        <w:pStyle w:val="Listaconvietas"/>
        <w:spacing w:after="60"/>
      </w:pPr>
      <w:r>
        <w:t>La jerarquía de logros: Logro del Curso → Logro de Unidad → Logro de Semana → Propósito del Recurso, y por qué cada nivel debe ser consistente con el superior (principio de alineación vertical).</w:t>
      </w:r>
    </w:p>
    <w:p w14:paraId="68B81A76" w14:textId="77777777" w:rsidR="00C63DA2" w:rsidRDefault="001A780D">
      <w:pPr>
        <w:pStyle w:val="Listaconvietas"/>
        <w:spacing w:after="60"/>
      </w:pPr>
      <w:r>
        <w:t>La distinción entre contenido procedimental (requiere recurso demostrativo), teórico (requiere recurso expositivo) y básico (flexible), y cómo el verbo del logro permite identificar cada tipo.</w:t>
      </w:r>
    </w:p>
    <w:p w14:paraId="79DC13F4" w14:textId="77777777" w:rsidR="00C63DA2" w:rsidRDefault="001A780D">
      <w:pPr>
        <w:spacing w:after="80"/>
      </w:pPr>
      <w:r>
        <w:rPr>
          <w:i/>
          <w:sz w:val="18"/>
        </w:rPr>
        <w:t>Referencias clave: Bloom, B. S., Engelhart, M. D., Furst, E. J., Hill, W. H., &amp; Krathwohl, D. R. (1956). Taxonomy of Educational Objectives: The Classification of Educational Goals. David McKay. | Anderson, L. W., &amp; Krathwohl, D. R. (2001). A Taxonomy for Learning, Teaching, and Assessing: A Revision of Bloom's Taxonomy of Educational Objectives. Longman.</w:t>
      </w:r>
    </w:p>
    <w:p w14:paraId="0AF677D9" w14:textId="77777777" w:rsidR="00C63DA2" w:rsidRDefault="00C63DA2"/>
    <w:p w14:paraId="2C606B38" w14:textId="77777777" w:rsidR="00C63DA2" w:rsidRDefault="001A780D">
      <w:pPr>
        <w:pStyle w:val="Ttulo3"/>
      </w:pPr>
      <w:r>
        <w:t>2.2.2  Rúbrica de evaluación de calidad del contenido generado</w:t>
      </w:r>
    </w:p>
    <w:p w14:paraId="09FDFD58" w14:textId="77777777" w:rsidR="00C63DA2" w:rsidRDefault="001A780D">
      <w:pPr>
        <w:spacing w:after="120"/>
      </w:pPr>
      <w:r>
        <w:t>Se describirá el instrumento de evaluación construido para que los Docentes Revisores valoren la calidad pedagógica del contenido generado por el sistema. A diferencia de las métricas técnicas, este instrumento mide la calidad percibida por expertos a través de seis criterios que cubren alineación, exactitud, rigor, adecuación al nivel del alumno, calidad de ejemplos y capacidad motivadora del material.</w:t>
      </w:r>
    </w:p>
    <w:tbl>
      <w:tblPr>
        <w:tblStyle w:val="Tablaconcuadrcula"/>
        <w:tblW w:w="0" w:type="auto"/>
        <w:tblLook w:val="04A0" w:firstRow="1" w:lastRow="0" w:firstColumn="1" w:lastColumn="0" w:noHBand="0" w:noVBand="1"/>
      </w:tblPr>
      <w:tblGrid>
        <w:gridCol w:w="2280"/>
        <w:gridCol w:w="2280"/>
        <w:gridCol w:w="2280"/>
        <w:gridCol w:w="2280"/>
      </w:tblGrid>
      <w:tr w:rsidR="00C63DA2" w14:paraId="4E386A47" w14:textId="77777777">
        <w:tc>
          <w:tcPr>
            <w:tcW w:w="2280" w:type="dxa"/>
            <w:shd w:val="clear" w:color="auto" w:fill="1F3864"/>
          </w:tcPr>
          <w:p w14:paraId="6FECBCB5" w14:textId="77777777" w:rsidR="00C63DA2" w:rsidRDefault="001A780D">
            <w:r>
              <w:rPr>
                <w:b/>
                <w:color w:val="FFFFFF"/>
              </w:rPr>
              <w:t>Criterio</w:t>
            </w:r>
          </w:p>
        </w:tc>
        <w:tc>
          <w:tcPr>
            <w:tcW w:w="2280" w:type="dxa"/>
            <w:shd w:val="clear" w:color="auto" w:fill="1F3864"/>
          </w:tcPr>
          <w:p w14:paraId="68105E3E" w14:textId="74E6FE4A" w:rsidR="00C63DA2" w:rsidRDefault="001A780D">
            <w:r>
              <w:rPr>
                <w:b/>
                <w:color w:val="FFFFFF"/>
              </w:rPr>
              <w:t xml:space="preserve">Estándar </w:t>
            </w:r>
            <w:r w:rsidR="0042399E">
              <w:rPr>
                <w:b/>
                <w:color w:val="FFFFFF"/>
              </w:rPr>
              <w:t>Maximo</w:t>
            </w:r>
            <w:r>
              <w:rPr>
                <w:b/>
                <w:color w:val="FFFFFF"/>
              </w:rPr>
              <w:t xml:space="preserve"> (5 pts)</w:t>
            </w:r>
          </w:p>
        </w:tc>
        <w:tc>
          <w:tcPr>
            <w:tcW w:w="2280" w:type="dxa"/>
            <w:shd w:val="clear" w:color="auto" w:fill="1F3864"/>
          </w:tcPr>
          <w:p w14:paraId="56FC5F57" w14:textId="03976926" w:rsidR="00C63DA2" w:rsidRDefault="0042399E">
            <w:r>
              <w:rPr>
                <w:b/>
                <w:color w:val="FFFFFF"/>
              </w:rPr>
              <w:t>Estandar Medio</w:t>
            </w:r>
            <w:r w:rsidR="001A780D">
              <w:rPr>
                <w:b/>
                <w:color w:val="FFFFFF"/>
              </w:rPr>
              <w:t xml:space="preserve"> (3 pts)</w:t>
            </w:r>
          </w:p>
        </w:tc>
        <w:tc>
          <w:tcPr>
            <w:tcW w:w="2280" w:type="dxa"/>
            <w:shd w:val="clear" w:color="auto" w:fill="1F3864"/>
          </w:tcPr>
          <w:p w14:paraId="2AE27F3F" w14:textId="19192291" w:rsidR="00C63DA2" w:rsidRDefault="0042399E">
            <w:r>
              <w:rPr>
                <w:b/>
                <w:color w:val="FFFFFF"/>
              </w:rPr>
              <w:t>Estandar Inicial</w:t>
            </w:r>
            <w:r w:rsidR="001A780D">
              <w:rPr>
                <w:b/>
                <w:color w:val="FFFFFF"/>
              </w:rPr>
              <w:t xml:space="preserve"> (1 pt)</w:t>
            </w:r>
          </w:p>
        </w:tc>
      </w:tr>
      <w:tr w:rsidR="00C63DA2" w14:paraId="043A1C82" w14:textId="77777777">
        <w:tc>
          <w:tcPr>
            <w:tcW w:w="2280" w:type="dxa"/>
          </w:tcPr>
          <w:p w14:paraId="65521030" w14:textId="77777777" w:rsidR="00C63DA2" w:rsidRDefault="001A780D">
            <w:r>
              <w:t>Alineación del contenido</w:t>
            </w:r>
          </w:p>
        </w:tc>
        <w:tc>
          <w:tcPr>
            <w:tcW w:w="2280" w:type="dxa"/>
          </w:tcPr>
          <w:p w14:paraId="1843FEF2" w14:textId="77777777" w:rsidR="00C63DA2" w:rsidRDefault="001A780D">
            <w:r>
              <w:t>El contenido tiene una conexión clara con el logro de la unidad y cubre el tema con un alcance completo, sin dejar vacíos de información.</w:t>
            </w:r>
          </w:p>
        </w:tc>
        <w:tc>
          <w:tcPr>
            <w:tcW w:w="2280" w:type="dxa"/>
          </w:tcPr>
          <w:p w14:paraId="039846E9" w14:textId="77777777" w:rsidR="00C63DA2" w:rsidRDefault="001A780D">
            <w:r>
              <w:t>El contenido está relacionado con el logro de la unidad pero incluye material solo tangencialmente relacionado o que divaga.</w:t>
            </w:r>
          </w:p>
        </w:tc>
        <w:tc>
          <w:tcPr>
            <w:tcW w:w="2280" w:type="dxa"/>
          </w:tcPr>
          <w:p w14:paraId="03E50694" w14:textId="77777777" w:rsidR="00C63DA2" w:rsidRDefault="001A780D">
            <w:r>
              <w:t>El contenido no está relacionado con sus logros y/o tiene material con un alcance insuficiente.</w:t>
            </w:r>
          </w:p>
        </w:tc>
      </w:tr>
      <w:tr w:rsidR="00C63DA2" w14:paraId="1325DBD9" w14:textId="77777777">
        <w:tc>
          <w:tcPr>
            <w:tcW w:w="2280" w:type="dxa"/>
          </w:tcPr>
          <w:p w14:paraId="4464584E" w14:textId="77777777" w:rsidR="00C63DA2" w:rsidRDefault="001A780D">
            <w:r>
              <w:t>Exactitud del contenido</w:t>
            </w:r>
          </w:p>
        </w:tc>
        <w:tc>
          <w:tcPr>
            <w:tcW w:w="2280" w:type="dxa"/>
          </w:tcPr>
          <w:p w14:paraId="589C8133" w14:textId="77777777" w:rsidR="00C63DA2" w:rsidRDefault="001A780D">
            <w:r>
              <w:t>El contenido del material es completamente factualmente correcto y tiene suficientes matices para el tema.</w:t>
            </w:r>
          </w:p>
        </w:tc>
        <w:tc>
          <w:tcPr>
            <w:tcW w:w="2280" w:type="dxa"/>
          </w:tcPr>
          <w:p w14:paraId="07156BB4" w14:textId="77777777" w:rsidR="00C63DA2" w:rsidRDefault="001A780D">
            <w:r>
              <w:t>El contenido del material tiene errores factuales superficiales como terminología equivocada, simplificaciones o imprecisiones, pero encaja con el tema.</w:t>
            </w:r>
          </w:p>
        </w:tc>
        <w:tc>
          <w:tcPr>
            <w:tcW w:w="2280" w:type="dxa"/>
          </w:tcPr>
          <w:p w14:paraId="5BD19AA0" w14:textId="77777777" w:rsidR="00C63DA2" w:rsidRDefault="001A780D">
            <w:r>
              <w:t>El contenido del material tiene errores factuales profundos o no encaja con el tema.</w:t>
            </w:r>
          </w:p>
        </w:tc>
      </w:tr>
      <w:tr w:rsidR="00C63DA2" w14:paraId="2E3BEF5B" w14:textId="77777777">
        <w:tc>
          <w:tcPr>
            <w:tcW w:w="2280" w:type="dxa"/>
          </w:tcPr>
          <w:p w14:paraId="2E6FC0A4" w14:textId="77777777" w:rsidR="00C63DA2" w:rsidRDefault="001A780D">
            <w:r>
              <w:t>Rigor académico</w:t>
            </w:r>
          </w:p>
        </w:tc>
        <w:tc>
          <w:tcPr>
            <w:tcW w:w="2280" w:type="dxa"/>
          </w:tcPr>
          <w:p w14:paraId="103E1EE2" w14:textId="77777777" w:rsidR="00C63DA2" w:rsidRDefault="001A780D">
            <w:r>
              <w:t xml:space="preserve">El contenido del </w:t>
            </w:r>
            <w:r>
              <w:lastRenderedPageBreak/>
              <w:t>material es profundo, creíble y cita / se basa en fuentes confiables.</w:t>
            </w:r>
          </w:p>
        </w:tc>
        <w:tc>
          <w:tcPr>
            <w:tcW w:w="2280" w:type="dxa"/>
          </w:tcPr>
          <w:p w14:paraId="3A338CA2" w14:textId="77777777" w:rsidR="00C63DA2" w:rsidRDefault="001A780D">
            <w:r>
              <w:lastRenderedPageBreak/>
              <w:t xml:space="preserve">El contenido es </w:t>
            </w:r>
            <w:r>
              <w:lastRenderedPageBreak/>
              <w:t>superficial o hace afirmaciones cuestionables / poco creíbles.</w:t>
            </w:r>
          </w:p>
        </w:tc>
        <w:tc>
          <w:tcPr>
            <w:tcW w:w="2280" w:type="dxa"/>
          </w:tcPr>
          <w:p w14:paraId="66A6F618" w14:textId="77777777" w:rsidR="00C63DA2" w:rsidRDefault="001A780D">
            <w:r>
              <w:lastRenderedPageBreak/>
              <w:t xml:space="preserve">El contenido no tiene </w:t>
            </w:r>
            <w:r>
              <w:lastRenderedPageBreak/>
              <w:t>sustento o hace afirmaciones sin soporte.</w:t>
            </w:r>
          </w:p>
        </w:tc>
      </w:tr>
      <w:tr w:rsidR="00C63DA2" w14:paraId="644477F0" w14:textId="77777777">
        <w:tc>
          <w:tcPr>
            <w:tcW w:w="2280" w:type="dxa"/>
          </w:tcPr>
          <w:p w14:paraId="4C5A3A78" w14:textId="77777777" w:rsidR="00C63DA2" w:rsidRDefault="001A780D">
            <w:r>
              <w:lastRenderedPageBreak/>
              <w:t>Propiedad para el nivel del alumno</w:t>
            </w:r>
          </w:p>
        </w:tc>
        <w:tc>
          <w:tcPr>
            <w:tcW w:w="2280" w:type="dxa"/>
          </w:tcPr>
          <w:p w14:paraId="3C81E137" w14:textId="77777777" w:rsidR="00C63DA2" w:rsidRDefault="001A780D">
            <w:r>
              <w:t>El vocabulario, el nivel de dificultad y complejidad del material son los adecuados para el nivel del alumno.</w:t>
            </w:r>
          </w:p>
        </w:tc>
        <w:tc>
          <w:tcPr>
            <w:tcW w:w="2280" w:type="dxa"/>
          </w:tcPr>
          <w:p w14:paraId="5DA9C9BB" w14:textId="77777777" w:rsidR="00C63DA2" w:rsidRDefault="001A780D">
            <w:r>
              <w:t>El vocabulario, nivel de dificultad y complejidad son ligeramente muy avanzados o muy simples para el nivel del alumno.</w:t>
            </w:r>
          </w:p>
        </w:tc>
        <w:tc>
          <w:tcPr>
            <w:tcW w:w="2280" w:type="dxa"/>
          </w:tcPr>
          <w:p w14:paraId="55ACE11A" w14:textId="77777777" w:rsidR="00C63DA2" w:rsidRDefault="001A780D">
            <w:r>
              <w:t>El vocabulario, nivel de dificultad y complejidad no tienen conexión con el nivel del alumno.</w:t>
            </w:r>
          </w:p>
        </w:tc>
      </w:tr>
      <w:tr w:rsidR="00C63DA2" w14:paraId="177B7804" w14:textId="77777777">
        <w:tc>
          <w:tcPr>
            <w:tcW w:w="2280" w:type="dxa"/>
          </w:tcPr>
          <w:p w14:paraId="31BA15B2" w14:textId="77777777" w:rsidR="00C63DA2" w:rsidRDefault="001A780D">
            <w:r>
              <w:t>Calidad de ejemplos</w:t>
            </w:r>
          </w:p>
        </w:tc>
        <w:tc>
          <w:tcPr>
            <w:tcW w:w="2280" w:type="dxa"/>
          </w:tcPr>
          <w:p w14:paraId="4ADF0988" w14:textId="77777777" w:rsidR="00C63DA2" w:rsidRDefault="001A780D">
            <w:r>
              <w:t>El contenido tiene ejemplos relevantes y concretos que suplementan los conceptos explicados.</w:t>
            </w:r>
          </w:p>
        </w:tc>
        <w:tc>
          <w:tcPr>
            <w:tcW w:w="2280" w:type="dxa"/>
          </w:tcPr>
          <w:p w14:paraId="697D8543" w14:textId="77777777" w:rsidR="00C63DA2" w:rsidRDefault="001A780D">
            <w:r>
              <w:t>El contenido tiene ejemplos genéricos o solo parcialmente relevantes a los conceptos explicados.</w:t>
            </w:r>
          </w:p>
        </w:tc>
        <w:tc>
          <w:tcPr>
            <w:tcW w:w="2280" w:type="dxa"/>
          </w:tcPr>
          <w:p w14:paraId="0F6E59E6" w14:textId="77777777" w:rsidR="00C63DA2" w:rsidRDefault="001A780D">
            <w:r>
              <w:t>El contenido tiene ejemplos confusos, pobres o no existentes.</w:t>
            </w:r>
          </w:p>
        </w:tc>
      </w:tr>
      <w:tr w:rsidR="00C63DA2" w14:paraId="73F63933" w14:textId="77777777">
        <w:tc>
          <w:tcPr>
            <w:tcW w:w="2280" w:type="dxa"/>
          </w:tcPr>
          <w:p w14:paraId="76B7F26A" w14:textId="77777777" w:rsidR="00C63DA2" w:rsidRDefault="001A780D">
            <w:r>
              <w:t>Probabilidad de que el alumno complete el material</w:t>
            </w:r>
          </w:p>
        </w:tc>
        <w:tc>
          <w:tcPr>
            <w:tcW w:w="2280" w:type="dxa"/>
          </w:tcPr>
          <w:p w14:paraId="09DBB8DC" w14:textId="77777777" w:rsidR="00C63DA2" w:rsidRDefault="001A780D">
            <w:r>
              <w:t>El contenido puede generar interés intrínsecamente y haría que los alumnos lo revisen voluntariamente.</w:t>
            </w:r>
          </w:p>
        </w:tc>
        <w:tc>
          <w:tcPr>
            <w:tcW w:w="2280" w:type="dxa"/>
          </w:tcPr>
          <w:p w14:paraId="4D4F7636" w14:textId="77777777" w:rsidR="00C63DA2" w:rsidRDefault="001A780D">
            <w:r>
              <w:t>El contenido se presta a que los alumnos lo lean si es requerido pero no es motivador.</w:t>
            </w:r>
          </w:p>
        </w:tc>
        <w:tc>
          <w:tcPr>
            <w:tcW w:w="2280" w:type="dxa"/>
          </w:tcPr>
          <w:p w14:paraId="7C76C87C" w14:textId="77777777" w:rsidR="00C63DA2" w:rsidRDefault="001A780D">
            <w:r>
              <w:t>El contenido se presta a que los alumnos lo revisen superficialmente o lo salten aunque sea requerido.</w:t>
            </w:r>
          </w:p>
        </w:tc>
      </w:tr>
    </w:tbl>
    <w:p w14:paraId="47FD58FB" w14:textId="77777777" w:rsidR="00C63DA2" w:rsidRDefault="00C63DA2"/>
    <w:p w14:paraId="5D4B6DF9" w14:textId="77777777" w:rsidR="00C63DA2" w:rsidRDefault="001A780D">
      <w:pPr>
        <w:spacing w:after="120"/>
      </w:pPr>
      <w:r>
        <w:t>Se explicará cada criterio en relación con el tipo de contenido que el sistema genera, y por qué estos seis aspectos son los relevantes para juzgar la calidad de un material instruccional generado por IA en el contexto universitario.</w:t>
      </w:r>
    </w:p>
    <w:p w14:paraId="31C6CCAA" w14:textId="77777777" w:rsidR="00C63DA2" w:rsidRDefault="001A780D">
      <w:pPr>
        <w:spacing w:after="80"/>
      </w:pPr>
      <w:r>
        <w:rPr>
          <w:i/>
          <w:sz w:val="18"/>
        </w:rPr>
        <w:t>Referencias clave: Wiggins, G., &amp; McTighe, J. (2005). Understanding by Design (2nd ed.). ASCD. | Kasneci, E., Sessler, K., Küchemann, S., Bannert, M., Dementieva, D., Fischer, F., &amp; Kasneci, G. (2023). ChatGPT for good? On opportunities and challenges of large language models for education. Learning and Individual Differences, 103, 102274.</w:t>
      </w:r>
    </w:p>
    <w:p w14:paraId="32A65C1E" w14:textId="77777777" w:rsidR="00C63DA2" w:rsidRDefault="00C63DA2"/>
    <w:p w14:paraId="3328B3E1" w14:textId="77777777" w:rsidR="00C63DA2" w:rsidRDefault="001A780D">
      <w:pPr>
        <w:pStyle w:val="Ttulo2"/>
      </w:pPr>
      <w:r>
        <w:t>2.3  Fundamentos Técnicos</w:t>
      </w:r>
    </w:p>
    <w:p w14:paraId="3B89956E" w14:textId="77777777" w:rsidR="00C63DA2" w:rsidRDefault="001A780D">
      <w:pPr>
        <w:spacing w:after="120"/>
      </w:pPr>
      <w:r>
        <w:t>En esta sección se presentan los conceptos de inteligencia artificial e ingeniería de software sobre los que se construyó el sistema, organizados en dos capas: los componentes de la capa de agentes de IA y los componentes de la infraestructura backend.</w:t>
      </w:r>
    </w:p>
    <w:p w14:paraId="28367CDF" w14:textId="77777777" w:rsidR="00C63DA2" w:rsidRDefault="001A780D">
      <w:pPr>
        <w:pStyle w:val="Ttulo3"/>
      </w:pPr>
      <w:r>
        <w:t>2.3.1  Agentes de IA</w:t>
      </w:r>
    </w:p>
    <w:p w14:paraId="4D613DAB" w14:textId="77777777" w:rsidR="00C63DA2" w:rsidRDefault="001A780D">
      <w:pPr>
        <w:spacing w:after="120"/>
      </w:pPr>
      <w:r>
        <w:t>Se presentan los conceptos que conforman la capa de inteligencia artificial del sistema: el mecanismo de instrucción de los modelos, la estructura de sus salidas, la especialización por agente, el control de flujo y el framework de orquestación.</w:t>
      </w:r>
    </w:p>
    <w:p w14:paraId="2687ADFA" w14:textId="77777777" w:rsidR="00C63DA2" w:rsidRDefault="001A780D">
      <w:pPr>
        <w:pStyle w:val="Ttulo4"/>
      </w:pPr>
      <w:r>
        <w:t>Prompt Engineering</w:t>
      </w:r>
    </w:p>
    <w:p w14:paraId="3E2A1607" w14:textId="77777777" w:rsidR="00C63DA2" w:rsidRDefault="001A780D">
      <w:pPr>
        <w:spacing w:after="120"/>
      </w:pPr>
      <w:r>
        <w:t>El diseño de prompts es la principal interfaz de programación con los modelos de lenguaje grandes. En este trabajo, cada agente del sistema está definido por un prompt que especifica su rol, sus reglas obligatorias y sus lineamientos de criterio. Se explicará por qué es relevante para esta tesis:</w:t>
      </w:r>
    </w:p>
    <w:p w14:paraId="6F9BEBF2" w14:textId="77777777" w:rsidR="00C63DA2" w:rsidRDefault="001A780D">
      <w:pPr>
        <w:pStyle w:val="Listaconvietas"/>
        <w:spacing w:after="60"/>
      </w:pPr>
      <w:r>
        <w:lastRenderedPageBreak/>
        <w:t>Qué es un prompt y la separación entre system prompt (instrucciones permanentes de rol y reglas) y user prompt (contexto variable de cada ejecución).</w:t>
      </w:r>
    </w:p>
    <w:p w14:paraId="4BB7A836" w14:textId="77777777" w:rsidR="00C63DA2" w:rsidRDefault="001A780D">
      <w:pPr>
        <w:pStyle w:val="Listaconvietas"/>
        <w:spacing w:after="60"/>
      </w:pPr>
      <w:r>
        <w:t>El patrón de hard rules vs. soft guidelines: reglas no negociables que el agente debe respetar siempre, versus lineamientos donde aplica criterio propio. Este patrón gobierna todos los agentes del sistema.</w:t>
      </w:r>
    </w:p>
    <w:p w14:paraId="5FBCFED9" w14:textId="77777777" w:rsidR="00C63DA2" w:rsidRDefault="001A780D">
      <w:pPr>
        <w:pStyle w:val="Listaconvietas"/>
        <w:spacing w:after="60"/>
      </w:pPr>
      <w:r>
        <w:t>El proceso iterativo de refinamiento de prompts con validación por expertos como metodología de desarrollo de la capa de IA (Wei et al., 2022).</w:t>
      </w:r>
    </w:p>
    <w:p w14:paraId="7089C5DD" w14:textId="77777777" w:rsidR="00C63DA2" w:rsidRDefault="001A780D">
      <w:pPr>
        <w:spacing w:after="80"/>
      </w:pPr>
      <w:r>
        <w:rPr>
          <w:i/>
          <w:sz w:val="18"/>
        </w:rPr>
        <w:t>Referencias: Brown, T. B., et al. (2020). Language models are few-shot learners. NeurIPS, 33, 1877-1901. | Liu, P., et al. (2023). Pre-train, prompt, and predict. ACM Computing Surveys, 55(9), 1-35. | Wei, J., et al. (2022). Chain-of-thought prompting elicits reasoning in large language models. NeurIPS, 35.</w:t>
      </w:r>
    </w:p>
    <w:p w14:paraId="707892DD" w14:textId="77777777" w:rsidR="00C63DA2" w:rsidRDefault="00C63DA2"/>
    <w:p w14:paraId="5CA7118F" w14:textId="77777777" w:rsidR="00C63DA2" w:rsidRDefault="001A780D">
      <w:pPr>
        <w:pStyle w:val="Ttulo4"/>
      </w:pPr>
      <w:r>
        <w:t>Structured Outputs (Salidas Estructuradas)</w:t>
      </w:r>
    </w:p>
    <w:p w14:paraId="10597CBC" w14:textId="77777777" w:rsidR="00C63DA2" w:rsidRDefault="001A780D">
      <w:pPr>
        <w:spacing w:after="120"/>
      </w:pPr>
      <w:r>
        <w:t>Para que la solución funcione como pipeline encadenado, cada agente debe producir datos en formato JSON validado, no texto libre. Se explicará por qué es fundamental en esta tesis:</w:t>
      </w:r>
    </w:p>
    <w:p w14:paraId="5412ED58" w14:textId="77777777" w:rsidR="00C63DA2" w:rsidRDefault="001A780D">
      <w:pPr>
        <w:pStyle w:val="Listaconvietas"/>
        <w:spacing w:after="60"/>
      </w:pPr>
      <w:r>
        <w:t>JSON mode / structured output: el modelo es forzado a producir un JSON que cumple un esquema predefinido (OpenAI, 2024; Google DeepMind, 2024). Permite que el output de un agente sea el input directo del siguiente.</w:t>
      </w:r>
    </w:p>
    <w:p w14:paraId="752839E2" w14:textId="77777777" w:rsidR="00C63DA2" w:rsidRDefault="001A780D">
      <w:pPr>
        <w:pStyle w:val="Listaconvietas"/>
        <w:spacing w:after="60"/>
      </w:pPr>
      <w:r>
        <w:t>Pydantic como contrato de datos: cada agente define su modelo de entrada y salida mediante clases Pydantic, garantizando tipos y campos correctos en toda la cadena de producción.</w:t>
      </w:r>
    </w:p>
    <w:p w14:paraId="2341890A" w14:textId="77777777" w:rsidR="00C63DA2" w:rsidRDefault="001A780D">
      <w:pPr>
        <w:spacing w:after="80"/>
      </w:pPr>
      <w:r>
        <w:rPr>
          <w:i/>
          <w:sz w:val="18"/>
        </w:rPr>
        <w:t>Referencias: OpenAI. (2024). Structured outputs. OpenAI Platform Documentation. https://platform.openai.com/docs/guides/structured-outputs</w:t>
      </w:r>
    </w:p>
    <w:p w14:paraId="24331AE1" w14:textId="77777777" w:rsidR="00C63DA2" w:rsidRDefault="00C63DA2"/>
    <w:p w14:paraId="579ADFD6" w14:textId="77777777" w:rsidR="00C63DA2" w:rsidRDefault="001A780D">
      <w:pPr>
        <w:pStyle w:val="Ttulo4"/>
      </w:pPr>
      <w:r>
        <w:t>Sistemas Multi-Agente</w:t>
      </w:r>
    </w:p>
    <w:p w14:paraId="6B89F420" w14:textId="77777777" w:rsidR="00C63DA2" w:rsidRDefault="001A780D">
      <w:pPr>
        <w:spacing w:after="120"/>
      </w:pPr>
      <w:r>
        <w:t>El sistema distribuye la generación de contenido entre múltiples agentes especializados en lugar de un único agente generalista. Se explicará por qué este enfoque es relevante para esta tesis:</w:t>
      </w:r>
    </w:p>
    <w:p w14:paraId="2667523C" w14:textId="77777777" w:rsidR="00C63DA2" w:rsidRDefault="001A780D">
      <w:pPr>
        <w:pStyle w:val="Listaconvietas"/>
        <w:spacing w:after="60"/>
      </w:pPr>
      <w:r>
        <w:t>Qué es un agente de IA: una instancia de un modelo de lenguaje con un rol, instrucciones y responsabilidad específica.</w:t>
      </w:r>
    </w:p>
    <w:p w14:paraId="64CA7CC5" w14:textId="77777777" w:rsidR="00C63DA2" w:rsidRDefault="001A780D">
      <w:pPr>
        <w:pStyle w:val="Listaconvietas"/>
        <w:spacing w:after="60"/>
      </w:pPr>
      <w:r>
        <w:t>Por qué especializar: un agente con una sola responsabilidad bien definida produce resultados más precisos y confiables. En este sistema, agentes distintos manejan el parseo, el esquema curricular, la generación de contenido y la validación de calidad (Park et al., 2023).</w:t>
      </w:r>
    </w:p>
    <w:p w14:paraId="47217B84" w14:textId="77777777" w:rsidR="00C63DA2" w:rsidRDefault="001A780D">
      <w:pPr>
        <w:spacing w:after="80"/>
      </w:pPr>
      <w:r>
        <w:rPr>
          <w:i/>
          <w:sz w:val="18"/>
        </w:rPr>
        <w:t>Referencias: Park, J. S., et al. (2023). Generative agents: Interactive simulacra of human behavior. UIST. | Wu, Q., et al. (2023). AutoGen: Enabling next-gen LLM applications via multi-agent conversation. arXiv:2308.08155.</w:t>
      </w:r>
    </w:p>
    <w:p w14:paraId="6A8C4AA5" w14:textId="77777777" w:rsidR="00C63DA2" w:rsidRDefault="00C63DA2"/>
    <w:p w14:paraId="23189806" w14:textId="77777777" w:rsidR="00C63DA2" w:rsidRDefault="001A780D">
      <w:pPr>
        <w:pStyle w:val="Ttulo4"/>
      </w:pPr>
      <w:r>
        <w:t>Nodos y Grafos de Estado</w:t>
      </w:r>
    </w:p>
    <w:p w14:paraId="018CF03B" w14:textId="77777777" w:rsidR="00C63DA2" w:rsidRDefault="001A780D">
      <w:pPr>
        <w:spacing w:after="120"/>
      </w:pPr>
      <w:r>
        <w:t>La orquestación de agentes en el sistema se implementa como un grafo de estado dirigido, donde cada nodo representa un paso de procesamiento. Se explicará por qué es relevante para esta tesis:</w:t>
      </w:r>
    </w:p>
    <w:p w14:paraId="16E8B6F1" w14:textId="77777777" w:rsidR="00C63DA2" w:rsidRDefault="001A780D">
      <w:pPr>
        <w:pStyle w:val="Listaconvietas"/>
        <w:spacing w:after="60"/>
      </w:pPr>
      <w:r>
        <w:t>Un nodo como unidad de procesamiento: puede invocar un LLM, ejecutar código determinístico o tomar una decisión condicional. El estado es compartido entre todos los nodos del grafo.</w:t>
      </w:r>
    </w:p>
    <w:p w14:paraId="78BEF52B" w14:textId="77777777" w:rsidR="00C63DA2" w:rsidRDefault="001A780D">
      <w:pPr>
        <w:pStyle w:val="Listaconvietas"/>
        <w:spacing w:after="60"/>
      </w:pPr>
      <w:r>
        <w:lastRenderedPageBreak/>
        <w:t>Aristas condicionales y ciclos de reintento: el flujo puede bifurcarse según el resultado de un nodo (validación pasa → continuar, validación falla → reintentar con feedback). Este mecanismo es el que garantiza el cumplimiento de restricciones pedagógicas.</w:t>
      </w:r>
    </w:p>
    <w:p w14:paraId="50D0721C" w14:textId="77777777" w:rsidR="00C63DA2" w:rsidRDefault="00C63DA2"/>
    <w:p w14:paraId="67B68B97" w14:textId="77777777" w:rsidR="00C63DA2" w:rsidRDefault="001A780D">
      <w:pPr>
        <w:pStyle w:val="Ttulo4"/>
      </w:pPr>
      <w:r>
        <w:t>Agent Framework: LangChain y LangGraph</w:t>
      </w:r>
    </w:p>
    <w:p w14:paraId="6115FD84" w14:textId="77777777" w:rsidR="00C63DA2" w:rsidRDefault="001A780D">
      <w:pPr>
        <w:spacing w:after="120"/>
      </w:pPr>
      <w:r>
        <w:t>LangChain y LangGraph son las herramientas de orquestación sobre las que se implementó el sistema. Se explicará por qué son relevantes para esta tesis:</w:t>
      </w:r>
    </w:p>
    <w:p w14:paraId="23AB8CBE" w14:textId="77777777" w:rsidR="00C63DA2" w:rsidRDefault="001A780D">
      <w:pPr>
        <w:pStyle w:val="Listaconvietas"/>
        <w:spacing w:after="60"/>
      </w:pPr>
      <w:r>
        <w:t>LangChain: capa de abstracción sobre múltiples proveedores de LLM (OpenAI, Google Gemini) que estandariza la invocación de modelos, el manejo de prompts y el procesamiento de outputs.</w:t>
      </w:r>
    </w:p>
    <w:p w14:paraId="07431C0F" w14:textId="77777777" w:rsidR="00C63DA2" w:rsidRDefault="001A780D">
      <w:pPr>
        <w:pStyle w:val="Listaconvietas"/>
        <w:spacing w:after="60"/>
      </w:pPr>
      <w:r>
        <w:t>LangGraph: extensión de LangChain que implementa grafos de estado dirigidos, habilitando flujos condicionales, ciclos de reintento y estado compartido entre nodos. Supera al prompt chaining simple al permitir lógica de control real sobre el flujo de generación (Chase, 2024).</w:t>
      </w:r>
    </w:p>
    <w:p w14:paraId="3498266B" w14:textId="77777777" w:rsidR="00C63DA2" w:rsidRDefault="001A780D">
      <w:pPr>
        <w:spacing w:after="80"/>
      </w:pPr>
      <w:r>
        <w:rPr>
          <w:i/>
          <w:sz w:val="18"/>
        </w:rPr>
        <w:t>Referencias: Chase, H. (2024). LangGraph: Building stateful, multi-actor applications with LLMs. LangChain, Inc. https://langchain-ai.github.io/langgraph/ | Yao, S., et al. (2023). ReAct: Synergizing reasoning and acting in language models. ICLR.</w:t>
      </w:r>
    </w:p>
    <w:p w14:paraId="4C06AED6" w14:textId="77777777" w:rsidR="00C63DA2" w:rsidRDefault="00C63DA2"/>
    <w:p w14:paraId="376E2B06" w14:textId="77777777" w:rsidR="00C63DA2" w:rsidRDefault="001A780D">
      <w:pPr>
        <w:pStyle w:val="Ttulo4"/>
      </w:pPr>
      <w:r>
        <w:t>Python como ecosistema de desarrollo de IA</w:t>
      </w:r>
    </w:p>
    <w:p w14:paraId="18755282" w14:textId="39CA9E6D" w:rsidR="00C63DA2" w:rsidRDefault="001A780D">
      <w:pPr>
        <w:spacing w:after="120"/>
      </w:pPr>
      <w:r>
        <w:t>Python es el lenguaje de implementación del backend. Ya que nos permite tener lo siguiente:</w:t>
      </w:r>
    </w:p>
    <w:p w14:paraId="67EB0A15" w14:textId="77777777" w:rsidR="00C63DA2" w:rsidRDefault="001A780D">
      <w:pPr>
        <w:pStyle w:val="Listaconvietas"/>
        <w:spacing w:after="60"/>
      </w:pPr>
      <w:r>
        <w:t>Ecosistema: concentra las bibliotecas más utilizadas para modelos de lenguaje (LangChain, LangGraph), procesamiento documental (pdfplumber, python-docx, pandas) y exposición de APIs (FastAPI).</w:t>
      </w:r>
    </w:p>
    <w:p w14:paraId="3EEEC50F" w14:textId="77777777" w:rsidR="00C63DA2" w:rsidRDefault="001A780D">
      <w:pPr>
        <w:pStyle w:val="Listaconvietas"/>
        <w:spacing w:after="60"/>
      </w:pPr>
      <w:r>
        <w:t>FastAPI y Pydantic: FastAPI expone los agentes como endpoints HTTP; Pydantic valida los modelos de datos y hace cumplir los structured outputs en toda la cadena de agentes.</w:t>
      </w:r>
    </w:p>
    <w:p w14:paraId="690AACD5" w14:textId="77777777" w:rsidR="00C63DA2" w:rsidRDefault="001A780D">
      <w:pPr>
        <w:spacing w:after="80"/>
      </w:pPr>
      <w:r>
        <w:rPr>
          <w:i/>
          <w:sz w:val="18"/>
        </w:rPr>
        <w:t>Referencias: Raschka, S., Patterson, J., &amp; Nolet, C. (2020). Machine learning in Python: Main developments and technology trends. Information, 11(4), 193.</w:t>
      </w:r>
    </w:p>
    <w:p w14:paraId="59956628" w14:textId="77777777" w:rsidR="00C63DA2" w:rsidRDefault="00C63DA2"/>
    <w:p w14:paraId="537CF342" w14:textId="77777777" w:rsidR="00C63DA2" w:rsidRDefault="001A780D">
      <w:pPr>
        <w:pStyle w:val="Ttulo3"/>
      </w:pPr>
      <w:r>
        <w:t>2.3.2  Infraestructura Backend</w:t>
      </w:r>
    </w:p>
    <w:p w14:paraId="7B8D05F0" w14:textId="77777777" w:rsidR="00C63DA2" w:rsidRDefault="001A780D">
      <w:pPr>
        <w:spacing w:after="120"/>
      </w:pPr>
      <w:r>
        <w:t>Se presentan los conceptos de arquitectura de software y servicios cloud que soportan la ejecución del sistema en producción. Dado que la generación de contenido con agentes LLM es un proceso de varios minutos, el backend requiere un modelo asíncrono basado en colas y cómputo serverless.</w:t>
      </w:r>
    </w:p>
    <w:p w14:paraId="6C29B5A8" w14:textId="77777777" w:rsidR="00C63DA2" w:rsidRDefault="001A780D">
      <w:pPr>
        <w:pStyle w:val="Ttulo4"/>
      </w:pPr>
      <w:r>
        <w:t>Procesamiento Asíncrono</w:t>
      </w:r>
    </w:p>
    <w:p w14:paraId="172AD669" w14:textId="77777777" w:rsidR="00C63DA2" w:rsidRDefault="001A780D">
      <w:pPr>
        <w:spacing w:after="120"/>
      </w:pPr>
      <w:r>
        <w:t xml:space="preserve">El procesamiento asíncrono es el patrón arquitectónico que permite desacoplar la recepción de una solicitud de su ejecución. En un modelo síncrono, el cliente espera bloqueado hasta que el servidor responde; para procesos de varios minutos —como la generación completa de un curso— esto genera timeouts inaceptables (Kleppmann, 2017). En el modelo asíncrono adoptado, el cliente envía la solicitud y recibe inmediatamente un identificador de trabajo (job_id); el procesamiento ocurre en segundo plano y, al finalizar, el sistema notifica al cliente </w:t>
      </w:r>
      <w:r>
        <w:lastRenderedPageBreak/>
        <w:t>mediante webhook. Este patrón sigue el modelo productor-consumidor: el componente que recibe la solicitud deposita un mensaje en una cola y el worker lo toma y ejecuta el pipeline de agentes de forma independiente (Richardson, 2018).</w:t>
      </w:r>
    </w:p>
    <w:p w14:paraId="61702EAB" w14:textId="77777777" w:rsidR="00C63DA2" w:rsidRDefault="001A780D">
      <w:pPr>
        <w:spacing w:after="80"/>
      </w:pPr>
      <w:r>
        <w:rPr>
          <w:i/>
          <w:sz w:val="18"/>
        </w:rPr>
        <w:t>Referencias: Kleppmann, M. (2017). Designing Data-Intensive Applications. O'Reilly Media. | Richardson, C. (2018). Microservices Patterns. Manning Publications.</w:t>
      </w:r>
    </w:p>
    <w:p w14:paraId="27BB3CA0" w14:textId="77777777" w:rsidR="00C63DA2" w:rsidRDefault="00C63DA2"/>
    <w:p w14:paraId="55118C2F" w14:textId="77777777" w:rsidR="00C63DA2" w:rsidRDefault="001A780D">
      <w:pPr>
        <w:pStyle w:val="Ttulo4"/>
      </w:pPr>
      <w:r>
        <w:t>Amazon Web Services (AWS)</w:t>
      </w:r>
    </w:p>
    <w:p w14:paraId="1D3BBA8C" w14:textId="77777777" w:rsidR="00C63DA2" w:rsidRDefault="001A780D">
      <w:pPr>
        <w:spacing w:after="120"/>
      </w:pPr>
      <w:r>
        <w:t>Amazon Web Services (AWS) es la plataforma cloud elegida para el despliegue del backend. Ofrece un ecosistema de servicios gestionados con modelo de pago por uso e integración nativa entre mensajería (SQS, SNS) y cómputo serverless (Lambda), lo que reduce la complejidad operativa frente a infraestructura autogestionada (Wittig &amp; Wittig, 2018). En el sistema se utilizan cuatro servicios de AWS: API Gateway como punto de entrada HTTP, Lambda como motor de ejecución de los agentes, SQS como cola de trabajos y SNS como capa de notificaciones. Cada uno se describe a continuación.</w:t>
      </w:r>
    </w:p>
    <w:p w14:paraId="17704DAD" w14:textId="77777777" w:rsidR="00C63DA2" w:rsidRDefault="001A780D">
      <w:pPr>
        <w:spacing w:after="80"/>
      </w:pPr>
      <w:r>
        <w:rPr>
          <w:i/>
          <w:sz w:val="18"/>
        </w:rPr>
        <w:t>Referencias: Wittig, M., &amp; Wittig, A. (2018). Amazon Web Services in Action (2nd ed.). Manning Publications. | Amazon Web Services. (2024). AWS Documentation. https://docs.aws.amazon.com</w:t>
      </w:r>
    </w:p>
    <w:p w14:paraId="4A609DE5" w14:textId="77777777" w:rsidR="00C63DA2" w:rsidRDefault="00C63DA2"/>
    <w:p w14:paraId="77962EEF" w14:textId="77777777" w:rsidR="00C63DA2" w:rsidRDefault="001A780D">
      <w:pPr>
        <w:pStyle w:val="Ttulo4"/>
      </w:pPr>
      <w:r>
        <w:t>Amazon SQS (Simple Queue Service)</w:t>
      </w:r>
    </w:p>
    <w:p w14:paraId="5793715F" w14:textId="77777777" w:rsidR="00C63DA2" w:rsidRDefault="001A780D">
      <w:pPr>
        <w:spacing w:after="120"/>
      </w:pPr>
      <w:r>
        <w:t>Amazon SQS es el servicio de cola de mensajes completamente gestionado que administra los trabajos de generación de contenido del sistema. Cada solicitud de generación de curso se encola como un mensaje; SQS actúa como buffer ante múltiples solicitudes simultáneas y garantiza que ningún trabajo se pierda ante fallos del worker, dado que el mensaje permanece en la cola hasta ser procesado exitosamente. La integración nativa con Lambda permite que SQS dispare la función de procesamiento automáticamente cuando hay mensajes disponibles, sin necesidad de polling activo por parte del sistema.</w:t>
      </w:r>
    </w:p>
    <w:p w14:paraId="4E712EBD" w14:textId="77777777" w:rsidR="00C63DA2" w:rsidRDefault="001A780D">
      <w:pPr>
        <w:spacing w:after="80"/>
      </w:pPr>
      <w:r>
        <w:rPr>
          <w:i/>
          <w:sz w:val="18"/>
        </w:rPr>
        <w:t>Referencias: Amazon Web Services. (2024). Amazon SQS Developer Guide. https://docs.aws.amazon.com/sqs/</w:t>
      </w:r>
    </w:p>
    <w:p w14:paraId="671AF1B5" w14:textId="77777777" w:rsidR="00C63DA2" w:rsidRDefault="00C63DA2"/>
    <w:p w14:paraId="0FB79FEC" w14:textId="77777777" w:rsidR="00C63DA2" w:rsidRDefault="001A780D">
      <w:pPr>
        <w:pStyle w:val="Ttulo4"/>
      </w:pPr>
      <w:r>
        <w:t>Amazon SNS (Simple Notification Service)</w:t>
      </w:r>
    </w:p>
    <w:p w14:paraId="127EDB2E" w14:textId="77777777" w:rsidR="00C63DA2" w:rsidRDefault="001A780D">
      <w:pPr>
        <w:spacing w:after="120"/>
      </w:pPr>
      <w:r>
        <w:t>Amazon SNS es el servicio de mensajería de publicación/suscripción (pub/sub) que comunica la finalización de un trabajo de generación a los sistemas interesados. Cuando el worker concluye el procesamiento, publica un evento en un SNS topic; los suscriptores registrados —otros servicios o webhooks— reaccionan a ese evento sin que el worker necesite conocerlos directamente. Esta arquitectura permite aplicar el patrón fanout: SNS distribuye el evento de finalización a múltiples destinos en paralelo, desacoplando la lógica de notificación del código de generación.</w:t>
      </w:r>
    </w:p>
    <w:p w14:paraId="27AB4143" w14:textId="77777777" w:rsidR="00C63DA2" w:rsidRDefault="001A780D">
      <w:pPr>
        <w:spacing w:after="80"/>
      </w:pPr>
      <w:r>
        <w:rPr>
          <w:i/>
          <w:sz w:val="18"/>
        </w:rPr>
        <w:t>Referencias: Amazon Web Services. (2024). Amazon SNS Developer Guide. https://docs.aws.amazon.com/sns/</w:t>
      </w:r>
    </w:p>
    <w:p w14:paraId="6FF3811A" w14:textId="77777777" w:rsidR="00C63DA2" w:rsidRDefault="00C63DA2"/>
    <w:p w14:paraId="6BACB383" w14:textId="77777777" w:rsidR="00C63DA2" w:rsidRDefault="001A780D">
      <w:pPr>
        <w:pStyle w:val="Ttulo4"/>
      </w:pPr>
      <w:r>
        <w:t>Webhooks</w:t>
      </w:r>
    </w:p>
    <w:p w14:paraId="5B6F862D" w14:textId="77777777" w:rsidR="00C63DA2" w:rsidRDefault="001A780D">
      <w:pPr>
        <w:spacing w:after="120"/>
      </w:pPr>
      <w:r>
        <w:t xml:space="preserve">Un webhook es una llamada HTTP que el servidor realiza automáticamente a una URL predefinida por el cliente cuando un evento específico ocurre. A diferencia del polling —donde el </w:t>
      </w:r>
      <w:r>
        <w:lastRenderedPageBreak/>
        <w:t>cliente consulta repetidamente el estado del trabajo—, el webhook empuja la notificación en el momento exacto en que el resultado está listo, eliminando el tráfico innecesario durante el procesamiento. En el sistema, al enviar la solicitud de generación el cliente registra una URL de callback; cuando el worker finaliza, SNS dispara el webhook hacia esa URL con el resultado del trabajo (Fielding &amp; Taylor, 2002).</w:t>
      </w:r>
    </w:p>
    <w:p w14:paraId="607B413D" w14:textId="77777777" w:rsidR="00C63DA2" w:rsidRDefault="001A780D">
      <w:pPr>
        <w:spacing w:after="80"/>
      </w:pPr>
      <w:r>
        <w:rPr>
          <w:i/>
          <w:sz w:val="18"/>
        </w:rPr>
        <w:t>Referencias: Fielding, R. T., &amp; Taylor, R. N. (2002). Principled design of the modern web architecture. ACM TOIT, 2(2), 115-150.</w:t>
      </w:r>
    </w:p>
    <w:p w14:paraId="7382B9A4" w14:textId="77777777" w:rsidR="00C63DA2" w:rsidRDefault="00C63DA2"/>
    <w:p w14:paraId="7918CBC6" w14:textId="77777777" w:rsidR="00C63DA2" w:rsidRDefault="001A780D">
      <w:pPr>
        <w:pStyle w:val="Ttulo4"/>
      </w:pPr>
      <w:r>
        <w:t>AWS Lambda (Cómputo Serverless)</w:t>
      </w:r>
    </w:p>
    <w:p w14:paraId="474E6D3B" w14:textId="77777777" w:rsidR="00C63DA2" w:rsidRDefault="001A780D">
      <w:pPr>
        <w:spacing w:after="120"/>
      </w:pPr>
      <w:r>
        <w:t>AWS Lambda es el servicio de cómputo serverless que ejecuta el pipeline de agentes LLM en el backend. El desarrollador despliega el código como una función y AWS gestiona el provisionamiento, el escalado y la ejecución en respuesta a eventos, sin necesidad de administrar servidores. Lambda admite un timeout máximo de 15 minutos por ejecución, límite que ninguna generación del sistema supera —ni siquiera el pipeline multi-agente completo—, lo que hace que el servicio cubra el caso de uso sin requerir instancias de larga ejecución. Además, Lambda escala horizontalmente de forma automática y cobra únicamente por el tiempo de cómputo consumido durante la ejecución, lo que reduce el costo operativo para un sistema de uso no continuo (Sbarski &amp; Kroonenburg, 2017).</w:t>
      </w:r>
    </w:p>
    <w:p w14:paraId="26C1457B" w14:textId="77777777" w:rsidR="00C63DA2" w:rsidRDefault="001A780D">
      <w:pPr>
        <w:spacing w:after="80"/>
      </w:pPr>
      <w:r>
        <w:rPr>
          <w:i/>
          <w:sz w:val="18"/>
        </w:rPr>
        <w:t>Referencias: Amazon Web Services. (2024). AWS Lambda Developer Guide. https://docs.aws.amazon.com/lambda/ | Sbarski, P., &amp; Kroonenburg, S. (2017). Serverless Architectures on AWS. Manning Publications.</w:t>
      </w:r>
    </w:p>
    <w:p w14:paraId="5F933960" w14:textId="77777777" w:rsidR="00C63DA2" w:rsidRDefault="00C63DA2"/>
    <w:p w14:paraId="2E0D12D5" w14:textId="77777777" w:rsidR="00C63DA2" w:rsidRDefault="001A780D">
      <w:pPr>
        <w:pStyle w:val="Ttulo4"/>
      </w:pPr>
      <w:r>
        <w:t>Amazon API Gateway</w:t>
      </w:r>
    </w:p>
    <w:p w14:paraId="469851FD" w14:textId="77777777" w:rsidR="00C63DA2" w:rsidRDefault="001A780D">
      <w:pPr>
        <w:spacing w:after="120"/>
      </w:pPr>
      <w:r>
        <w:t>Amazon API Gateway es el único punto de entrada HTTP del backend. Gestiona y expone las rutas del sistema, enrutando cada solicitud a la función Lambda correspondiente y centralizando autenticación, rate limiting y logging sin requerir servidores de API propios. Esta separación de responsabilidades —API Gateway maneja la capa de transporte mientras Lambda maneja la lógica de negocio— sigue el principio de diseño de sistemas distribuidos que desacopla las preocupaciones de red de las de procesamiento (Richardson, 2018).</w:t>
      </w:r>
    </w:p>
    <w:p w14:paraId="5C8E443B" w14:textId="77777777" w:rsidR="00C63DA2" w:rsidRDefault="001A780D">
      <w:pPr>
        <w:spacing w:after="80"/>
      </w:pPr>
      <w:r>
        <w:rPr>
          <w:i/>
          <w:sz w:val="18"/>
        </w:rPr>
        <w:t>Referencias: Amazon Web Services. (2024). Amazon API Gateway Developer Guide. https://docs.aws.amazon.com/apigateway/</w:t>
      </w:r>
    </w:p>
    <w:p w14:paraId="58DC65CC" w14:textId="77777777" w:rsidR="00C63DA2" w:rsidRDefault="00C63DA2"/>
    <w:p w14:paraId="1A3A1F33" w14:textId="77777777" w:rsidR="00C63DA2" w:rsidRDefault="001A780D">
      <w:pPr>
        <w:pStyle w:val="Ttulo2"/>
      </w:pPr>
      <w:r>
        <w:t>2.4  Metodología de Desarrollo</w:t>
      </w:r>
    </w:p>
    <w:p w14:paraId="42CBA412" w14:textId="77777777" w:rsidR="00C63DA2" w:rsidRDefault="001A780D">
      <w:pPr>
        <w:spacing w:after="120"/>
      </w:pPr>
      <w:r>
        <w:t>En esta sección se describe el marco metodológico que guió el desarrollo del sistema a lo largo del proyecto.</w:t>
      </w:r>
    </w:p>
    <w:p w14:paraId="19621764" w14:textId="77777777" w:rsidR="00C63DA2" w:rsidRDefault="001A780D">
      <w:pPr>
        <w:pStyle w:val="Ttulo3"/>
      </w:pPr>
      <w:r>
        <w:t>2.4.1  SCRUM en equipos multidisciplinarios</w:t>
      </w:r>
    </w:p>
    <w:p w14:paraId="63280A6D" w14:textId="77777777" w:rsidR="00C63DA2" w:rsidRDefault="001A780D">
      <w:pPr>
        <w:spacing w:after="120"/>
      </w:pPr>
      <w:r>
        <w:t>Se explicará el framework SCRUM (Schwaber &amp; Sutherland, 2020) y su aplicación en un equipo compuesto por perfiles de distintas disciplinas (ingeniería de software, diseño instruccional, expertos temáticos). Los puntos a cubrir son:</w:t>
      </w:r>
    </w:p>
    <w:p w14:paraId="1224F328" w14:textId="77777777" w:rsidR="00C63DA2" w:rsidRDefault="001A780D">
      <w:pPr>
        <w:pStyle w:val="Listaconvietas"/>
        <w:spacing w:after="60"/>
      </w:pPr>
      <w:r>
        <w:lastRenderedPageBreak/>
        <w:t>Qué es SCRUM: framework ágil de desarrollo iterativo e incremental basado en sprints de duración fija, revisiones constantes y adaptación continua (Schwaber &amp; Sutherland, 2020).</w:t>
      </w:r>
    </w:p>
    <w:p w14:paraId="2E910D2A" w14:textId="77777777" w:rsidR="00C63DA2" w:rsidRDefault="001A780D">
      <w:pPr>
        <w:pStyle w:val="Listaconvietas"/>
        <w:spacing w:after="60"/>
      </w:pPr>
      <w:r>
        <w:t>Por qué SCRUM es adecuado para proyectos de IA: la calidad del output de un sistema LLM es desconocida hasta que se prueba con datos reales; los ciclos cortos permiten detectar y corregir problemas de prompt y arquitectura rápidamente.</w:t>
      </w:r>
    </w:p>
    <w:p w14:paraId="0DB2D09D" w14:textId="77777777" w:rsidR="00C63DA2" w:rsidRDefault="001A780D">
      <w:pPr>
        <w:pStyle w:val="Listaconvietas"/>
        <w:spacing w:after="60"/>
      </w:pPr>
      <w:r>
        <w:t>La dimensión multidisciplinaria: el equipo integró roles de desarrollo (backend, frontend) con roles instruccionales (LxD, Docente Revisor), lo que exige una coordinación explícita y roles bien definidos dentro del sprint.</w:t>
      </w:r>
    </w:p>
    <w:p w14:paraId="1FF9CE09" w14:textId="77777777" w:rsidR="00C63DA2" w:rsidRDefault="001A780D">
      <w:pPr>
        <w:pStyle w:val="Listaconvietas"/>
        <w:spacing w:after="60"/>
      </w:pPr>
      <w:r>
        <w:t>El rol del Docente Revisor como validador en cada sprint: cada iteración de prompts se valida con expertos reales, no solo con métricas automáticas.</w:t>
      </w:r>
    </w:p>
    <w:p w14:paraId="4D61EF2F" w14:textId="77777777" w:rsidR="00C63DA2" w:rsidRDefault="001A780D">
      <w:pPr>
        <w:spacing w:after="80"/>
      </w:pPr>
      <w:r>
        <w:rPr>
          <w:i/>
          <w:sz w:val="18"/>
        </w:rPr>
        <w:t>Referencias clave: Schwaber, K., &amp; Sutherland, J. (2020). The Scrum Guide. Scrum.org. https://scrumguides.org/scrum-guide.html | Rigby, D. K., Sutherland, J., &amp; Takeuchi, H. (2016). Embracing agile. Harvard Business Review, 94(5), 40-50.</w:t>
      </w:r>
    </w:p>
    <w:p w14:paraId="4121B597" w14:textId="77777777" w:rsidR="00C63DA2" w:rsidRDefault="00C63DA2"/>
    <w:p w14:paraId="454041B0" w14:textId="77777777" w:rsidR="00C63DA2" w:rsidRDefault="001A780D">
      <w:pPr>
        <w:pStyle w:val="Ttulo2"/>
      </w:pPr>
      <w:r>
        <w:t>Referencias del Capítulo</w:t>
      </w:r>
    </w:p>
    <w:p w14:paraId="4D24E2FD" w14:textId="77777777" w:rsidR="00C63DA2" w:rsidRDefault="001A780D">
      <w:pPr>
        <w:pStyle w:val="Listaconvietas"/>
        <w:spacing w:after="60"/>
      </w:pPr>
      <w:r>
        <w:t>Anderson, L. W., &amp; Krathwohl, D. R. (2001). A Taxonomy for Learning, Teaching, and Assessing: A Revision of Bloom's Taxonomy of Educational Objectives. Longman.</w:t>
      </w:r>
    </w:p>
    <w:p w14:paraId="1B24ECE3" w14:textId="77777777" w:rsidR="00C63DA2" w:rsidRDefault="001A780D">
      <w:pPr>
        <w:pStyle w:val="Listaconvietas"/>
        <w:spacing w:after="60"/>
      </w:pPr>
      <w:r>
        <w:t>Amazon Web Services. (2024). Amazon API Gateway Developer Guide. https://docs.aws.amazon.com/apigateway/</w:t>
      </w:r>
    </w:p>
    <w:p w14:paraId="72A0864C" w14:textId="77777777" w:rsidR="00C63DA2" w:rsidRDefault="001A780D">
      <w:pPr>
        <w:pStyle w:val="Listaconvietas"/>
        <w:spacing w:after="60"/>
      </w:pPr>
      <w:r>
        <w:t>Amazon Web Services. (2024). Amazon SQS Developer Guide. https://docs.aws.amazon.com/sqs/</w:t>
      </w:r>
    </w:p>
    <w:p w14:paraId="134CF68A" w14:textId="77777777" w:rsidR="00C63DA2" w:rsidRDefault="001A780D">
      <w:pPr>
        <w:pStyle w:val="Listaconvietas"/>
        <w:spacing w:after="60"/>
      </w:pPr>
      <w:r>
        <w:t>Amazon Web Services. (2024). Amazon SNS Developer Guide. https://docs.aws.amazon.com/sns/</w:t>
      </w:r>
    </w:p>
    <w:p w14:paraId="0A9AD963" w14:textId="77777777" w:rsidR="00C63DA2" w:rsidRDefault="001A780D">
      <w:pPr>
        <w:pStyle w:val="Listaconvietas"/>
        <w:spacing w:after="60"/>
      </w:pPr>
      <w:r>
        <w:t>Amazon Web Services. (2024). AWS Lambda Developer Guide. https://docs.aws.amazon.com/lambda/</w:t>
      </w:r>
    </w:p>
    <w:p w14:paraId="719268DA" w14:textId="77777777" w:rsidR="00C63DA2" w:rsidRDefault="001A780D">
      <w:pPr>
        <w:pStyle w:val="Listaconvietas"/>
        <w:spacing w:after="60"/>
      </w:pPr>
      <w:r>
        <w:t>Bloom, B. S., Engelhart, M. D., Furst, E. J., Hill, W. H., &amp; Krathwohl, D. R. (1956). Taxonomy of Educational Objectives: The Classification of Educational Goals. David McKay.</w:t>
      </w:r>
    </w:p>
    <w:p w14:paraId="18CD74C0" w14:textId="77777777" w:rsidR="00C63DA2" w:rsidRDefault="001A780D">
      <w:pPr>
        <w:pStyle w:val="Listaconvietas"/>
        <w:spacing w:after="60"/>
      </w:pPr>
      <w:r>
        <w:t>Brown, T. B., Mann, B., Ryder, N., Subbiah, M., Kaplan, J., Dhariwal, P., &amp; Amodei, D. (2020). Language models are few-shot learners. Advances in Neural Information Processing Systems, 33, 1877-1901.</w:t>
      </w:r>
    </w:p>
    <w:p w14:paraId="1D049F7A" w14:textId="77777777" w:rsidR="00C63DA2" w:rsidRDefault="001A780D">
      <w:pPr>
        <w:pStyle w:val="Listaconvietas"/>
        <w:spacing w:after="60"/>
      </w:pPr>
      <w:r>
        <w:t>Chase, H. (2024). LangGraph: Building stateful, multi-actor applications with LLMs. LangChain, Inc. https://langchain-ai.github.io/langgraph/</w:t>
      </w:r>
    </w:p>
    <w:p w14:paraId="5566C7DD" w14:textId="77777777" w:rsidR="00C63DA2" w:rsidRDefault="001A780D">
      <w:pPr>
        <w:pStyle w:val="Listaconvietas"/>
        <w:spacing w:after="60"/>
      </w:pPr>
      <w:r>
        <w:t>Fielding, R. T., &amp; Taylor, R. N. (2002). Principled design of the modern web architecture. ACM Transactions on Internet Technology, 2(2), 115-150.</w:t>
      </w:r>
    </w:p>
    <w:p w14:paraId="630E3A22" w14:textId="77777777" w:rsidR="00C63DA2" w:rsidRDefault="001A780D">
      <w:pPr>
        <w:pStyle w:val="Listaconvietas"/>
        <w:spacing w:after="60"/>
      </w:pPr>
      <w:r>
        <w:t>Kasneci, E., Sessler, K., Küchemann, S., Bannert, M., Dementieva, D., Fischer, F., &amp; Kasneci, G. (2023). ChatGPT for good? On opportunities and challenges of large language models for education. Learning and Individual Differences, 103, 102274.</w:t>
      </w:r>
    </w:p>
    <w:p w14:paraId="33D903D1" w14:textId="77777777" w:rsidR="00C63DA2" w:rsidRDefault="001A780D">
      <w:pPr>
        <w:pStyle w:val="Listaconvietas"/>
        <w:spacing w:after="60"/>
      </w:pPr>
      <w:r>
        <w:t>Kleppmann, M. (2017). Designing Data-Intensive Applications: The Big Ideas Behind Reliable, Scalable, and Maintainable Systems. O'Reilly Media.</w:t>
      </w:r>
    </w:p>
    <w:p w14:paraId="27743E1F" w14:textId="77777777" w:rsidR="00C63DA2" w:rsidRDefault="001A780D">
      <w:pPr>
        <w:pStyle w:val="Listaconvietas"/>
        <w:spacing w:after="60"/>
      </w:pPr>
      <w:r>
        <w:t>Liu, P., Yuan, W., Fu, J., Jiang, Z., Hayashi, H., &amp; Neubig, G. (2023). Pre-train, prompt, and predict: A systematic survey of prompting methods in natural language processing. ACM Computing Surveys, 55(9), 1-35.</w:t>
      </w:r>
    </w:p>
    <w:p w14:paraId="317FF2E5" w14:textId="77777777" w:rsidR="00C63DA2" w:rsidRDefault="001A780D">
      <w:pPr>
        <w:pStyle w:val="Listaconvietas"/>
        <w:spacing w:after="60"/>
      </w:pPr>
      <w:r>
        <w:lastRenderedPageBreak/>
        <w:t>OpenAI. (2024). Structured outputs. OpenAI Platform Documentation. https://platform.openai.com/docs/guides/structured-outputs</w:t>
      </w:r>
    </w:p>
    <w:p w14:paraId="1496078C" w14:textId="77777777" w:rsidR="00C63DA2" w:rsidRDefault="001A780D">
      <w:pPr>
        <w:pStyle w:val="Listaconvietas"/>
        <w:spacing w:after="60"/>
      </w:pPr>
      <w:r>
        <w:t>Park, J. S., O'Brien, J. C., Cai, C. J., Morris, M. R., Liang, P., &amp; Bernstein, M. S. (2023). Generative agents: Interactive simulacra of human behavior. Proceedings of the 36th Annual ACM Symposium on User Interface Software and Technology (UIST).</w:t>
      </w:r>
    </w:p>
    <w:p w14:paraId="5AAC3CDB" w14:textId="77777777" w:rsidR="00C63DA2" w:rsidRDefault="001A780D">
      <w:pPr>
        <w:pStyle w:val="Listaconvietas"/>
        <w:spacing w:after="60"/>
      </w:pPr>
      <w:r>
        <w:t>Raschka, S., Patterson, J., &amp; Nolet, C. (2020). Machine learning in Python: Main developments and technology trends in data science, machine learning, and artificial intelligence. Information, 11(4), 193.</w:t>
      </w:r>
    </w:p>
    <w:p w14:paraId="1CA783D7" w14:textId="77777777" w:rsidR="00C63DA2" w:rsidRDefault="001A780D">
      <w:pPr>
        <w:pStyle w:val="Listaconvietas"/>
        <w:spacing w:after="60"/>
      </w:pPr>
      <w:r>
        <w:t>Richardson, C. (2018). Microservices Patterns: With Examples in Java. Manning Publications.</w:t>
      </w:r>
    </w:p>
    <w:p w14:paraId="61798042" w14:textId="77777777" w:rsidR="00C63DA2" w:rsidRDefault="001A780D">
      <w:pPr>
        <w:pStyle w:val="Listaconvietas"/>
        <w:spacing w:after="60"/>
      </w:pPr>
      <w:r>
        <w:t>Rigby, D. K., Sutherland, J., &amp; Takeuchi, H. (2016). Embracing agile. Harvard Business Review, 94(5), 40-50.</w:t>
      </w:r>
    </w:p>
    <w:p w14:paraId="0D3A43D0" w14:textId="77777777" w:rsidR="00C63DA2" w:rsidRDefault="001A780D">
      <w:pPr>
        <w:pStyle w:val="Listaconvietas"/>
        <w:spacing w:after="60"/>
      </w:pPr>
      <w:r>
        <w:t>Sbarski, P., &amp; Kroonenburg, S. (2017). Serverless Architectures on AWS. Manning Publications.</w:t>
      </w:r>
    </w:p>
    <w:p w14:paraId="0F484241" w14:textId="77777777" w:rsidR="00C63DA2" w:rsidRDefault="001A780D">
      <w:pPr>
        <w:pStyle w:val="Listaconvietas"/>
        <w:spacing w:after="60"/>
      </w:pPr>
      <w:r>
        <w:t>Schwaber, K., &amp; Sutherland, J. (2020). The Scrum Guide. Scrum.org. https://scrumguides.org/scrum-guide.html</w:t>
      </w:r>
    </w:p>
    <w:p w14:paraId="62227A39" w14:textId="77777777" w:rsidR="00C63DA2" w:rsidRDefault="001A780D">
      <w:pPr>
        <w:pStyle w:val="Listaconvietas"/>
        <w:spacing w:after="60"/>
      </w:pPr>
      <w:r>
        <w:t>Wei, J., Wang, X., Schuurmans, D., Bosma, M., Xia, F., Chi, E., &amp; Zhou, D. (2022). Chain-of-thought prompting elicits reasoning in large language models. Advances in Neural Information Processing Systems, 35, 24824-24837.</w:t>
      </w:r>
    </w:p>
    <w:p w14:paraId="5FB7C8E7" w14:textId="77777777" w:rsidR="00C63DA2" w:rsidRDefault="001A780D">
      <w:pPr>
        <w:pStyle w:val="Listaconvietas"/>
        <w:spacing w:after="60"/>
      </w:pPr>
      <w:r>
        <w:t>Wiggins, G., &amp; McTighe, J. (2005). Understanding by Design (2nd ed.). ASCD.</w:t>
      </w:r>
    </w:p>
    <w:p w14:paraId="28A32AD9" w14:textId="77777777" w:rsidR="00C63DA2" w:rsidRDefault="001A780D">
      <w:pPr>
        <w:pStyle w:val="Listaconvietas"/>
        <w:spacing w:after="60"/>
      </w:pPr>
      <w:r>
        <w:t>Wittig, M., &amp; Wittig, A. (2018). Amazon Web Services in Action (2nd ed.). Manning Publications.</w:t>
      </w:r>
    </w:p>
    <w:p w14:paraId="16AF9403" w14:textId="77777777" w:rsidR="00C63DA2" w:rsidRDefault="001A780D">
      <w:pPr>
        <w:pStyle w:val="Listaconvietas"/>
        <w:spacing w:after="60"/>
      </w:pPr>
      <w:r>
        <w:t>Wu, Q., Bansal, G., Zhang, J., Wu, Y., Li, B., Zhu, E., &amp; Wang, C. (2023). AutoGen: Enabling next-gen LLM applications via multi-agent conversation. arXiv preprint arXiv:2308.08155.</w:t>
      </w:r>
    </w:p>
    <w:p w14:paraId="68CDEE03" w14:textId="77777777" w:rsidR="00C63DA2" w:rsidRDefault="001A780D">
      <w:pPr>
        <w:pStyle w:val="Listaconvietas"/>
        <w:spacing w:after="60"/>
      </w:pPr>
      <w:r>
        <w:t>Yao, S., Zhao, J., Yu, D., Du, N., Shafran, I., Narasimhan, K., &amp; Cao, Y. (2023). ReAct: Synergizing reasoning and acting in language models. International Conference on Learning Representations (ICLR).</w:t>
      </w:r>
    </w:p>
    <w:sectPr w:rsidR="00C63DA2"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780D"/>
    <w:rsid w:val="0029639D"/>
    <w:rsid w:val="00326F90"/>
    <w:rsid w:val="0042399E"/>
    <w:rsid w:val="00AA1D8D"/>
    <w:rsid w:val="00B47730"/>
    <w:rsid w:val="00C63DA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84CCB1"/>
  <w14:defaultImageDpi w14:val="300"/>
  <w15:docId w15:val="{7BF537BB-A286-4FFF-8742-88428508B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3910</Words>
  <Characters>21507</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Sebastian Julon Chamana</cp:lastModifiedBy>
  <cp:revision>3</cp:revision>
  <dcterms:created xsi:type="dcterms:W3CDTF">2013-12-23T23:15:00Z</dcterms:created>
  <dcterms:modified xsi:type="dcterms:W3CDTF">2026-04-30T23:20:00Z</dcterms:modified>
  <cp:category/>
</cp:coreProperties>
</file>