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Material para Capítulo 3 – Reciclado desde Marco Teórico</w:t>
      </w:r>
    </w:p>
    <w:p>
      <w:r>
        <w:t>Este documento contiene las secciones retiradas del Capítulo 2 (Marco Teórico) por ser demasiado específicas del sistema desarrollado. Su contenido es pertinente para el Capítulo 3 (Descripción del Sistema / Contexto de Implementación).</w:t>
      </w:r>
    </w:p>
    <w:p>
      <w:pPr>
        <w:pStyle w:val="Heading2"/>
      </w:pPr>
      <w:r>
        <w:t>Roles del equipo de producción</w:t>
      </w:r>
    </w:p>
    <w:p>
      <w:r>
        <w:t>Se explicará cada uno de los perfiles que intervienen en el proceso de virtualización de cursos, su responsabilidad específica dentro del flujo de producción y la relación entre ellos. Los roles a desarrollar son:</w:t>
      </w:r>
    </w:p>
    <w:p>
      <w:r>
        <w:rPr>
          <w:b/>
        </w:rPr>
        <w:t xml:space="preserve">DDA (Dirección de Diseño Académico): </w:t>
      </w:r>
      <w:r>
        <w:t>Rol con visión macro del proceso de producción. Puede intervenir y tomar decisiones sobre cualquier curso en cualquier momento. No necesariamente es experto en el contenido de cada asignatura.</w:t>
      </w:r>
    </w:p>
    <w:p>
      <w:r>
        <w:rPr>
          <w:b/>
        </w:rPr>
        <w:t xml:space="preserve">LxD (Learning Designer / Diseñador Instruccional): </w:t>
      </w:r>
      <w:r>
        <w:t>Profesional que diseña la estructura instruccional del curso. Conoce cómo debe estructurarse un curso pero no es el experto en la materia. Es quien genera el IPES.</w:t>
      </w:r>
    </w:p>
    <w:p>
      <w:r>
        <w:rPr>
          <w:b/>
        </w:rPr>
        <w:t xml:space="preserve">Docente Virtualizador / Experto Temático: </w:t>
      </w:r>
      <w:r>
        <w:t>Experto en el contenido de la asignatura y responsable de crear los materiales instruccionales. Es el rol que el sistema replica mediante IA.</w:t>
      </w:r>
    </w:p>
    <w:p>
      <w:r>
        <w:rPr>
          <w:b/>
        </w:rPr>
        <w:t xml:space="preserve">Docente Revisor: </w:t>
      </w:r>
      <w:r>
        <w:t>Experto que revisa y valida los materiales generados —ya sea por humanos o por IA— antes de que pasen a producción. Es el validador final de calidad.</w:t>
      </w:r>
    </w:p>
    <w:p>
      <w:r>
        <w:rPr>
          <w:b/>
        </w:rPr>
        <w:t xml:space="preserve">Área de Evaluación: </w:t>
      </w:r>
      <w:r>
        <w:t>Equipo especializado en la construcción de instrumentos de evaluación (consignas, rúbricas, listas de cotejo). Verifica que las actividades calificadas estén bien construidas pedagógicamente.</w:t>
      </w:r>
    </w:p>
    <w:p>
      <w:pPr>
        <w:pStyle w:val="Heading2"/>
      </w:pPr>
      <w:r>
        <w:t>Catálogo de recursos educativos</w:t>
      </w:r>
    </w:p>
    <w:p>
      <w:r>
        <w:t>Se presentará el conjunto de tipos de recursos educativos que el sistema maneja. La clasificación de recursos es institucional: cada universidad puede definir su propio catálogo; el sistema utiliza el de la institución donde se validó el proyecto.</w:t>
      </w:r>
    </w:p>
    <w:tbl>
      <w:tblPr>
        <w:tblStyle w:val="TableGrid"/>
        <w:tblW w:type="auto" w:w="0"/>
        <w:tblLook w:firstColumn="1" w:firstRow="1" w:lastColumn="0" w:lastRow="0" w:noHBand="0" w:noVBand="1" w:val="04A0"/>
      </w:tblPr>
      <w:tblGrid>
        <w:gridCol w:w="4320"/>
        <w:gridCol w:w="4320"/>
      </w:tblGrid>
      <w:tr>
        <w:tc>
          <w:tcPr>
            <w:tcW w:type="dxa" w:w="4320"/>
          </w:tcPr>
          <w:p>
            <w:r>
              <w:rPr>
                <w:b/>
              </w:rPr>
              <w:t>Tipo de Recurso</w:t>
            </w:r>
          </w:p>
        </w:tc>
        <w:tc>
          <w:tcPr>
            <w:tcW w:type="dxa" w:w="4320"/>
          </w:tcPr>
          <w:p>
            <w:r>
              <w:rPr>
                <w:b/>
              </w:rPr>
              <w:t>Categoría</w:t>
            </w:r>
          </w:p>
        </w:tc>
      </w:tr>
      <w:tr>
        <w:tc>
          <w:tcPr>
            <w:tcW w:type="dxa" w:w="4320"/>
          </w:tcPr>
          <w:p>
            <w:r>
              <w:t>H5P</w:t>
            </w:r>
          </w:p>
        </w:tc>
        <w:tc>
          <w:tcPr>
            <w:tcW w:type="dxa" w:w="4320"/>
          </w:tcPr>
          <w:p>
            <w:r>
              <w:t>Contenido interactivo</w:t>
            </w:r>
          </w:p>
        </w:tc>
      </w:tr>
      <w:tr>
        <w:tc>
          <w:tcPr>
            <w:tcW w:type="dxa" w:w="4320"/>
          </w:tcPr>
          <w:p>
            <w:r>
              <w:t>HTML</w:t>
            </w:r>
          </w:p>
        </w:tc>
        <w:tc>
          <w:tcPr>
            <w:tcW w:type="dxa" w:w="4320"/>
          </w:tcPr>
          <w:p>
            <w:r>
              <w:t>Contenido interactivo</w:t>
            </w:r>
          </w:p>
        </w:tc>
      </w:tr>
      <w:tr>
        <w:tc>
          <w:tcPr>
            <w:tcW w:type="dxa" w:w="4320"/>
          </w:tcPr>
          <w:p>
            <w:r>
              <w:t>Rise</w:t>
            </w:r>
          </w:p>
        </w:tc>
        <w:tc>
          <w:tcPr>
            <w:tcW w:type="dxa" w:w="4320"/>
          </w:tcPr>
          <w:p>
            <w:r>
              <w:t>Contenido interactivo</w:t>
            </w:r>
          </w:p>
        </w:tc>
      </w:tr>
      <w:tr>
        <w:tc>
          <w:tcPr>
            <w:tcW w:type="dxa" w:w="4320"/>
          </w:tcPr>
          <w:p>
            <w:r>
              <w:t>Storyline</w:t>
            </w:r>
          </w:p>
        </w:tc>
        <w:tc>
          <w:tcPr>
            <w:tcW w:type="dxa" w:w="4320"/>
          </w:tcPr>
          <w:p>
            <w:r>
              <w:t>Contenido interactivo</w:t>
            </w:r>
          </w:p>
        </w:tc>
      </w:tr>
      <w:tr>
        <w:tc>
          <w:tcPr>
            <w:tcW w:type="dxa" w:w="4320"/>
          </w:tcPr>
          <w:p>
            <w:r>
              <w:t>Video Explicativo</w:t>
            </w:r>
          </w:p>
        </w:tc>
        <w:tc>
          <w:tcPr>
            <w:tcW w:type="dxa" w:w="4320"/>
          </w:tcPr>
          <w:p>
            <w:r>
              <w:t>Audiovisual</w:t>
            </w:r>
          </w:p>
        </w:tc>
      </w:tr>
      <w:tr>
        <w:tc>
          <w:tcPr>
            <w:tcW w:type="dxa" w:w="4320"/>
          </w:tcPr>
          <w:p>
            <w:r>
              <w:t>Video Demo</w:t>
            </w:r>
          </w:p>
        </w:tc>
        <w:tc>
          <w:tcPr>
            <w:tcW w:type="dxa" w:w="4320"/>
          </w:tcPr>
          <w:p>
            <w:r>
              <w:t>Audiovisual</w:t>
            </w:r>
          </w:p>
        </w:tc>
      </w:tr>
      <w:tr>
        <w:tc>
          <w:tcPr>
            <w:tcW w:type="dxa" w:w="4320"/>
          </w:tcPr>
          <w:p>
            <w:r>
              <w:t>Video Interactivo</w:t>
            </w:r>
          </w:p>
        </w:tc>
        <w:tc>
          <w:tcPr>
            <w:tcW w:type="dxa" w:w="4320"/>
          </w:tcPr>
          <w:p>
            <w:r>
              <w:t>Audiovisual</w:t>
            </w:r>
          </w:p>
        </w:tc>
      </w:tr>
      <w:tr>
        <w:tc>
          <w:tcPr>
            <w:tcW w:type="dxa" w:w="4320"/>
          </w:tcPr>
          <w:p>
            <w:r>
              <w:t>Podcast</w:t>
            </w:r>
          </w:p>
        </w:tc>
        <w:tc>
          <w:tcPr>
            <w:tcW w:type="dxa" w:w="4320"/>
          </w:tcPr>
          <w:p>
            <w:r>
              <w:t>Audiovisual</w:t>
            </w:r>
          </w:p>
        </w:tc>
      </w:tr>
      <w:tr>
        <w:tc>
          <w:tcPr>
            <w:tcW w:type="dxa" w:w="4320"/>
          </w:tcPr>
          <w:p>
            <w:r>
              <w:t>Separata</w:t>
            </w:r>
          </w:p>
        </w:tc>
        <w:tc>
          <w:tcPr>
            <w:tcW w:type="dxa" w:w="4320"/>
          </w:tcPr>
          <w:p>
            <w:r>
              <w:t>Lectura</w:t>
            </w:r>
          </w:p>
        </w:tc>
      </w:tr>
      <w:tr>
        <w:tc>
          <w:tcPr>
            <w:tcW w:type="dxa" w:w="4320"/>
          </w:tcPr>
          <w:p>
            <w:r>
              <w:t>Manual</w:t>
            </w:r>
          </w:p>
        </w:tc>
        <w:tc>
          <w:tcPr>
            <w:tcW w:type="dxa" w:w="4320"/>
          </w:tcPr>
          <w:p>
            <w:r>
              <w:t>Lectura</w:t>
            </w:r>
          </w:p>
        </w:tc>
      </w:tr>
      <w:tr>
        <w:tc>
          <w:tcPr>
            <w:tcW w:type="dxa" w:w="4320"/>
          </w:tcPr>
          <w:p>
            <w:r>
              <w:t>Lectura</w:t>
            </w:r>
          </w:p>
        </w:tc>
        <w:tc>
          <w:tcPr>
            <w:tcW w:type="dxa" w:w="4320"/>
          </w:tcPr>
          <w:p>
            <w:r>
              <w:t>Lectura</w:t>
            </w:r>
          </w:p>
        </w:tc>
      </w:tr>
      <w:tr>
        <w:tc>
          <w:tcPr>
            <w:tcW w:type="dxa" w:w="4320"/>
          </w:tcPr>
          <w:p>
            <w:r>
              <w:t>Organizador Visual</w:t>
            </w:r>
          </w:p>
        </w:tc>
        <w:tc>
          <w:tcPr>
            <w:tcW w:type="dxa" w:w="4320"/>
          </w:tcPr>
          <w:p>
            <w:r>
              <w:t>Visual / gráfico</w:t>
            </w:r>
          </w:p>
        </w:tc>
      </w:tr>
      <w:tr>
        <w:tc>
          <w:tcPr>
            <w:tcW w:type="dxa" w:w="4320"/>
          </w:tcPr>
          <w:p>
            <w:r>
              <w:t>Lectura Complementaria</w:t>
            </w:r>
          </w:p>
        </w:tc>
        <w:tc>
          <w:tcPr>
            <w:tcW w:type="dxa" w:w="4320"/>
          </w:tcPr>
          <w:p>
            <w:r>
              <w:t>Lectura opcional</w:t>
            </w:r>
          </w:p>
        </w:tc>
      </w:tr>
    </w:tbl>
    <w:p/>
    <w:p>
      <w:pPr>
        <w:pStyle w:val="Heading2"/>
      </w:pPr>
      <w:r>
        <w:t>Rúbrica de evaluación de calidad del contenido generado</w:t>
      </w:r>
    </w:p>
    <w:p>
      <w:r>
        <w:t>Se describirá el instrumento de evaluación construido para que los Docentes Revisores valoren la calidad pedagógica del contenido generado por el sistema. A diferencia de las métricas técnicas, este instrumento mide la calidad percibida por expertos a través de seis criterios que cubren alineación, exactitud, rigor, adecuación al nivel del alumno, calidad de ejemplos y capacidad motivadora del material.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w:t>
            </w:r>
          </w:p>
        </w:tc>
        <w:tc>
          <w:tcPr>
            <w:tcW w:type="dxa" w:w="2160"/>
          </w:tcPr>
          <w:p>
            <w:r>
              <w:rPr>
                <w:b/>
              </w:rPr>
              <w:t>Estándar Máximo (5 pts)</w:t>
            </w:r>
          </w:p>
        </w:tc>
        <w:tc>
          <w:tcPr>
            <w:tcW w:type="dxa" w:w="2160"/>
          </w:tcPr>
          <w:p>
            <w:r>
              <w:rPr>
                <w:b/>
              </w:rPr>
              <w:t>Estándar Medio (3 pts)</w:t>
            </w:r>
          </w:p>
        </w:tc>
        <w:tc>
          <w:tcPr>
            <w:tcW w:type="dxa" w:w="2160"/>
          </w:tcPr>
          <w:p>
            <w:r>
              <w:rPr>
                <w:b/>
              </w:rPr>
              <w:t>Estándar Inicial (1 pt)</w:t>
            </w:r>
          </w:p>
        </w:tc>
      </w:tr>
      <w:tr>
        <w:tc>
          <w:tcPr>
            <w:tcW w:type="dxa" w:w="2160"/>
          </w:tcPr>
          <w:p>
            <w:r>
              <w:t>Alineación del contenido</w:t>
            </w:r>
          </w:p>
        </w:tc>
        <w:tc>
          <w:tcPr>
            <w:tcW w:type="dxa" w:w="2160"/>
          </w:tcPr>
          <w:p>
            <w:r>
              <w:t>El contenido tiene una conexión clara con el logro de la unidad y cubre el tema con un alcance completo, sin dejar vacíos de información.</w:t>
            </w:r>
          </w:p>
        </w:tc>
        <w:tc>
          <w:tcPr>
            <w:tcW w:type="dxa" w:w="2160"/>
          </w:tcPr>
          <w:p>
            <w:r>
              <w:t>El contenido está relacionado con el logro de la unidad pero incluye material solo tangencialmente relacionado o que divaga.</w:t>
            </w:r>
          </w:p>
        </w:tc>
        <w:tc>
          <w:tcPr>
            <w:tcW w:type="dxa" w:w="2160"/>
          </w:tcPr>
          <w:p>
            <w:r>
              <w:t>El contenido no está relacionado con sus logros y/o tiene material con un alcance insuficiente.</w:t>
            </w:r>
          </w:p>
        </w:tc>
      </w:tr>
      <w:tr>
        <w:tc>
          <w:tcPr>
            <w:tcW w:type="dxa" w:w="2160"/>
          </w:tcPr>
          <w:p>
            <w:r>
              <w:t>Exactitud del contenido</w:t>
            </w:r>
          </w:p>
        </w:tc>
        <w:tc>
          <w:tcPr>
            <w:tcW w:type="dxa" w:w="2160"/>
          </w:tcPr>
          <w:p>
            <w:r>
              <w:t>El contenido del material es completamente factualmente correcto y tiene suficientes matices para el tema.</w:t>
            </w:r>
          </w:p>
        </w:tc>
        <w:tc>
          <w:tcPr>
            <w:tcW w:type="dxa" w:w="2160"/>
          </w:tcPr>
          <w:p>
            <w:r>
              <w:t>El contenido del material tiene errores factuales superficiales como terminología equivocada, simplificaciones o imprecisiones, pero encaja con el tema.</w:t>
            </w:r>
          </w:p>
        </w:tc>
        <w:tc>
          <w:tcPr>
            <w:tcW w:type="dxa" w:w="2160"/>
          </w:tcPr>
          <w:p>
            <w:r>
              <w:t>El contenido del material tiene errores factuales profundos o no encaja con el tema.</w:t>
            </w:r>
          </w:p>
        </w:tc>
      </w:tr>
      <w:tr>
        <w:tc>
          <w:tcPr>
            <w:tcW w:type="dxa" w:w="2160"/>
          </w:tcPr>
          <w:p>
            <w:r>
              <w:t>Rigor académico</w:t>
            </w:r>
          </w:p>
        </w:tc>
        <w:tc>
          <w:tcPr>
            <w:tcW w:type="dxa" w:w="2160"/>
          </w:tcPr>
          <w:p>
            <w:r>
              <w:t>El contenido del material es profundo, creíble y cita / se basa en fuentes confiables.</w:t>
            </w:r>
          </w:p>
        </w:tc>
        <w:tc>
          <w:tcPr>
            <w:tcW w:type="dxa" w:w="2160"/>
          </w:tcPr>
          <w:p>
            <w:r>
              <w:t>El contenido es superficial o hace afirmaciones cuestionables / poco creíbles.</w:t>
            </w:r>
          </w:p>
        </w:tc>
        <w:tc>
          <w:tcPr>
            <w:tcW w:type="dxa" w:w="2160"/>
          </w:tcPr>
          <w:p>
            <w:r>
              <w:t>El contenido no tiene sustento o hace afirmaciones sin soporte.</w:t>
            </w:r>
          </w:p>
        </w:tc>
      </w:tr>
      <w:tr>
        <w:tc>
          <w:tcPr>
            <w:tcW w:type="dxa" w:w="2160"/>
          </w:tcPr>
          <w:p>
            <w:r>
              <w:t>Propiedad para el nivel del alumno</w:t>
            </w:r>
          </w:p>
        </w:tc>
        <w:tc>
          <w:tcPr>
            <w:tcW w:type="dxa" w:w="2160"/>
          </w:tcPr>
          <w:p>
            <w:r>
              <w:t>El vocabulario, el nivel de dificultad y complejidad del material son los adecuados para el nivel del alumno.</w:t>
            </w:r>
          </w:p>
        </w:tc>
        <w:tc>
          <w:tcPr>
            <w:tcW w:type="dxa" w:w="2160"/>
          </w:tcPr>
          <w:p>
            <w:r>
              <w:t>El vocabulario, nivel de dificultad y complejidad son ligeramente muy avanzados o muy simples para el nivel del alumno.</w:t>
            </w:r>
          </w:p>
        </w:tc>
        <w:tc>
          <w:tcPr>
            <w:tcW w:type="dxa" w:w="2160"/>
          </w:tcPr>
          <w:p>
            <w:r>
              <w:t>El vocabulario, nivel de dificultad y complejidad no tienen conexión con el nivel del alumno.</w:t>
            </w:r>
          </w:p>
        </w:tc>
      </w:tr>
      <w:tr>
        <w:tc>
          <w:tcPr>
            <w:tcW w:type="dxa" w:w="2160"/>
          </w:tcPr>
          <w:p>
            <w:r>
              <w:t>Calidad de ejemplos</w:t>
            </w:r>
          </w:p>
        </w:tc>
        <w:tc>
          <w:tcPr>
            <w:tcW w:type="dxa" w:w="2160"/>
          </w:tcPr>
          <w:p>
            <w:r>
              <w:t>El contenido tiene ejemplos relevantes y concretos que suplementan los conceptos explicados.</w:t>
            </w:r>
          </w:p>
        </w:tc>
        <w:tc>
          <w:tcPr>
            <w:tcW w:type="dxa" w:w="2160"/>
          </w:tcPr>
          <w:p>
            <w:r>
              <w:t>El contenido tiene ejemplos genéricos o solo parcialmente relevantes a los conceptos explicados.</w:t>
            </w:r>
          </w:p>
        </w:tc>
        <w:tc>
          <w:tcPr>
            <w:tcW w:type="dxa" w:w="2160"/>
          </w:tcPr>
          <w:p>
            <w:r>
              <w:t>El contenido tiene ejemplos confusos, pobres o no existentes.</w:t>
            </w:r>
          </w:p>
        </w:tc>
      </w:tr>
      <w:tr>
        <w:tc>
          <w:tcPr>
            <w:tcW w:type="dxa" w:w="2160"/>
          </w:tcPr>
          <w:p>
            <w:r>
              <w:t>Probabilidad de que el alumno complete el material</w:t>
            </w:r>
          </w:p>
        </w:tc>
        <w:tc>
          <w:tcPr>
            <w:tcW w:type="dxa" w:w="2160"/>
          </w:tcPr>
          <w:p>
            <w:r>
              <w:t>El contenido puede generar interés intrínsecamente y haría que los alumnos lo revisen voluntariamente.</w:t>
            </w:r>
          </w:p>
        </w:tc>
        <w:tc>
          <w:tcPr>
            <w:tcW w:type="dxa" w:w="2160"/>
          </w:tcPr>
          <w:p>
            <w:r>
              <w:t>El contenido se presta a que los alumnos lo lean si es requerido pero no es motivador.</w:t>
            </w:r>
          </w:p>
        </w:tc>
        <w:tc>
          <w:tcPr>
            <w:tcW w:type="dxa" w:w="2160"/>
          </w:tcPr>
          <w:p>
            <w:r>
              <w:t>El contenido se presta a que los alumnos lo revisen superficialmente o lo salten aunque sea requerido.</w:t>
            </w:r>
          </w:p>
        </w:tc>
      </w:tr>
    </w:tbl>
    <w:p/>
    <w:p>
      <w:r>
        <w:t>Se explicará cada criterio en relación con el tipo de contenido que el sistema genera, y por qué estos seis aspectos son los relevantes para juzgar la calidad de un material instruccional generado por IA en el contexto universitario.</w:t>
      </w:r>
    </w:p>
    <w:p>
      <w:pPr>
        <w:pStyle w:val="Heading2"/>
      </w:pPr>
      <w:r>
        <w:t>Servicios AWS – Descripción específica</w:t>
      </w:r>
    </w:p>
    <w:p>
      <w:r>
        <w:t>Las siguientes secciones describen en detalle los cuatro servicios de Amazon Web Services utilizados en la implementación del backend del sistema.</w:t>
      </w:r>
    </w:p>
    <w:p>
      <w:pPr>
        <w:pStyle w:val="Heading3"/>
      </w:pPr>
      <w:r>
        <w:t>Amazon SQS (Simple Queue Service)</w:t>
      </w:r>
    </w:p>
    <w:p>
      <w:r>
        <w:t>Amazon SQS es el servicio de cola de mensajes completamente gestionado que administra los trabajos de generación de contenido del sistema. Cada solicitud de generación de curso se encola como un mensaje; SQS actúa como buffer ante múltiples solicitudes simultáneas y garantiza que ningún trabajo se pierda ante fallos del worker, dado que el mensaje permanece en la cola hasta ser procesado exitosamente. La integración nativa con Lambda permite que SQS dispare la función de procesamiento automáticamente cuando hay mensajes disponibles, sin necesidad de polling activo por parte del sistema.</w:t>
      </w:r>
    </w:p>
    <w:p>
      <w:pPr>
        <w:pStyle w:val="Heading3"/>
      </w:pPr>
      <w:r>
        <w:t>Amazon SNS (Simple Notification Service)</w:t>
      </w:r>
    </w:p>
    <w:p>
      <w:r>
        <w:t>Amazon SNS es el servicio de mensajería de publicación/suscripción (pub/sub) que comunica la finalización de un trabajo de generación a los sistemas interesados. Cuando el worker concluye el procesamiento, publica un evento en un SNS topic; los suscriptores registrados —otros servicios o webhooks— reaccionan a ese evento sin que el worker necesite conocerlos directamente. Esta arquitectura permite aplicar el patrón fanout: SNS distribuye el evento de finalización a múltiples destinos en paralelo, desacoplando la lógica de notificación del código de generación.</w:t>
      </w:r>
    </w:p>
    <w:p>
      <w:pPr>
        <w:pStyle w:val="Heading3"/>
      </w:pPr>
      <w:r>
        <w:t>Webhooks</w:t>
      </w:r>
    </w:p>
    <w:p>
      <w:r>
        <w:t>Un webhook es una llamada HTTP que el servidor realiza automáticamente a una URL predefinida por el cliente cuando un evento específico ocurre. A diferencia del polling —donde el cliente consulta repetidamente el estado del trabajo—, el webhook empuja la notificación en el momento exacto en que el resultado está listo, eliminando el tráfico innecesario durante el procesamiento. En el sistema, al enviar la solicitud de generación el cliente registra una URL de callback; cuando el worker finaliza, SNS dispara el webhook hacia esa URL con el resultado del trabajo (Fielding &amp; Taylor, 2002).</w:t>
      </w:r>
    </w:p>
    <w:p>
      <w:pPr>
        <w:pStyle w:val="Heading3"/>
      </w:pPr>
      <w:r>
        <w:t>AWS Lambda (Cómputo Serverless)</w:t>
      </w:r>
    </w:p>
    <w:p>
      <w:r>
        <w:t>AWS Lambda es el servicio de cómputo serverless que ejecuta el pipeline de agentes LLM en el backend. El desarrollador despliega el código como una función y AWS gestiona el provisionamiento, el escalado y la ejecución en respuesta a eventos, sin necesidad de administrar servidores. Lambda admite un timeout máximo de 15 minutos por ejecución, límite que ninguna generación del sistema supera —ni siquiera el pipeline multi-agente completo—, lo que hace que el servicio cubra el caso de uso sin requerir instancias de larga ejecución. Además, Lambda escala horizontalmente de forma automática y cobra únicamente por el tiempo de cómputo consumido durante la ejecución, lo que reduce el costo operativo para un sistema de uso no continuo (Sbarski &amp; Kroonenburg, 2017).</w:t>
      </w:r>
    </w:p>
    <w:p>
      <w:pPr>
        <w:pStyle w:val="Heading3"/>
      </w:pPr>
      <w:r>
        <w:t>Amazon API Gateway</w:t>
      </w:r>
    </w:p>
    <w:p>
      <w:r>
        <w:t>Amazon API Gateway es el único punto de entrada HTTP del backend. Gestiona y expone las rutas del sistema, enrutando cada solicitud a la función Lambda correspondiente y centralizando autenticación, rate limiting y logging sin requerir servidores de API propios. Esta separación de responsabilidades —API Gateway maneja la capa de transporte mientras Lambda maneja la lógica de negocio— sigue el principio de diseño de sistemas distribuidos que desacopla las preocupaciones de red de las de procesamiento (Richardson, 2018).</w:t>
      </w:r>
    </w:p>
    <w:p>
      <w:pPr>
        <w:pStyle w:val="Heading2"/>
      </w:pPr>
      <w:r>
        <w:t>Referencias</w:t>
      </w:r>
    </w:p>
    <w:p>
      <w:r>
        <w:t>Amazon Web Services. (2024). Amazon API Gateway Developer Guide. https://docs.aws.amazon.com/apigateway/</w:t>
      </w:r>
    </w:p>
    <w:p>
      <w:r>
        <w:t>Amazon Web Services. (2024). Amazon SQS Developer Guide. https://docs.aws.amazon.com/sqs/</w:t>
      </w:r>
    </w:p>
    <w:p>
      <w:r>
        <w:t>Amazon Web Services. (2024). Amazon SNS Developer Guide. https://docs.aws.amazon.com/sns/</w:t>
      </w:r>
    </w:p>
    <w:p>
      <w:r>
        <w:t>Amazon Web Services. (2024). AWS Lambda Developer Guide. https://docs.aws.amazon.com/lambda/</w:t>
      </w:r>
    </w:p>
    <w:p>
      <w:r>
        <w:t>Fielding, R. T., &amp; Taylor, R. N. (2002). Principled design of the modern web architecture. ACM Transactions on Internet Technology, 2(2), 115–150.</w:t>
      </w:r>
    </w:p>
    <w:p>
      <w:r>
        <w:t>Kasneci, E., Sessler, K., Küchemann, S., Bannert, M., Dementieva, D., Fischer, F., &amp; Kasneci, G. (2023). ChatGPT for good? On opportunities and challenges of large language models for education. Learning and Individual Differences, 103, 102274.</w:t>
      </w:r>
    </w:p>
    <w:p>
      <w:r>
        <w:t>Richardson, C. (2018). Microservices Patterns: With Examples in Java. Manning Publications.</w:t>
      </w:r>
    </w:p>
    <w:p>
      <w:r>
        <w:t>Sbarski, P., &amp; Kroonenburg, S. (2017). Serverless Architectures on AWS. Manning Publications.</w:t>
      </w:r>
    </w:p>
    <w:p>
      <w:r>
        <w:t>Wiggins, G., &amp; McTighe, J. (2005). Understanding by Design (2nd ed.). ASCD.</w:t>
      </w:r>
    </w:p>
    <w:p>
      <w:r>
        <w:t>Wittig, M., &amp; Wittig, A. (2018). Amazon Web Services in Action (2nd ed.). Manning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