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400"/>
        <w:jc w:val="center"/>
      </w:pPr>
      <w:r>
        <w:rPr>
          <w:rFonts w:ascii="Calibri" w:hAnsi="Calibri" w:eastAsia="Microsoft YaHei"/>
          <w:b/>
          <w:color w:val="2E74B5"/>
          <w:sz w:val="24"/>
        </w:rPr>
        <w:t>CYANCRUISE · 青途启航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7233D"/>
          <w:sz w:val="60"/>
        </w:rPr>
        <w:t>系统测试报告</w:t>
      </w:r>
    </w:p>
    <w:p>
      <w:pPr>
        <w:spacing w:after="680"/>
        <w:jc w:val="center"/>
      </w:pPr>
      <w:r>
        <w:rPr>
          <w:rFonts w:ascii="Calibri" w:hAnsi="Calibri" w:eastAsia="Microsoft YaHei"/>
          <w:color w:val="1F4D78"/>
          <w:sz w:val="28"/>
        </w:rPr>
        <w:t>基于金蝶云苍穹的 AI 职业发展与升学规划平台</w:t>
      </w:r>
    </w:p>
    <w:p>
      <w:pPr>
        <w:spacing w:after="680"/>
        <w:jc w:val="center"/>
      </w:pPr>
      <w:r>
        <w:rPr>
          <w:rFonts w:ascii="Calibri" w:hAnsi="Calibri" w:eastAsia="Microsoft YaHei"/>
          <w:i/>
          <w:color w:val="64748B"/>
          <w:sz w:val="22"/>
        </w:rPr>
        <w:t>自动化验证结果 + 功能验收用例 + 截图证据模板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6E0EE"/>
          <w:left w:val="single" w:sz="6" w:space="0" w:color="D6E0EE"/>
          <w:bottom w:val="single" w:sz="6" w:space="0" w:color="D6E0EE"/>
          <w:right w:val="single" w:sz="6" w:space="0" w:color="D6E0EE"/>
          <w:insideH w:val="single" w:sz="6" w:space="0" w:color="D6E0EE"/>
          <w:insideV w:val="single" w:sz="6" w:space="0" w:color="D6E0EE"/>
        </w:tblBorders>
      </w:tblPr>
      <w:tblGrid>
        <w:gridCol w:w="2400"/>
        <w:gridCol w:w="6960"/>
      </w:tblGrid>
      <w:tr>
        <w:tc>
          <w:tcPr>
            <w:tcW w:type="dxa" w:w="2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报告版本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7233D"/>
                <w:sz w:val="21"/>
              </w:rPr>
              <w:t>V1.0（评审稿）</w:t>
            </w:r>
          </w:p>
        </w:tc>
      </w:tr>
      <w:tr>
        <w:tc>
          <w:tcPr>
            <w:tcW w:type="dxa" w:w="2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测试对象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7233D"/>
                <w:sz w:val="21"/>
              </w:rPr>
              <w:t>CyanCruise 当前工作区快照</w:t>
            </w:r>
          </w:p>
        </w:tc>
      </w:tr>
      <w:tr>
        <w:tc>
          <w:tcPr>
            <w:tcW w:type="dxa" w:w="2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代码基线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7233D"/>
                <w:sz w:val="21"/>
              </w:rPr>
              <w:t>分支 Add-Agent / 提交 ea83037 / 含当前未提交变更</w:t>
            </w:r>
          </w:p>
        </w:tc>
      </w:tr>
      <w:tr>
        <w:tc>
          <w:tcPr>
            <w:tcW w:type="dxa" w:w="2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测试日期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7233D"/>
                <w:sz w:val="21"/>
              </w:rPr>
              <w:t>2026-07-19</w:t>
            </w:r>
          </w:p>
        </w:tc>
      </w:tr>
      <w:tr>
        <w:tc>
          <w:tcPr>
            <w:tcW w:type="dxa" w:w="2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编制单位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7233D"/>
                <w:sz w:val="21"/>
              </w:rPr>
              <w:t>CyanCruise 项目组</w:t>
            </w:r>
          </w:p>
        </w:tc>
      </w:tr>
      <w:tr>
        <w:tc>
          <w:tcPr>
            <w:tcW w:type="dxa" w:w="2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验收状态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7233D"/>
                <w:sz w:val="21"/>
              </w:rPr>
              <w:t>自动化验证通过；人工界面与生产环境证据待补</w:t>
            </w:r>
          </w:p>
        </w:tc>
      </w:tr>
    </w:tbl>
    <w:p>
      <w:pPr>
        <w:spacing w:before="1000"/>
        <w:jc w:val="center"/>
      </w:pPr>
      <w:r>
        <w:rPr>
          <w:rFonts w:ascii="Calibri" w:hAnsi="Calibri" w:eastAsia="Microsoft YaHei"/>
          <w:b/>
          <w:color w:val="A95B21"/>
          <w:sz w:val="30"/>
        </w:rPr>
        <w:t>测试结论：有条件通过</w:t>
      </w:r>
    </w:p>
    <w:p>
      <w:pPr>
        <w:jc w:val="center"/>
      </w:pPr>
      <w:r>
        <w:rPr>
          <w:rFonts w:ascii="Calibri" w:hAnsi="Calibri" w:eastAsia="Microsoft YaHei"/>
          <w:color w:val="64748B"/>
          <w:sz w:val="20"/>
        </w:rPr>
        <w:t>完成全部人工用例、生产环境联调及截图补证后，可转为正式验收版。</w:t>
      </w:r>
    </w:p>
    <w:p>
      <w:r>
        <w:rPr>
          <w:rFonts w:ascii="Calibri" w:hAnsi="Calibri" w:eastAsia="Microsoft YaHei"/>
          <w:color w:val="17233D"/>
          <w:sz w:val="22"/>
        </w:rPr>
        <w:br w:type="page"/>
      </w:r>
    </w:p>
    <w:p>
      <w:pPr>
        <w:keepNext/>
        <w:spacing w:before="80" w:after="280" w:line="240" w:lineRule="auto"/>
        <w:shd w:fill="2E74B5"/>
      </w:pPr>
      <w:r>
        <w:rPr>
          <w:rFonts w:ascii="Calibri" w:hAnsi="Calibri" w:eastAsia="Microsoft YaHei"/>
          <w:b/>
          <w:color w:val="FFFFFF"/>
          <w:sz w:val="30"/>
        </w:rPr>
        <w:t>文档控制</w:t>
      </w:r>
      <w:r>
        <w:rPr>
          <w:rFonts w:ascii="Calibri" w:hAnsi="Calibri" w:eastAsia="Microsoft YaHei"/>
          <w:b/>
          <w:color w:val="FFFFFF"/>
          <w:sz w:val="30"/>
        </w:rPr>
        <w:t xml:space="preserve">   版本与使用说明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00"/>
        <w:gridCol w:w="1500"/>
        <w:gridCol w:w="1900"/>
        <w:gridCol w:w="3760"/>
        <w:gridCol w:w="130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日期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编制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变更说明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</w:tr>
      <w:tr>
        <w:tc>
          <w:tcPr>
            <w:tcW w:type="dxa" w:w="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V1.0</w:t>
            </w:r>
          </w:p>
        </w:tc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9"/>
              </w:rPr>
              <w:t>2026-07-19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9"/>
              </w:rPr>
              <w:t>CyanCruise 项目组</w:t>
            </w:r>
          </w:p>
        </w:tc>
        <w:tc>
          <w:tcPr>
            <w:tcW w:type="dxa" w:w="37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9"/>
              </w:rPr>
              <w:t>首次生成完整测试报告，纳入自动化结果、功能用例和截图占位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评审稿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使用说明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本报告中的自动化结果来自 2026-07-19 对当前工作区实际执行的命令，不是预估数据。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结果为“自动化通过 / 界面待验”的用例，表示底层规则、应用服务或接口已有自动化覆盖，但仍需补充真实页面截图。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结果为“待环境验证”的用例依赖金蝶智能体平台、Cosmic 身份/附件服务或真实 PostgreSQL 配置，需在部署环境执行。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附录中的灰色截图框可在 Word 中选中图片后使用“更改图片”替换为实际截图。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0" w:space="0" w:color="FFF1E6"/>
          <w:left w:val="single" w:sz="0" w:space="0" w:color="FFF1E6"/>
          <w:bottom w:val="single" w:sz="0" w:space="0" w:color="FFF1E6"/>
          <w:right w:val="single" w:sz="0" w:space="0" w:color="FFF1E6"/>
          <w:insideH w:val="single" w:sz="0" w:space="0" w:color="FFF1E6"/>
          <w:insideV w:val="single" w:sz="0" w:space="0" w:color="FFF1E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E6" w:val="clear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A95B21"/>
                <w:sz w:val="21"/>
              </w:rPr>
              <w:t xml:space="preserve">基线说明  </w:t>
            </w:r>
            <w:r>
              <w:rPr>
                <w:rFonts w:ascii="Calibri" w:hAnsi="Calibri" w:eastAsia="Microsoft YaHei"/>
                <w:color w:val="17233D"/>
                <w:sz w:val="21"/>
              </w:rPr>
              <w:t>测试时工作区存在未提交变更。本报告反映的是执行时工作区状态，而不仅是提交 ea83037 的内容。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报告目录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79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章节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1</w:t>
            </w:r>
          </w:p>
        </w:tc>
        <w:tc>
          <w:tcPr>
            <w:tcW w:type="dxa" w:w="79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测试摘要与结论</w:t>
            </w:r>
          </w:p>
        </w:tc>
      </w:tr>
      <w:tr>
        <w:tc>
          <w:tcPr>
            <w:tcW w:type="dxa" w:w="14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2</w:t>
            </w:r>
          </w:p>
        </w:tc>
        <w:tc>
          <w:tcPr>
            <w:tcW w:type="dxa" w:w="79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被测系统与测试范围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3</w:t>
            </w:r>
          </w:p>
        </w:tc>
        <w:tc>
          <w:tcPr>
            <w:tcW w:type="dxa" w:w="79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测试策略与准入准出标准</w:t>
            </w:r>
          </w:p>
        </w:tc>
      </w:tr>
      <w:tr>
        <w:tc>
          <w:tcPr>
            <w:tcW w:type="dxa" w:w="14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4</w:t>
            </w:r>
          </w:p>
        </w:tc>
        <w:tc>
          <w:tcPr>
            <w:tcW w:type="dxa" w:w="79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测试环境与数据准备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5</w:t>
            </w:r>
          </w:p>
        </w:tc>
        <w:tc>
          <w:tcPr>
            <w:tcW w:type="dxa" w:w="79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自动化测试结果</w:t>
            </w:r>
          </w:p>
        </w:tc>
      </w:tr>
      <w:tr>
        <w:tc>
          <w:tcPr>
            <w:tcW w:type="dxa" w:w="14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6</w:t>
            </w:r>
          </w:p>
        </w:tc>
        <w:tc>
          <w:tcPr>
            <w:tcW w:type="dxa" w:w="79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功能测试用例与执行状态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7</w:t>
            </w:r>
          </w:p>
        </w:tc>
        <w:tc>
          <w:tcPr>
            <w:tcW w:type="dxa" w:w="79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非功能、兼容与安全验证</w:t>
            </w:r>
          </w:p>
        </w:tc>
      </w:tr>
      <w:tr>
        <w:tc>
          <w:tcPr>
            <w:tcW w:type="dxa" w:w="14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8</w:t>
            </w:r>
          </w:p>
        </w:tc>
        <w:tc>
          <w:tcPr>
            <w:tcW w:type="dxa" w:w="79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缺陷、限制与残余风险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9</w:t>
            </w:r>
          </w:p>
        </w:tc>
        <w:tc>
          <w:tcPr>
            <w:tcW w:type="dxa" w:w="79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最终验收结论与签署</w:t>
            </w:r>
          </w:p>
        </w:tc>
      </w:tr>
      <w:tr>
        <w:tc>
          <w:tcPr>
            <w:tcW w:type="dxa" w:w="14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附录 A</w:t>
            </w:r>
          </w:p>
        </w:tc>
        <w:tc>
          <w:tcPr>
            <w:tcW w:type="dxa" w:w="79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测试结果截图占位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附录 B</w:t>
            </w:r>
          </w:p>
        </w:tc>
        <w:tc>
          <w:tcPr>
            <w:tcW w:type="dxa" w:w="79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执行命令与证据索引</w:t>
            </w:r>
          </w:p>
        </w:tc>
      </w:tr>
    </w:tbl>
    <w:p>
      <w:pPr>
        <w:spacing w:after="0"/>
      </w:pPr>
    </w:p>
    <w:p>
      <w:pPr>
        <w:keepNext/>
        <w:spacing w:before="80" w:after="280" w:line="240" w:lineRule="auto"/>
        <w:shd w:fill="2E74B5"/>
      </w:pPr>
      <w:r>
        <w:rPr>
          <w:rFonts w:ascii="Calibri" w:hAnsi="Calibri" w:eastAsia="Microsoft YaHei"/>
          <w:b/>
          <w:color w:val="FFFFFF"/>
          <w:sz w:val="30"/>
        </w:rPr>
        <w:t>1</w:t>
      </w:r>
      <w:r>
        <w:rPr>
          <w:rFonts w:ascii="Calibri" w:hAnsi="Calibri" w:eastAsia="Microsoft YaHei"/>
          <w:b/>
          <w:color w:val="FFFFFF"/>
          <w:sz w:val="30"/>
        </w:rPr>
        <w:t xml:space="preserve">   测试摘要与结论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7233D"/>
          <w:sz w:val="22"/>
        </w:rPr>
        <w:t>本次测试以 CyanCruise 当前工作区为对象，覆盖 Java 构建、JUnit 自动化测试、前端脚本语法、页面路由契约、OpenSpec 严格校验以及主要业务功能的人工验收设计。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1400"/>
        <w:gridCol w:w="57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验证项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结果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证据摘要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Gradle 构建</w:t>
            </w:r>
          </w:p>
        </w:tc>
        <w:tc>
          <w:tcPr>
            <w:tcW w:type="dxa" w:w="14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20"/>
              </w:rPr>
              <w:t>通过</w:t>
            </w:r>
          </w:p>
        </w:tc>
        <w:tc>
          <w:tcPr>
            <w:tcW w:type="dxa" w:w="57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BUILD SUCCESSFUL，1 分 6 秒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JUnit</w:t>
            </w:r>
          </w:p>
        </w:tc>
        <w:tc>
          <w:tcPr>
            <w:tcW w:type="dxa" w:w="14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20"/>
              </w:rPr>
              <w:t>通过</w:t>
            </w:r>
          </w:p>
        </w:tc>
        <w:tc>
          <w:tcPr>
            <w:tcW w:type="dxa" w:w="57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388 项；381 执行通过；7 跳过；0 失败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JavaScript</w:t>
            </w:r>
          </w:p>
        </w:tc>
        <w:tc>
          <w:tcPr>
            <w:tcW w:type="dxa" w:w="14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20"/>
              </w:rPr>
              <w:t>通过</w:t>
            </w:r>
          </w:p>
        </w:tc>
        <w:tc>
          <w:tcPr>
            <w:tcW w:type="dxa" w:w="57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38 个文件检查，0 失败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Web 路由</w:t>
            </w:r>
          </w:p>
        </w:tc>
        <w:tc>
          <w:tcPr>
            <w:tcW w:type="dxa" w:w="14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20"/>
              </w:rPr>
              <w:t>通过</w:t>
            </w:r>
          </w:p>
        </w:tc>
        <w:tc>
          <w:tcPr>
            <w:tcW w:type="dxa" w:w="57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38 个页面配置，route map ok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OpenSpec</w:t>
            </w:r>
          </w:p>
        </w:tc>
        <w:tc>
          <w:tcPr>
            <w:tcW w:type="dxa" w:w="14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20"/>
              </w:rPr>
              <w:t>通过</w:t>
            </w:r>
          </w:p>
        </w:tc>
        <w:tc>
          <w:tcPr>
            <w:tcW w:type="dxa" w:w="57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20"/>
              </w:rPr>
              <w:t>63 项严格校验通过，0 失败</w:t>
            </w:r>
          </w:p>
        </w:tc>
      </w:tr>
    </w:tbl>
    <w:p>
      <w:pPr>
        <w:spacing w:after="0"/>
      </w:pP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0" w:space="0" w:color="E8F5EE"/>
          <w:left w:val="single" w:sz="0" w:space="0" w:color="E8F5EE"/>
          <w:bottom w:val="single" w:sz="0" w:space="0" w:color="E8F5EE"/>
          <w:right w:val="single" w:sz="0" w:space="0" w:color="E8F5EE"/>
          <w:insideH w:val="single" w:sz="0" w:space="0" w:color="E8F5EE"/>
          <w:insideV w:val="single" w:sz="0" w:space="0" w:color="E8F5E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 w:val="clear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237A4B"/>
                <w:sz w:val="21"/>
              </w:rPr>
              <w:t xml:space="preserve">总体结论  </w:t>
            </w:r>
            <w:r>
              <w:rPr>
                <w:rFonts w:ascii="Calibri" w:hAnsi="Calibri" w:eastAsia="Microsoft YaHei"/>
                <w:color w:val="17233D"/>
                <w:sz w:val="21"/>
              </w:rPr>
              <w:t>代码级质量门禁全部通过。正式验收仍需完成页面操作、真实智能体、Cosmic 身份/附件、PostgreSQL 持久化以及截图证据补录，因此当前结论为“有条件通过”。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关键规模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维度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当前规模</w:t>
            </w:r>
          </w:p>
        </w:tc>
      </w:tr>
      <w:tr>
        <w:tc>
          <w:tcPr>
            <w:tcW w:type="dxa" w:w="20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页面与路由</w:t>
            </w:r>
          </w:p>
        </w:tc>
        <w:tc>
          <w:tcPr>
            <w:tcW w:type="dxa" w:w="73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38 个配置页面，含普通用户、公开资源、入口页和管理页</w:t>
            </w:r>
          </w:p>
        </w:tc>
      </w:tr>
      <w:tr>
        <w:tc>
          <w:tcPr>
            <w:tcW w:type="dxa" w:w="20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服务接口</w:t>
            </w:r>
          </w:p>
        </w:tc>
        <w:tc>
          <w:tcPr>
            <w:tcW w:type="dxa" w:w="73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20 个 WebAPI 类，约 139 个响应方法</w:t>
            </w:r>
          </w:p>
        </w:tc>
      </w:tr>
      <w:tr>
        <w:tc>
          <w:tcPr>
            <w:tcW w:type="dxa" w:w="20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自动化测试</w:t>
            </w:r>
          </w:p>
        </w:tc>
        <w:tc>
          <w:tcPr>
            <w:tcW w:type="dxa" w:w="73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83 个测试类，388 个测试项</w:t>
            </w:r>
          </w:p>
        </w:tc>
      </w:tr>
      <w:tr>
        <w:tc>
          <w:tcPr>
            <w:tcW w:type="dxa" w:w="20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系统规格</w:t>
            </w:r>
          </w:p>
        </w:tc>
        <w:tc>
          <w:tcPr>
            <w:tcW w:type="dxa" w:w="73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51 个主规格目录，63 项规格/变更通过严格校验</w:t>
            </w:r>
          </w:p>
        </w:tc>
      </w:tr>
      <w:tr>
        <w:tc>
          <w:tcPr>
            <w:tcW w:type="dxa" w:w="20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业务主线</w:t>
            </w:r>
          </w:p>
        </w:tc>
        <w:tc>
          <w:tcPr>
            <w:tcW w:type="dxa" w:w="73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统一画像、就业规划、简历、面试、考研、保研、留学、学习任务、消息和管理治理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YaHei"/>
          <w:b/>
          <w:color w:val="2E74B5"/>
          <w:sz w:val="32"/>
        </w:rPr>
        <w:t>2 被测系统与测试范围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7233D"/>
          <w:sz w:val="22"/>
        </w:rPr>
        <w:t>CyanCruise（青途启航）是基于金蝶云苍穹构建的大学生职业发展与升学规划平台，以统一画像为数据中枢，将测评、就业路线、简历、模拟面试和升学规划连接为闭环。</w:t>
      </w:r>
    </w:p>
    <w:p>
      <w:pPr>
        <w:spacing w:after="80"/>
        <w:jc w:val="center"/>
      </w:pPr>
      <w:r>
        <w:rPr>
          <w:rFonts w:ascii="Calibri" w:hAnsi="Calibri" w:eastAsia="Microsoft YaHei"/>
          <w:color w:val="17233D"/>
          <w:sz w:val="22"/>
        </w:rPr>
        <w:drawing>
          <wp:inline xmlns:a="http://schemas.openxmlformats.org/drawingml/2006/main" xmlns:pic="http://schemas.openxmlformats.org/drawingml/2006/picture">
            <wp:extent cx="5897880" cy="3317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ancruise-agent-collabo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64748B"/>
          <w:sz w:val="18"/>
        </w:rPr>
        <w:t>图 1  青途启航多智能体协作架构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测试域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覆盖范围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统一身份与权限</w:t>
            </w:r>
          </w:p>
        </w:tc>
        <w:tc>
          <w:tcPr>
            <w:tcW w:type="dxa" w:w="72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苍穹登录上下文、用户归属、管理员权限、服务端路由</w:t>
            </w:r>
          </w:p>
        </w:tc>
      </w:tr>
      <w:tr>
        <w:tc>
          <w:tcPr>
            <w:tcW w:type="dxa" w:w="21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画像与测评</w:t>
            </w:r>
          </w:p>
        </w:tc>
        <w:tc>
          <w:tcPr>
            <w:tcW w:type="dxa" w:w="72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个人情况、草稿、统一画像、深度画像、量表、评分和结果解读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就业发展</w:t>
            </w:r>
          </w:p>
        </w:tc>
        <w:tc>
          <w:tcPr>
            <w:tcW w:type="dxa" w:w="72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就业洞察、职业资源、就业路线、阶段进度和今日行动</w:t>
            </w:r>
          </w:p>
        </w:tc>
      </w:tr>
      <w:tr>
        <w:tc>
          <w:tcPr>
            <w:tcW w:type="dxa" w:w="21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简历与文件</w:t>
            </w:r>
          </w:p>
        </w:tc>
        <w:tc>
          <w:tcPr>
            <w:tcW w:type="dxa" w:w="72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简历记录、上传、预览、下载、文本提取、诊断、历史和关键词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模拟面试</w:t>
            </w:r>
          </w:p>
        </w:tc>
        <w:tc>
          <w:tcPr>
            <w:tcW w:type="dxa" w:w="72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文字/全景模式、逐题问答、报告、历史、删除和失败重试</w:t>
            </w:r>
          </w:p>
        </w:tc>
      </w:tr>
      <w:tr>
        <w:tc>
          <w:tcPr>
            <w:tcW w:type="dxa" w:w="21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升学规划</w:t>
            </w:r>
          </w:p>
        </w:tc>
        <w:tc>
          <w:tcPr>
            <w:tcW w:type="dxa" w:w="72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方向选择、考研、保研、留学、材料、路线、阶段和每日任务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助手与消息</w:t>
            </w:r>
          </w:p>
        </w:tc>
        <w:tc>
          <w:tcPr>
            <w:tcW w:type="dxa" w:w="72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连续对话、会话历史、通知、订阅配额和周报</w:t>
            </w:r>
          </w:p>
        </w:tc>
      </w:tr>
      <w:tr>
        <w:tc>
          <w:tcPr>
            <w:tcW w:type="dxa" w:w="21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管理治理</w:t>
            </w:r>
          </w:p>
        </w:tc>
        <w:tc>
          <w:tcPr>
            <w:tcW w:type="dxa" w:w="72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组织、用户、题库、内容、广播、统计和审计日志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本轮未直接覆盖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真实生产数据的压力、容量、长时间稳定性和灾备切换。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面向公网的渗透测试、漏洞扫描和第三方安全认证。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真实摄像头视频、表情、视线或肢体动作分析；项目当前只处理文字回答和本地媒体预览。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尚未配置的生产智能体编号、任务流、访问令牌和租户授权。</w:t>
      </w: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YaHei"/>
          <w:b/>
          <w:color w:val="2E74B5"/>
          <w:sz w:val="32"/>
        </w:rPr>
        <w:t>3 测试策略与准入准出标准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800"/>
        <w:gridCol w:w="3400"/>
        <w:gridCol w:w="41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测试层级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方法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判定重点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规格一致性</w:t>
            </w:r>
          </w:p>
        </w:tc>
        <w:tc>
          <w:tcPr>
            <w:tcW w:type="dxa" w:w="34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8"/>
              </w:rPr>
              <w:t>OpenSpec 严格校验及关键场景对照</w:t>
            </w:r>
          </w:p>
        </w:tc>
        <w:tc>
          <w:tcPr>
            <w:tcW w:type="dxa" w:w="41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规格、设计、实现和验收语义一致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单元/组件</w:t>
            </w:r>
          </w:p>
        </w:tc>
        <w:tc>
          <w:tcPr>
            <w:tcW w:type="dxa" w:w="34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8"/>
              </w:rPr>
              <w:t>JUnit 5 领域规则与辅助服务</w:t>
            </w:r>
          </w:p>
        </w:tc>
        <w:tc>
          <w:tcPr>
            <w:tcW w:type="dxa" w:w="41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评分、合并、校验和降级逻辑正确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应用/接口</w:t>
            </w:r>
          </w:p>
        </w:tc>
        <w:tc>
          <w:tcPr>
            <w:tcW w:type="dxa" w:w="34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8"/>
              </w:rPr>
              <w:t>应用服务、WebAPI、身份和存储适配测试</w:t>
            </w:r>
          </w:p>
        </w:tc>
        <w:tc>
          <w:tcPr>
            <w:tcW w:type="dxa" w:w="41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接口契约、权限与所有权正确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前端静态</w:t>
            </w:r>
          </w:p>
        </w:tc>
        <w:tc>
          <w:tcPr>
            <w:tcW w:type="dxa" w:w="34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8"/>
              </w:rPr>
              <w:t>路由映射和 JavaScript 语法检查</w:t>
            </w:r>
          </w:p>
        </w:tc>
        <w:tc>
          <w:tcPr>
            <w:tcW w:type="dxa" w:w="41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无路由缺失和语法错误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人工功能</w:t>
            </w:r>
          </w:p>
        </w:tc>
        <w:tc>
          <w:tcPr>
            <w:tcW w:type="dxa" w:w="34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8"/>
              </w:rPr>
              <w:t>浏览器端按模块执行正向、异常和边界用例</w:t>
            </w:r>
          </w:p>
        </w:tc>
        <w:tc>
          <w:tcPr>
            <w:tcW w:type="dxa" w:w="41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页面反馈与保存结果符合预期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环境集成</w:t>
            </w:r>
          </w:p>
        </w:tc>
        <w:tc>
          <w:tcPr>
            <w:tcW w:type="dxa" w:w="34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8"/>
              </w:rPr>
              <w:t>智能体、Cosmic、附件服务和 PostgreSQL 联调</w:t>
            </w:r>
          </w:p>
        </w:tc>
        <w:tc>
          <w:tcPr>
            <w:tcW w:type="dxa" w:w="41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真实依赖可用且失败时不污染数据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准入标准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JDK 8、Gradle Wrapper 和本地配置可用。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关键测试账号、样例简历、升学材料及智能体配置准备完成。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被测版本和数据库备份点已确认。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准出标准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构建、自动化、路由、脚本和规格校验无失败。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P0/P1 缺陷为 0；P2 缺陷有明确修复或接受结论。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核心业务闭环完成人工测试，关键结果有截图或数据库证据。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未完成项、跳过项和残余风险已经评审确认。</w:t>
      </w: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YaHei"/>
          <w:b/>
          <w:color w:val="2E74B5"/>
          <w:sz w:val="32"/>
        </w:rPr>
        <w:t>4 测试环境与数据准备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测试环境</w:t>
            </w:r>
          </w:p>
        </w:tc>
      </w:tr>
      <w:tr>
        <w:tc>
          <w:tcPr>
            <w:tcW w:type="dxa" w:w="23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操作系统</w:t>
            </w:r>
          </w:p>
        </w:tc>
        <w:tc>
          <w:tcPr>
            <w:tcW w:type="dxa" w:w="70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Windows 11 / NT 10.0.26200.0</w:t>
            </w:r>
          </w:p>
        </w:tc>
      </w:tr>
      <w:tr>
        <w:tc>
          <w:tcPr>
            <w:tcW w:type="dxa" w:w="23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项目约束</w:t>
            </w:r>
          </w:p>
        </w:tc>
        <w:tc>
          <w:tcPr>
            <w:tcW w:type="dxa" w:w="70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Java 8 兼容</w:t>
            </w:r>
          </w:p>
        </w:tc>
      </w:tr>
      <w:tr>
        <w:tc>
          <w:tcPr>
            <w:tcW w:type="dxa" w:w="23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命令行 Java</w:t>
            </w:r>
          </w:p>
        </w:tc>
        <w:tc>
          <w:tcPr>
            <w:tcW w:type="dxa" w:w="70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Oracle Java 1.8.0_212</w:t>
            </w:r>
          </w:p>
        </w:tc>
      </w:tr>
      <w:tr>
        <w:tc>
          <w:tcPr>
            <w:tcW w:type="dxa" w:w="23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Gradle Wrapper</w:t>
            </w:r>
          </w:p>
        </w:tc>
        <w:tc>
          <w:tcPr>
            <w:tcW w:type="dxa" w:w="70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Gradle 7.6.3；构建 JVM 检测为 Java 8</w:t>
            </w:r>
          </w:p>
        </w:tc>
      </w:tr>
      <w:tr>
        <w:tc>
          <w:tcPr>
            <w:tcW w:type="dxa" w:w="23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Node.js</w:t>
            </w:r>
          </w:p>
        </w:tc>
        <w:tc>
          <w:tcPr>
            <w:tcW w:type="dxa" w:w="70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v22.17.1</w:t>
            </w:r>
          </w:p>
        </w:tc>
      </w:tr>
      <w:tr>
        <w:tc>
          <w:tcPr>
            <w:tcW w:type="dxa" w:w="23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OpenSpec CLI</w:t>
            </w:r>
          </w:p>
        </w:tc>
        <w:tc>
          <w:tcPr>
            <w:tcW w:type="dxa" w:w="70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1.3.1</w:t>
            </w:r>
          </w:p>
        </w:tc>
      </w:tr>
      <w:tr>
        <w:tc>
          <w:tcPr>
            <w:tcW w:type="dxa" w:w="23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代码分支</w:t>
            </w:r>
          </w:p>
        </w:tc>
        <w:tc>
          <w:tcPr>
            <w:tcW w:type="dxa" w:w="70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Add-Agent</w:t>
            </w:r>
          </w:p>
        </w:tc>
      </w:tr>
      <w:tr>
        <w:tc>
          <w:tcPr>
            <w:tcW w:type="dxa" w:w="23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提交标识</w:t>
            </w:r>
          </w:p>
        </w:tc>
        <w:tc>
          <w:tcPr>
            <w:tcW w:type="dxa" w:w="70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ea83037（另含当前工作区未提交变更）</w:t>
            </w:r>
          </w:p>
        </w:tc>
      </w:tr>
      <w:tr>
        <w:tc>
          <w:tcPr>
            <w:tcW w:type="dxa" w:w="23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数据存储</w:t>
            </w:r>
          </w:p>
        </w:tc>
        <w:tc>
          <w:tcPr>
            <w:tcW w:type="dxa" w:w="70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PostgreSQL / Cosmic 业务对象 / 内存测试适配</w:t>
            </w:r>
          </w:p>
        </w:tc>
      </w:tr>
      <w:tr>
        <w:tc>
          <w:tcPr>
            <w:tcW w:type="dxa" w:w="23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AI 与智能体</w:t>
            </w:r>
          </w:p>
        </w:tc>
        <w:tc>
          <w:tcPr>
            <w:tcW w:type="dxa" w:w="70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OpenAI Compatible Provider / 金蝶 Agent SDK / 场景任务流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建议测试数据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数据类型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建议准备</w:t>
            </w:r>
          </w:p>
        </w:tc>
      </w:tr>
      <w:tr>
        <w:tc>
          <w:tcPr>
            <w:tcW w:type="dxa" w:w="23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用户</w:t>
            </w:r>
          </w:p>
        </w:tc>
        <w:tc>
          <w:tcPr>
            <w:tcW w:type="dxa" w:w="70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普通用户甲、普通用户乙、管理员各 1 个</w:t>
            </w:r>
          </w:p>
        </w:tc>
      </w:tr>
      <w:tr>
        <w:tc>
          <w:tcPr>
            <w:tcW w:type="dxa" w:w="23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画像</w:t>
            </w:r>
          </w:p>
        </w:tc>
        <w:tc>
          <w:tcPr>
            <w:tcW w:type="dxa" w:w="70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完整画像 1 份、缺失目标画像 1 份、升学与就业犹豫画像 1 份</w:t>
            </w:r>
          </w:p>
        </w:tc>
      </w:tr>
      <w:tr>
        <w:tc>
          <w:tcPr>
            <w:tcW w:type="dxa" w:w="23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简历</w:t>
            </w:r>
          </w:p>
        </w:tc>
        <w:tc>
          <w:tcPr>
            <w:tcW w:type="dxa" w:w="70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可提取文字 PDF、DOCX、扫描 PDF、不支持格式各 1 份</w:t>
            </w:r>
          </w:p>
        </w:tc>
      </w:tr>
      <w:tr>
        <w:tc>
          <w:tcPr>
            <w:tcW w:type="dxa" w:w="23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面试</w:t>
            </w:r>
          </w:p>
        </w:tc>
        <w:tc>
          <w:tcPr>
            <w:tcW w:type="dxa" w:w="70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就业岗位、考研复试、保研夏令营、留学申请场景各 1 套</w:t>
            </w:r>
          </w:p>
        </w:tc>
      </w:tr>
      <w:tr>
        <w:tc>
          <w:tcPr>
            <w:tcW w:type="dxa" w:w="23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升学材料</w:t>
            </w:r>
          </w:p>
        </w:tc>
        <w:tc>
          <w:tcPr>
            <w:tcW w:type="dxa" w:w="70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考研、保研、留学方向各 2 份，包含重复文件名场景</w:t>
            </w:r>
          </w:p>
        </w:tc>
      </w:tr>
      <w:tr>
        <w:tc>
          <w:tcPr>
            <w:tcW w:type="dxa" w:w="23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管理数据</w:t>
            </w:r>
          </w:p>
        </w:tc>
        <w:tc>
          <w:tcPr>
            <w:tcW w:type="dxa" w:w="70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待审核题目、已发布/隐藏内容、通知广播样本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YaHei"/>
          <w:b/>
          <w:color w:val="2E74B5"/>
          <w:sz w:val="32"/>
        </w:rPr>
        <w:t>5 自动化测试结果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5.1 执行结果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100"/>
        <w:gridCol w:w="3100"/>
        <w:gridCol w:w="1200"/>
        <w:gridCol w:w="39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命令/项目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摘要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AUTO-01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8"/>
              </w:rPr>
              <w:t>.\gradlew.bat clean build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8"/>
              </w:rPr>
              <w:t>通过</w:t>
            </w:r>
          </w:p>
        </w:tc>
        <w:tc>
          <w:tcPr>
            <w:tcW w:type="dxa" w:w="39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BUILD SUCCESSFUL in 1m 6s；35 tasks</w:t>
            </w:r>
          </w:p>
        </w:tc>
      </w:tr>
      <w:tr>
        <w:tc>
          <w:tcPr>
            <w:tcW w:type="dxa" w:w="11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AUTO-02</w:t>
            </w:r>
          </w:p>
        </w:tc>
        <w:tc>
          <w:tcPr>
            <w:tcW w:type="dxa" w:w="31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8"/>
              </w:rPr>
              <w:t>JUnit 5</w:t>
            </w:r>
          </w:p>
        </w:tc>
        <w:tc>
          <w:tcPr>
            <w:tcW w:type="dxa" w:w="12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8"/>
              </w:rPr>
              <w:t>通过</w:t>
            </w:r>
          </w:p>
        </w:tc>
        <w:tc>
          <w:tcPr>
            <w:tcW w:type="dxa" w:w="39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388 总计；381 执行通过；7 跳过；0 失败/错误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AUTO-03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8"/>
              </w:rPr>
              <w:t>validate-routes.js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8"/>
              </w:rPr>
              <w:t>通过</w:t>
            </w:r>
          </w:p>
        </w:tc>
        <w:tc>
          <w:tcPr>
            <w:tcW w:type="dxa" w:w="39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cyancruise route map ok</w:t>
            </w:r>
          </w:p>
        </w:tc>
      </w:tr>
      <w:tr>
        <w:tc>
          <w:tcPr>
            <w:tcW w:type="dxa" w:w="11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AUTO-04</w:t>
            </w:r>
          </w:p>
        </w:tc>
        <w:tc>
          <w:tcPr>
            <w:tcW w:type="dxa" w:w="31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8"/>
              </w:rPr>
              <w:t>node --check</w:t>
            </w:r>
          </w:p>
        </w:tc>
        <w:tc>
          <w:tcPr>
            <w:tcW w:type="dxa" w:w="12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8"/>
              </w:rPr>
              <w:t>通过</w:t>
            </w:r>
          </w:p>
        </w:tc>
        <w:tc>
          <w:tcPr>
            <w:tcW w:type="dxa" w:w="39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38 个 JavaScript 文件，0 失败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AUTO-05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8"/>
              </w:rPr>
              <w:t>openspec validate --all --strict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8"/>
              </w:rPr>
              <w:t>通过</w:t>
            </w:r>
          </w:p>
        </w:tc>
        <w:tc>
          <w:tcPr>
            <w:tcW w:type="dxa" w:w="39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63 passed，0 failed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5.2 JUnit 跳过项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000"/>
        <w:gridCol w:w="1000"/>
        <w:gridCol w:w="5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数量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30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智能体任务流联调</w:t>
            </w:r>
          </w:p>
        </w:tc>
        <w:tc>
          <w:tcPr>
            <w:tcW w:type="dxa" w:w="10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9"/>
              </w:rPr>
              <w:t>1</w:t>
            </w:r>
          </w:p>
        </w:tc>
        <w:tc>
          <w:tcPr>
            <w:tcW w:type="dxa" w:w="53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需要可用的外部智能体/任务流环境</w:t>
            </w:r>
          </w:p>
        </w:tc>
      </w:tr>
      <w:tr>
        <w:tc>
          <w:tcPr>
            <w:tcW w:type="dxa" w:w="30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PostgreSQL 测评题库集成</w:t>
            </w:r>
          </w:p>
        </w:tc>
        <w:tc>
          <w:tcPr>
            <w:tcW w:type="dxa" w:w="10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9"/>
              </w:rPr>
              <w:t>1</w:t>
            </w:r>
          </w:p>
        </w:tc>
        <w:tc>
          <w:tcPr>
            <w:tcW w:type="dxa" w:w="53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需要启用真实 PostgreSQL 测试配置</w:t>
            </w:r>
          </w:p>
        </w:tc>
      </w:tr>
      <w:tr>
        <w:tc>
          <w:tcPr>
            <w:tcW w:type="dxa" w:w="30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PostgreSQL 画像持久化</w:t>
            </w:r>
          </w:p>
        </w:tc>
        <w:tc>
          <w:tcPr>
            <w:tcW w:type="dxa" w:w="10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9"/>
              </w:rPr>
              <w:t>3</w:t>
            </w:r>
          </w:p>
        </w:tc>
        <w:tc>
          <w:tcPr>
            <w:tcW w:type="dxa" w:w="53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需要真实数据库连接与隔离数据</w:t>
            </w:r>
          </w:p>
        </w:tc>
      </w:tr>
      <w:tr>
        <w:tc>
          <w:tcPr>
            <w:tcW w:type="dxa" w:w="30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PostgreSQL 升学资料持久化</w:t>
            </w:r>
          </w:p>
        </w:tc>
        <w:tc>
          <w:tcPr>
            <w:tcW w:type="dxa" w:w="10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9"/>
              </w:rPr>
              <w:t>2</w:t>
            </w:r>
          </w:p>
        </w:tc>
        <w:tc>
          <w:tcPr>
            <w:tcW w:type="dxa" w:w="53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需要真实数据库连接和资料表</w:t>
            </w:r>
          </w:p>
        </w:tc>
      </w:tr>
    </w:tbl>
    <w:p>
      <w:pPr>
        <w:spacing w:after="0"/>
      </w:pP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0" w:space="0" w:color="FFF1E6"/>
          <w:left w:val="single" w:sz="0" w:space="0" w:color="FFF1E6"/>
          <w:bottom w:val="single" w:sz="0" w:space="0" w:color="FFF1E6"/>
          <w:right w:val="single" w:sz="0" w:space="0" w:color="FFF1E6"/>
          <w:insideH w:val="single" w:sz="0" w:space="0" w:color="FFF1E6"/>
          <w:insideV w:val="single" w:sz="0" w:space="0" w:color="FFF1E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E6" w:val="clear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A95B21"/>
                <w:sz w:val="21"/>
              </w:rPr>
              <w:t xml:space="preserve">判定  </w:t>
            </w:r>
            <w:r>
              <w:rPr>
                <w:rFonts w:ascii="Calibri" w:hAnsi="Calibri" w:eastAsia="Microsoft YaHei"/>
                <w:color w:val="17233D"/>
                <w:sz w:val="21"/>
              </w:rPr>
              <w:t>7 个跳过项不计为失败，但它们对应正式验收必须补充的环境集成证据，已在截图 S17、S18 中预留位置。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123" w:right="1238" w:bottom="1037" w:left="1238" w:header="504" w:footer="504" w:gutter="0"/>
          <w:cols w:space="720"/>
          <w:titlePg/>
          <w:docGrid w:linePitch="360"/>
        </w:sectPr>
      </w:pPr>
    </w:p>
    <w:p>
      <w:pPr>
        <w:keepNext/>
        <w:spacing w:before="80" w:after="280" w:line="240" w:lineRule="auto"/>
        <w:shd w:fill="2E74B5"/>
      </w:pPr>
      <w:r>
        <w:rPr>
          <w:rFonts w:ascii="Calibri" w:hAnsi="Calibri" w:eastAsia="Microsoft YaHei"/>
          <w:b/>
          <w:color w:val="FFFFFF"/>
          <w:sz w:val="30"/>
        </w:rPr>
        <w:t>6</w:t>
      </w:r>
      <w:r>
        <w:rPr>
          <w:rFonts w:ascii="Calibri" w:hAnsi="Calibri" w:eastAsia="Microsoft YaHei"/>
          <w:b/>
          <w:color w:val="FFFFFF"/>
          <w:sz w:val="30"/>
        </w:rPr>
        <w:t xml:space="preserve">   功能测试用例与执行状态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7233D"/>
          <w:sz w:val="22"/>
        </w:rPr>
        <w:t>状态说明：自动化通过/界面待验 = 底层已有自动化覆盖，但仍需页面证据；待人工验证 = 需要浏览器操作；待环境验证 = 依赖真实智能体、Cosmic 或 PostgreSQL。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身份、权限与导航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18"/>
        </w:rPr>
        <w:t>前置条件：</w:t>
      </w:r>
      <w:r>
        <w:rPr>
          <w:rFonts w:ascii="Calibri" w:hAnsi="Calibri" w:eastAsia="Microsoft YaHei"/>
          <w:color w:val="64748B"/>
          <w:sz w:val="18"/>
        </w:rPr>
        <w:t>用户已通过苍穹入口访问；管理员用例需准备管理员账号。</w:t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C9D3E0"/>
          <w:left w:val="single" w:sz="5" w:space="0" w:color="C9D3E0"/>
          <w:bottom w:val="single" w:sz="5" w:space="0" w:color="C9D3E0"/>
          <w:right w:val="single" w:sz="5" w:space="0" w:color="C9D3E0"/>
          <w:insideH w:val="single" w:sz="5" w:space="0" w:color="C9D3E0"/>
          <w:insideV w:val="single" w:sz="5" w:space="0" w:color="C9D3E0"/>
        </w:tblBorders>
      </w:tblPr>
      <w:tblGrid>
        <w:gridCol w:w="800"/>
        <w:gridCol w:w="1900"/>
        <w:gridCol w:w="4500"/>
        <w:gridCol w:w="3900"/>
        <w:gridCol w:w="1800"/>
        <w:gridCol w:w="1380"/>
      </w:tblGrid>
      <w:tr>
        <w:trPr>
          <w:tblHeader w:val="true"/>
        </w:trPr>
        <w:tc>
          <w:tcPr>
            <w:tcW w:type="dxa" w:w="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用例编号</w:t>
            </w:r>
          </w:p>
        </w:tc>
        <w:tc>
          <w:tcPr>
            <w:tcW w:type="dxa" w:w="1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测试点</w:t>
            </w:r>
          </w:p>
        </w:tc>
        <w:tc>
          <w:tcPr>
            <w:tcW w:type="dxa" w:w="45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步骤/输入</w:t>
            </w:r>
          </w:p>
        </w:tc>
        <w:tc>
          <w:tcPr>
            <w:tcW w:type="dxa" w:w="3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预期结果</w:t>
            </w:r>
          </w:p>
        </w:tc>
        <w:tc>
          <w:tcPr>
            <w:tcW w:type="dxa" w:w="1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当前状态</w:t>
            </w:r>
          </w:p>
        </w:tc>
        <w:tc>
          <w:tcPr>
            <w:tcW w:type="dxa" w:w="138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证据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AUTH-01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读取当前登录身份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进入应用并请求当前身份接口。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返回当前用户、组织及角色，不信任页面传入的用户标识。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S01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AUTH-02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未登录访问受限页面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清除会话后访问画像、简历或升学页面。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阻止业务读取并提示重新登录，不泄露其他用户数据。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S01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AUTH-03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跨用户数据访问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用户甲尝试读取用户乙的画像、简历或面试记录。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服务端按可信身份拒绝越权访问。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自动化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AUTH-04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普通用户访问管理后台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使用普通用户打开管理后台入口或接口。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返回无权限提示，管理数据不展示。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S15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AUTH-05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管理员访问管理后台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使用管理员身份进入管理后台。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正确识别管理员并显示治理功能。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S15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AUTH-06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公开资源访问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在未登录或普通用户状态访问职业/升学公开资源。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只展示已发布且未隐藏的公开内容。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64748B"/>
                <w:sz w:val="15"/>
              </w:rPr>
              <w:t>待人工验证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S01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AUTH-07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页面路由完整性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依次打开工作台、就业、升学、简历、面试、消息等入口。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38 个配置路由均能解析到有效页面，无死链。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S01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AUTH-08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未知路由处理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输入不存在的页面键或接口动作。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应用安全返回错误提示，不出现空白页或敏感堆栈。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S01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工作台与个人画像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18"/>
        </w:rPr>
        <w:t>前置条件：</w:t>
      </w:r>
      <w:r>
        <w:rPr>
          <w:rFonts w:ascii="Calibri" w:hAnsi="Calibri" w:eastAsia="Microsoft YaHei"/>
          <w:color w:val="64748B"/>
          <w:sz w:val="18"/>
        </w:rPr>
        <w:t>准备一名普通用户，可填写教育背景、目标岗位和发展意向。</w:t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C9D3E0"/>
          <w:left w:val="single" w:sz="5" w:space="0" w:color="C9D3E0"/>
          <w:bottom w:val="single" w:sz="5" w:space="0" w:color="C9D3E0"/>
          <w:right w:val="single" w:sz="5" w:space="0" w:color="C9D3E0"/>
          <w:insideH w:val="single" w:sz="5" w:space="0" w:color="C9D3E0"/>
          <w:insideV w:val="single" w:sz="5" w:space="0" w:color="C9D3E0"/>
        </w:tblBorders>
      </w:tblPr>
      <w:tblGrid>
        <w:gridCol w:w="800"/>
        <w:gridCol w:w="1900"/>
        <w:gridCol w:w="4500"/>
        <w:gridCol w:w="3900"/>
        <w:gridCol w:w="1800"/>
        <w:gridCol w:w="1380"/>
      </w:tblGrid>
      <w:tr>
        <w:trPr>
          <w:tblHeader w:val="true"/>
        </w:trPr>
        <w:tc>
          <w:tcPr>
            <w:tcW w:type="dxa" w:w="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用例编号</w:t>
            </w:r>
          </w:p>
        </w:tc>
        <w:tc>
          <w:tcPr>
            <w:tcW w:type="dxa" w:w="1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测试点</w:t>
            </w:r>
          </w:p>
        </w:tc>
        <w:tc>
          <w:tcPr>
            <w:tcW w:type="dxa" w:w="45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步骤/输入</w:t>
            </w:r>
          </w:p>
        </w:tc>
        <w:tc>
          <w:tcPr>
            <w:tcW w:type="dxa" w:w="3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预期结果</w:t>
            </w:r>
          </w:p>
        </w:tc>
        <w:tc>
          <w:tcPr>
            <w:tcW w:type="dxa" w:w="1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当前状态</w:t>
            </w:r>
          </w:p>
        </w:tc>
        <w:tc>
          <w:tcPr>
            <w:tcW w:type="dxa" w:w="138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证据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PRO-01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工作台数据加载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登录后打开青途启航首页。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显示画像完整度、发展方向、今日重点和主要入口。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64748B"/>
                <w:sz w:val="15"/>
              </w:rPr>
              <w:t>待人工验证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S01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PRO-02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保存个人情况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填写专业、年级、目标岗位、城市和经历后保存。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保存成功，刷新页面后仍可读取。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S02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PRO-03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草稿自动恢复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填写部分资料但未正式提交，退出后重新进入。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恢复当前用户草稿，不读取其他用户草稿。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S02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PRO-04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清除草稿的边界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已有正式画像时清除个人情况草稿。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只清除草稿，不删除正式画像、测评和历史结果。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S02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PRO-05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偏好局部更新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只修改目标城市或风险偏好后保存。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仅更新对应数据块，其他画像字段保持不变。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S02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PRO-06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统一画像刷新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在完成测评、简历诊断或面试后刷新画像。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最新结果合并进统一画像，不覆盖无关字段。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S02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PRO-07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完整度与缺口提示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保留部分关键信息为空并查看画像。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正确计算完整度并提示需要补充的资料。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S02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PRO-08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生成深度画像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资料达到要求后点击生成深度画像。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通过已配置画像智能体返回结构化结果并保存历史。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A95B21"/>
                <w:sz w:val="15"/>
              </w:rPr>
              <w:t>待环境验证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S02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PRO-09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画像历史与详情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连续生成两次深度画像并查看历史记录。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历史按时间排列，详情与所选记录一致。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S02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PRO-10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引用最新测评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完成新测评后再次生成深度画像。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输入使用当前用户最新有效测评，不使用旧用户或旧记录。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S03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职业测评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18"/>
        </w:rPr>
        <w:t>前置条件：</w:t>
      </w:r>
      <w:r>
        <w:rPr>
          <w:rFonts w:ascii="Calibri" w:hAnsi="Calibri" w:eastAsia="Microsoft YaHei"/>
          <w:color w:val="64748B"/>
          <w:sz w:val="18"/>
        </w:rPr>
        <w:t>题库中已存在可用量表和题目。</w:t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C9D3E0"/>
          <w:left w:val="single" w:sz="5" w:space="0" w:color="C9D3E0"/>
          <w:bottom w:val="single" w:sz="5" w:space="0" w:color="C9D3E0"/>
          <w:right w:val="single" w:sz="5" w:space="0" w:color="C9D3E0"/>
          <w:insideH w:val="single" w:sz="5" w:space="0" w:color="C9D3E0"/>
          <w:insideV w:val="single" w:sz="5" w:space="0" w:color="C9D3E0"/>
        </w:tblBorders>
      </w:tblPr>
      <w:tblGrid>
        <w:gridCol w:w="800"/>
        <w:gridCol w:w="1900"/>
        <w:gridCol w:w="4500"/>
        <w:gridCol w:w="3900"/>
        <w:gridCol w:w="1800"/>
        <w:gridCol w:w="1380"/>
      </w:tblGrid>
      <w:tr>
        <w:trPr>
          <w:tblHeader w:val="true"/>
        </w:trPr>
        <w:tc>
          <w:tcPr>
            <w:tcW w:type="dxa" w:w="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用例编号</w:t>
            </w:r>
          </w:p>
        </w:tc>
        <w:tc>
          <w:tcPr>
            <w:tcW w:type="dxa" w:w="1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测试点</w:t>
            </w:r>
          </w:p>
        </w:tc>
        <w:tc>
          <w:tcPr>
            <w:tcW w:type="dxa" w:w="45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步骤/输入</w:t>
            </w:r>
          </w:p>
        </w:tc>
        <w:tc>
          <w:tcPr>
            <w:tcW w:type="dxa" w:w="3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预期结果</w:t>
            </w:r>
          </w:p>
        </w:tc>
        <w:tc>
          <w:tcPr>
            <w:tcW w:type="dxa" w:w="1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当前状态</w:t>
            </w:r>
          </w:p>
        </w:tc>
        <w:tc>
          <w:tcPr>
            <w:tcW w:type="dxa" w:w="138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证据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ASM-01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量表列表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打开画像补全/职业测评页面。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显示可用量表及普通用户可理解的名称。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S03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ASM-02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题目随机抽取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对配置了答题数量的量表启动两次测评。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按配置数量随机抽题，题目不存在越界或重复异常。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S03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ASM-03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创建答题记录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选择量表并开始作答。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生成当前用户答题记录并返回题目。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S03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ASM-04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未完成提交校验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遗漏必答题或提交非法选项。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拒绝评分并指出缺少的回答。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S03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ASM-05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服务端评分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完成全部题目并提交。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按量表规则评分，返回维度、摘要和建议方向。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S03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ASM-06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测评记录查询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提交后打开历史记录和详情。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只能看到当前用户记录，详情与提交结果一致。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S03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ASM-07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AI 结果解读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对已完成测评触发智能解读。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结构化解读引用真实得分；不可用时明确提示。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A95B21"/>
                <w:sz w:val="15"/>
              </w:rPr>
              <w:t>待环境验证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S03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ASM-08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题库配置生效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管理员调整量表答题数量或题目后重新开始。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新测评采用最新审核通过的题库配置。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S15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就业规划与今日行动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18"/>
        </w:rPr>
        <w:t>前置条件：</w:t>
      </w:r>
      <w:r>
        <w:rPr>
          <w:rFonts w:ascii="Calibri" w:hAnsi="Calibri" w:eastAsia="Microsoft YaHei"/>
          <w:color w:val="64748B"/>
          <w:sz w:val="18"/>
        </w:rPr>
        <w:t>用户画像中已填写就业方向和目标岗位。</w:t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C9D3E0"/>
          <w:left w:val="single" w:sz="5" w:space="0" w:color="C9D3E0"/>
          <w:bottom w:val="single" w:sz="5" w:space="0" w:color="C9D3E0"/>
          <w:right w:val="single" w:sz="5" w:space="0" w:color="C9D3E0"/>
          <w:insideH w:val="single" w:sz="5" w:space="0" w:color="C9D3E0"/>
          <w:insideV w:val="single" w:sz="5" w:space="0" w:color="C9D3E0"/>
        </w:tblBorders>
      </w:tblPr>
      <w:tblGrid>
        <w:gridCol w:w="800"/>
        <w:gridCol w:w="1900"/>
        <w:gridCol w:w="4500"/>
        <w:gridCol w:w="3900"/>
        <w:gridCol w:w="1800"/>
        <w:gridCol w:w="1380"/>
      </w:tblGrid>
      <w:tr>
        <w:trPr>
          <w:tblHeader w:val="true"/>
        </w:trPr>
        <w:tc>
          <w:tcPr>
            <w:tcW w:type="dxa" w:w="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用例编号</w:t>
            </w:r>
          </w:p>
        </w:tc>
        <w:tc>
          <w:tcPr>
            <w:tcW w:type="dxa" w:w="1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测试点</w:t>
            </w:r>
          </w:p>
        </w:tc>
        <w:tc>
          <w:tcPr>
            <w:tcW w:type="dxa" w:w="45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步骤/输入</w:t>
            </w:r>
          </w:p>
        </w:tc>
        <w:tc>
          <w:tcPr>
            <w:tcW w:type="dxa" w:w="3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预期结果</w:t>
            </w:r>
          </w:p>
        </w:tc>
        <w:tc>
          <w:tcPr>
            <w:tcW w:type="dxa" w:w="1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当前状态</w:t>
            </w:r>
          </w:p>
        </w:tc>
        <w:tc>
          <w:tcPr>
            <w:tcW w:type="dxa" w:w="138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证据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EMP-01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就业中心加载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打开就业中心并查看洞察与入口。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展示岗位洞察、简历、面试及职业资源入口。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64748B"/>
                <w:sz w:val="15"/>
              </w:rPr>
              <w:t>待人工验证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S04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EMP-02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就业洞察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选择学校、专业和目标岗位后查询。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返回匹配的准备状态、差距和资源建议。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S04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EMP-03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就业资源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打开职业资源列表。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仅展示已发布、未隐藏的文章、视频或服务。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S04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EMP-04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目标岗位缺失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画像没有目标岗位时点击生成就业路线。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不编造岗位，提示用户先补充目标岗位。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S04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EMP-05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生成就业路线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资料完整时点击生成路线。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返回当前情况、阶段、周计划和每日建议并通过结构校验。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A95B21"/>
                <w:sz w:val="15"/>
              </w:rPr>
              <w:t>待环境验证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S04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EMP-06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重新生成阶段保护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已有执行中/已完成阶段时重新生成。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保留已开始阶段及进度，只替换未开始阶段。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S04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EMP-07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生成今日任务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就业路线有效时打开今日行动。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从当前阶段生成可执行任务，已完成来源动作不重复。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S05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EMP-08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完成任务推进阶段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依次完成当前阶段全部任务。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任务状态持久化，阶段完成并聚焦下一阶段。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S05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EMP-09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智能体失败保护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模拟超时、配置缺失或无效 JSON。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保留原有效路线，不写入虚假阶段或默认数据。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S04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简历、文件与诊断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18"/>
        </w:rPr>
        <w:t>前置条件：</w:t>
      </w:r>
      <w:r>
        <w:rPr>
          <w:rFonts w:ascii="Calibri" w:hAnsi="Calibri" w:eastAsia="Microsoft YaHei"/>
          <w:color w:val="64748B"/>
          <w:sz w:val="18"/>
        </w:rPr>
        <w:t>用户已登录；准备 PDF/DOCX 简历样本及一个不支持的文件样本。</w:t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C9D3E0"/>
          <w:left w:val="single" w:sz="5" w:space="0" w:color="C9D3E0"/>
          <w:bottom w:val="single" w:sz="5" w:space="0" w:color="C9D3E0"/>
          <w:right w:val="single" w:sz="5" w:space="0" w:color="C9D3E0"/>
          <w:insideH w:val="single" w:sz="5" w:space="0" w:color="C9D3E0"/>
          <w:insideV w:val="single" w:sz="5" w:space="0" w:color="C9D3E0"/>
        </w:tblBorders>
      </w:tblPr>
      <w:tblGrid>
        <w:gridCol w:w="800"/>
        <w:gridCol w:w="1900"/>
        <w:gridCol w:w="4500"/>
        <w:gridCol w:w="3900"/>
        <w:gridCol w:w="1800"/>
        <w:gridCol w:w="1380"/>
      </w:tblGrid>
      <w:tr>
        <w:trPr>
          <w:tblHeader w:val="true"/>
        </w:trPr>
        <w:tc>
          <w:tcPr>
            <w:tcW w:type="dxa" w:w="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用例编号</w:t>
            </w:r>
          </w:p>
        </w:tc>
        <w:tc>
          <w:tcPr>
            <w:tcW w:type="dxa" w:w="1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测试点</w:t>
            </w:r>
          </w:p>
        </w:tc>
        <w:tc>
          <w:tcPr>
            <w:tcW w:type="dxa" w:w="45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步骤/输入</w:t>
            </w:r>
          </w:p>
        </w:tc>
        <w:tc>
          <w:tcPr>
            <w:tcW w:type="dxa" w:w="3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预期结果</w:t>
            </w:r>
          </w:p>
        </w:tc>
        <w:tc>
          <w:tcPr>
            <w:tcW w:type="dxa" w:w="1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当前状态</w:t>
            </w:r>
          </w:p>
        </w:tc>
        <w:tc>
          <w:tcPr>
            <w:tcW w:type="dxa" w:w="138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证据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RES-01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创建简历记录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填写简历名称和目标岗位并保存。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生成当前用户简历记录，字段完整。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S06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RES-02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简历列表与详情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创建多份简历后查看列表及详情。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列表按当前用户隔离，详情与选择一致。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S06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RES-03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更新简历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修改标题、目标岗位或正文后保存。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版本与内容正确更新。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S06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RES-04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删除简历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删除一份属于当前用户的简历。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记录删除成功，列表不再显示。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S06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RES-05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简历所有权校验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尝试读取、更新或删除其他用户简历。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服务端拒绝越权操作。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自动化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RES-06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上传简历文件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上传支持格式且大小合规的文件。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附件保存成功，并与当前用户和简历关联。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A95B21"/>
                <w:sz w:val="15"/>
              </w:rPr>
              <w:t>待环境验证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S06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RES-07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预览与下载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点击预览和下载已上传文件。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返回有效地址或文件流，文件名与内容正确。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A95B21"/>
                <w:sz w:val="15"/>
              </w:rPr>
              <w:t>待环境验证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S06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RES-08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PDF 文本提取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上传包含可复制文字的 PDF 并提取正文。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提取正文可用于诊断，不出现乱码或跨用户读取。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S06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RES-09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空文本与不支持格式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上传扫描 PDF 或不支持格式并提取。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返回清晰提示，不将空正文送入智能体。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S06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RES-10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执行简历诊断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选择简历和目标岗位后点击诊断。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返回问题、替换描述、证据缺口和面试追问方向。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A95B21"/>
                <w:sz w:val="15"/>
              </w:rPr>
              <w:t>待环境验证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S07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RES-11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无效智能体结果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模拟智能体缺少必填字段或输出解释文字。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拒绝保存无效结果，不展示虚假分数。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S07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RES-12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诊断历史和关键词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多次诊断并查看历史、关键词状态，再删除一条历史。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历史和关键词与简历对应，删除只影响指定记录。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S07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模拟面试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18"/>
        </w:rPr>
        <w:t>前置条件：</w:t>
      </w:r>
      <w:r>
        <w:rPr>
          <w:rFonts w:ascii="Calibri" w:hAnsi="Calibri" w:eastAsia="Microsoft YaHei"/>
          <w:color w:val="64748B"/>
          <w:sz w:val="18"/>
        </w:rPr>
        <w:t>准备目标岗位和简历；全景模式需允许摄像头/麦克风。</w:t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C9D3E0"/>
          <w:left w:val="single" w:sz="5" w:space="0" w:color="C9D3E0"/>
          <w:bottom w:val="single" w:sz="5" w:space="0" w:color="C9D3E0"/>
          <w:right w:val="single" w:sz="5" w:space="0" w:color="C9D3E0"/>
          <w:insideH w:val="single" w:sz="5" w:space="0" w:color="C9D3E0"/>
          <w:insideV w:val="single" w:sz="5" w:space="0" w:color="C9D3E0"/>
        </w:tblBorders>
      </w:tblPr>
      <w:tblGrid>
        <w:gridCol w:w="800"/>
        <w:gridCol w:w="1900"/>
        <w:gridCol w:w="4500"/>
        <w:gridCol w:w="3900"/>
        <w:gridCol w:w="1800"/>
        <w:gridCol w:w="1380"/>
      </w:tblGrid>
      <w:tr>
        <w:trPr>
          <w:tblHeader w:val="true"/>
        </w:trPr>
        <w:tc>
          <w:tcPr>
            <w:tcW w:type="dxa" w:w="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用例编号</w:t>
            </w:r>
          </w:p>
        </w:tc>
        <w:tc>
          <w:tcPr>
            <w:tcW w:type="dxa" w:w="1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测试点</w:t>
            </w:r>
          </w:p>
        </w:tc>
        <w:tc>
          <w:tcPr>
            <w:tcW w:type="dxa" w:w="45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步骤/输入</w:t>
            </w:r>
          </w:p>
        </w:tc>
        <w:tc>
          <w:tcPr>
            <w:tcW w:type="dxa" w:w="3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预期结果</w:t>
            </w:r>
          </w:p>
        </w:tc>
        <w:tc>
          <w:tcPr>
            <w:tcW w:type="dxa" w:w="1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当前状态</w:t>
            </w:r>
          </w:p>
        </w:tc>
        <w:tc>
          <w:tcPr>
            <w:tcW w:type="dxa" w:w="138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证据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INT-01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开始引导式面试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选择岗位、难度和模式后开始。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创建会话并只返回第一道问题。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S08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INT-02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每轮一个问题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连续回答多轮。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每轮保存一个回答，再返回一个后续问题。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S08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INT-03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回答与追问关联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回答中包含项目细节。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后续问题与目标岗位、简历或上一轮内容相关。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A95B21"/>
                <w:sz w:val="15"/>
              </w:rPr>
              <w:t>待环境验证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S08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INT-04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空回答校验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提交空白或仅空格回答。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拒绝推进并提示补充回答。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S08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INT-05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结束并生成报告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完成有效回答后结束面试。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会话进入完成状态并生成结构化报告。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A95B21"/>
                <w:sz w:val="15"/>
              </w:rPr>
              <w:t>待环境验证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S09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INT-06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五维评分与证据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查看面试报告。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总分及五项评分在 0-100，优点和改进引用实际问答。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S09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INT-07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分析失败不伪造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模拟智能体不可用、超时或返回无效结构。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保留问答，不保存虚假分数，页面允许稍后重试。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S09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INT-08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报告重试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对已结束但无报告的记录重新生成。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在原会话上生成报告，不重复创建面试。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S09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INT-09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普通与全景共用契约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分别完成文字面试和全景面试。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两种模式共用问答和报告结构，并按模式隔离展示。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S08/S09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INT-10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媒体权限降级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拒绝摄像头或语音权限后进入全景面试。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给出权限提示，文字练习能力不受影响。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64748B"/>
                <w:sz w:val="15"/>
              </w:rPr>
              <w:t>待人工验证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S08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INT-11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历史分页与筛选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创建多条记录后翻页并切换普通/全景筛选。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分页数量正确，模式筛选不串数据。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S09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INT-12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历史详情与消息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从历史打开已完成记录。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显示完整问题、回答和报告，返回路径正确。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S09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INT-13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删除面试记录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删除一条本人记录。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会话及关联消息清理，其他记录不受影响。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S09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INT-14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返回导航与生命周期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从历史详情返回列表，再从面试结束页退出。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返回原模式列表；清理运行态但保留已保存记录。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S09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升学中心通用能力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18"/>
        </w:rPr>
        <w:t>前置条件：</w:t>
      </w:r>
      <w:r>
        <w:rPr>
          <w:rFonts w:ascii="Calibri" w:hAnsi="Calibri" w:eastAsia="Microsoft YaHei"/>
          <w:color w:val="64748B"/>
          <w:sz w:val="18"/>
        </w:rPr>
        <w:t>准备考研、保研、留学三个方向的用户资料和规划材料。</w:t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C9D3E0"/>
          <w:left w:val="single" w:sz="5" w:space="0" w:color="C9D3E0"/>
          <w:bottom w:val="single" w:sz="5" w:space="0" w:color="C9D3E0"/>
          <w:right w:val="single" w:sz="5" w:space="0" w:color="C9D3E0"/>
          <w:insideH w:val="single" w:sz="5" w:space="0" w:color="C9D3E0"/>
          <w:insideV w:val="single" w:sz="5" w:space="0" w:color="C9D3E0"/>
        </w:tblBorders>
      </w:tblPr>
      <w:tblGrid>
        <w:gridCol w:w="800"/>
        <w:gridCol w:w="1900"/>
        <w:gridCol w:w="4500"/>
        <w:gridCol w:w="3900"/>
        <w:gridCol w:w="1800"/>
        <w:gridCol w:w="1380"/>
      </w:tblGrid>
      <w:tr>
        <w:trPr>
          <w:tblHeader w:val="true"/>
        </w:trPr>
        <w:tc>
          <w:tcPr>
            <w:tcW w:type="dxa" w:w="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用例编号</w:t>
            </w:r>
          </w:p>
        </w:tc>
        <w:tc>
          <w:tcPr>
            <w:tcW w:type="dxa" w:w="1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测试点</w:t>
            </w:r>
          </w:p>
        </w:tc>
        <w:tc>
          <w:tcPr>
            <w:tcW w:type="dxa" w:w="45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步骤/输入</w:t>
            </w:r>
          </w:p>
        </w:tc>
        <w:tc>
          <w:tcPr>
            <w:tcW w:type="dxa" w:w="3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预期结果</w:t>
            </w:r>
          </w:p>
        </w:tc>
        <w:tc>
          <w:tcPr>
            <w:tcW w:type="dxa" w:w="1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当前状态</w:t>
            </w:r>
          </w:p>
        </w:tc>
        <w:tc>
          <w:tcPr>
            <w:tcW w:type="dxa" w:w="138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证据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STU-01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选择升学方向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在升学中心选择考研、保研或留学并保存。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当前方向持久化，刷新后保持选择。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S10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STU-02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方向数据隔离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分别在三个方向生成计划和任务，再来回切换。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按用户与方向独立读取，不混用计划、材料和进度。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S10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STU-03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升学洞察与资源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打开升学中心和全部资源页。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显示与当前方向相关的洞察和已发布内容。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S10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STU-04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读取不自动造计划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新用户进入升学中心但不点击生成。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保持真实空状态，不生成示例阶段或规则兜底。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S10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STU-05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生成完整路线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选择方向并点击生成升学规划。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返回至少三个连续阶段及周计划、每日建议；考研/留学覆盖约十二个月。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A95B21"/>
                <w:sz w:val="15"/>
              </w:rPr>
              <w:t>待环境验证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S10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STU-06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方向语义校验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让考研智能体返回留学语义或反向测试。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服务端拒绝方向不一致结果，不落库。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S10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STU-07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无效结果保护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模拟智能体未配置、超时或结构不完整。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显示可恢复错误，保留原有效路线。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S10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STU-08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重新生成进度保护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已有执行中或完成阶段时重新生成。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保留已开始阶段和对应进度，只更新允许更新部分。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S10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STU-09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升学今日行动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规划有效后生成并完成每日任务。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任务来自当前方向和当前阶段，完成状态可恢复。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S10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STU-10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阶段状态推进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完成当前阶段全部来源任务。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阶段变为已完成，下一阶段变为进行中。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S10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STU-11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规划资料管理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上传、查看并删除当前方向的规划资料。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文件与正文状态正确，删除同时清理业务记录。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A95B21"/>
                <w:sz w:val="15"/>
              </w:rPr>
              <w:t>待环境验证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S10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STU-12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材料归属与跨方向保护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尝试在留学规划中使用考研资料，或删除其他用户资料。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跨方向资料不进入请求，越权操作被拒绝。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S10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考研陪伴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18"/>
        </w:rPr>
        <w:t>前置条件：</w:t>
      </w:r>
      <w:r>
        <w:rPr>
          <w:rFonts w:ascii="Calibri" w:hAnsi="Calibri" w:eastAsia="Microsoft YaHei"/>
          <w:color w:val="64748B"/>
          <w:sz w:val="18"/>
        </w:rPr>
        <w:t>升学方向选择为考研，并填写基础、目标院校和时间安排。</w:t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C9D3E0"/>
          <w:left w:val="single" w:sz="5" w:space="0" w:color="C9D3E0"/>
          <w:bottom w:val="single" w:sz="5" w:space="0" w:color="C9D3E0"/>
          <w:right w:val="single" w:sz="5" w:space="0" w:color="C9D3E0"/>
          <w:insideH w:val="single" w:sz="5" w:space="0" w:color="C9D3E0"/>
          <w:insideV w:val="single" w:sz="5" w:space="0" w:color="C9D3E0"/>
        </w:tblBorders>
      </w:tblPr>
      <w:tblGrid>
        <w:gridCol w:w="800"/>
        <w:gridCol w:w="1900"/>
        <w:gridCol w:w="4500"/>
        <w:gridCol w:w="3900"/>
        <w:gridCol w:w="1800"/>
        <w:gridCol w:w="1380"/>
      </w:tblGrid>
      <w:tr>
        <w:trPr>
          <w:tblHeader w:val="true"/>
        </w:trPr>
        <w:tc>
          <w:tcPr>
            <w:tcW w:type="dxa" w:w="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用例编号</w:t>
            </w:r>
          </w:p>
        </w:tc>
        <w:tc>
          <w:tcPr>
            <w:tcW w:type="dxa" w:w="1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测试点</w:t>
            </w:r>
          </w:p>
        </w:tc>
        <w:tc>
          <w:tcPr>
            <w:tcW w:type="dxa" w:w="45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步骤/输入</w:t>
            </w:r>
          </w:p>
        </w:tc>
        <w:tc>
          <w:tcPr>
            <w:tcW w:type="dxa" w:w="3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预期结果</w:t>
            </w:r>
          </w:p>
        </w:tc>
        <w:tc>
          <w:tcPr>
            <w:tcW w:type="dxa" w:w="1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当前状态</w:t>
            </w:r>
          </w:p>
        </w:tc>
        <w:tc>
          <w:tcPr>
            <w:tcW w:type="dxa" w:w="138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证据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PG-01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择校择专业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填写学校、成绩、英语、地区和目标层次后生成建议。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返回冲刺、匹配、稳妥梯度及资料缺口。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A95B21"/>
                <w:sz w:val="15"/>
              </w:rPr>
              <w:t>待环境验证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S11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PG-02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阶段复习计划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填写考试日期、科目和每周学习时间。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生成基础、提高、冲刺阶段和可执行任务。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A95B21"/>
                <w:sz w:val="15"/>
              </w:rPr>
              <w:t>待环境验证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S11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PG-03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错题解析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粘贴错题和个人答案并提交。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返回思路、考点、错因和同类练习建议。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S11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PG-04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复试准备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填写院校、初试状态、材料和项目经历。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生成专业、英语、材料和项目讲述准备清单。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S11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PG-05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就业备选路径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生成完整考研规划。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在不替用户决定的前提下给出合理就业备选。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A95B21"/>
                <w:sz w:val="15"/>
              </w:rPr>
              <w:t>待环境验证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S11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PG-06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资料不足与失败处理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缺少目标院校或关闭考研智能体。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提示补充信息或配置不可用，不生成虚假院校和时间线。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S11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保研陪伴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18"/>
        </w:rPr>
        <w:t>前置条件：</w:t>
      </w:r>
      <w:r>
        <w:rPr>
          <w:rFonts w:ascii="Calibri" w:hAnsi="Calibri" w:eastAsia="Microsoft YaHei"/>
          <w:color w:val="64748B"/>
          <w:sz w:val="18"/>
        </w:rPr>
        <w:t>升学方向选择为保研，并填写成绩、排名、科研和竞赛经历。</w:t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C9D3E0"/>
          <w:left w:val="single" w:sz="5" w:space="0" w:color="C9D3E0"/>
          <w:bottom w:val="single" w:sz="5" w:space="0" w:color="C9D3E0"/>
          <w:right w:val="single" w:sz="5" w:space="0" w:color="C9D3E0"/>
          <w:insideH w:val="single" w:sz="5" w:space="0" w:color="C9D3E0"/>
          <w:insideV w:val="single" w:sz="5" w:space="0" w:color="C9D3E0"/>
        </w:tblBorders>
      </w:tblPr>
      <w:tblGrid>
        <w:gridCol w:w="800"/>
        <w:gridCol w:w="1900"/>
        <w:gridCol w:w="4500"/>
        <w:gridCol w:w="3900"/>
        <w:gridCol w:w="1800"/>
        <w:gridCol w:w="1380"/>
      </w:tblGrid>
      <w:tr>
        <w:trPr>
          <w:tblHeader w:val="true"/>
        </w:trPr>
        <w:tc>
          <w:tcPr>
            <w:tcW w:type="dxa" w:w="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用例编号</w:t>
            </w:r>
          </w:p>
        </w:tc>
        <w:tc>
          <w:tcPr>
            <w:tcW w:type="dxa" w:w="1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测试点</w:t>
            </w:r>
          </w:p>
        </w:tc>
        <w:tc>
          <w:tcPr>
            <w:tcW w:type="dxa" w:w="45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步骤/输入</w:t>
            </w:r>
          </w:p>
        </w:tc>
        <w:tc>
          <w:tcPr>
            <w:tcW w:type="dxa" w:w="3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预期结果</w:t>
            </w:r>
          </w:p>
        </w:tc>
        <w:tc>
          <w:tcPr>
            <w:tcW w:type="dxa" w:w="1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当前状态</w:t>
            </w:r>
          </w:p>
        </w:tc>
        <w:tc>
          <w:tcPr>
            <w:tcW w:type="dxa" w:w="138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证据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REC-01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竞争力诊断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录入绩点、排名、英语和成果后提交。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返回优势、短板、资格风险和提升优先级。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S12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REC-02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背景提升计划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选择年级和目标层次后生成计划。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返回阶段行动、成果目标和时间安排。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A95B21"/>
                <w:sz w:val="15"/>
              </w:rPr>
              <w:t>待环境验证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S12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REC-03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申请材料精修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输入个人陈述或邮件草稿。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在不编造经历的前提下给出结构化修改结果。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S12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REC-04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导师联系邮件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填写导师方向和个人背景生成邮件。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内容礼貌、具体，包含待用户核实信息。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S12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REC-05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材料参与规划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上传保研材料后重新生成路线。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只注入当前用户保研方向的可用资料。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A95B21"/>
                <w:sz w:val="15"/>
              </w:rPr>
              <w:t>待环境验证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S12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REC-06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失败与旧计划保护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模拟保研智能体无效输出。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返回清晰错误，旧计划和已完成进度不被覆盖。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S12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留学陪伴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18"/>
        </w:rPr>
        <w:t>前置条件：</w:t>
      </w:r>
      <w:r>
        <w:rPr>
          <w:rFonts w:ascii="Calibri" w:hAnsi="Calibri" w:eastAsia="Microsoft YaHei"/>
          <w:color w:val="64748B"/>
          <w:sz w:val="18"/>
        </w:rPr>
        <w:t>升学方向选择为留学，并填写国家地区、学位、语言和预算。</w:t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C9D3E0"/>
          <w:left w:val="single" w:sz="5" w:space="0" w:color="C9D3E0"/>
          <w:bottom w:val="single" w:sz="5" w:space="0" w:color="C9D3E0"/>
          <w:right w:val="single" w:sz="5" w:space="0" w:color="C9D3E0"/>
          <w:insideH w:val="single" w:sz="5" w:space="0" w:color="C9D3E0"/>
          <w:insideV w:val="single" w:sz="5" w:space="0" w:color="C9D3E0"/>
        </w:tblBorders>
      </w:tblPr>
      <w:tblGrid>
        <w:gridCol w:w="800"/>
        <w:gridCol w:w="1900"/>
        <w:gridCol w:w="4500"/>
        <w:gridCol w:w="3900"/>
        <w:gridCol w:w="1800"/>
        <w:gridCol w:w="1380"/>
      </w:tblGrid>
      <w:tr>
        <w:trPr>
          <w:tblHeader w:val="true"/>
        </w:trPr>
        <w:tc>
          <w:tcPr>
            <w:tcW w:type="dxa" w:w="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用例编号</w:t>
            </w:r>
          </w:p>
        </w:tc>
        <w:tc>
          <w:tcPr>
            <w:tcW w:type="dxa" w:w="1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测试点</w:t>
            </w:r>
          </w:p>
        </w:tc>
        <w:tc>
          <w:tcPr>
            <w:tcW w:type="dxa" w:w="45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步骤/输入</w:t>
            </w:r>
          </w:p>
        </w:tc>
        <w:tc>
          <w:tcPr>
            <w:tcW w:type="dxa" w:w="3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预期结果</w:t>
            </w:r>
          </w:p>
        </w:tc>
        <w:tc>
          <w:tcPr>
            <w:tcW w:type="dxa" w:w="1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当前状态</w:t>
            </w:r>
          </w:p>
        </w:tc>
        <w:tc>
          <w:tcPr>
            <w:tcW w:type="dxa" w:w="138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证据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ABR-01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留学准备度诊断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填写成绩、语言、经历、预算和目标地区。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返回现状、缺口、风险和下一步行动。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S13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ABR-02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语言考试计划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选择考试类型、目标分和考试日期。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生成阶段备考计划和检查节点。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S13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ABR-03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选校定位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填写地区、专业、成绩、语言和预算。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返回冲刺、匹配、稳妥梯度，并标记待核实事实。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S13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ABR-04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个人陈述主线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输入真实学术和项目经历。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输出叙事主线和材料缺口，不编造经历。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S13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ABR-05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签证与网申清单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填写国家、申请季、录取和材料状态。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生成分阶段清单，政策信息提示核验来源和时效。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S13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ABR-06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留学路线生成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从升学中心生成留学完整路线。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只调用留学智能体，按留学方向保存并覆盖完整周期。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A95B21"/>
                <w:sz w:val="15"/>
              </w:rPr>
              <w:t>待环境验证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S13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ABR-07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智能体失败处理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留学智能体未配置或返回考研语义。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拒绝保存并保持原有效留学路线。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S13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智能助手、消息与订阅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18"/>
        </w:rPr>
        <w:t>前置条件：</w:t>
      </w:r>
      <w:r>
        <w:rPr>
          <w:rFonts w:ascii="Calibri" w:hAnsi="Calibri" w:eastAsia="Microsoft YaHei"/>
          <w:color w:val="64748B"/>
          <w:sz w:val="18"/>
        </w:rPr>
        <w:t>准备普通用户及若干通知记录。</w:t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C9D3E0"/>
          <w:left w:val="single" w:sz="5" w:space="0" w:color="C9D3E0"/>
          <w:bottom w:val="single" w:sz="5" w:space="0" w:color="C9D3E0"/>
          <w:right w:val="single" w:sz="5" w:space="0" w:color="C9D3E0"/>
          <w:insideH w:val="single" w:sz="5" w:space="0" w:color="C9D3E0"/>
          <w:insideV w:val="single" w:sz="5" w:space="0" w:color="C9D3E0"/>
        </w:tblBorders>
      </w:tblPr>
      <w:tblGrid>
        <w:gridCol w:w="800"/>
        <w:gridCol w:w="1900"/>
        <w:gridCol w:w="4500"/>
        <w:gridCol w:w="3900"/>
        <w:gridCol w:w="1800"/>
        <w:gridCol w:w="1380"/>
      </w:tblGrid>
      <w:tr>
        <w:trPr>
          <w:tblHeader w:val="true"/>
        </w:trPr>
        <w:tc>
          <w:tcPr>
            <w:tcW w:type="dxa" w:w="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用例编号</w:t>
            </w:r>
          </w:p>
        </w:tc>
        <w:tc>
          <w:tcPr>
            <w:tcW w:type="dxa" w:w="1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测试点</w:t>
            </w:r>
          </w:p>
        </w:tc>
        <w:tc>
          <w:tcPr>
            <w:tcW w:type="dxa" w:w="45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步骤/输入</w:t>
            </w:r>
          </w:p>
        </w:tc>
        <w:tc>
          <w:tcPr>
            <w:tcW w:type="dxa" w:w="3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预期结果</w:t>
            </w:r>
          </w:p>
        </w:tc>
        <w:tc>
          <w:tcPr>
            <w:tcW w:type="dxa" w:w="1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当前状态</w:t>
            </w:r>
          </w:p>
        </w:tc>
        <w:tc>
          <w:tcPr>
            <w:tcW w:type="dxa" w:w="138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证据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MSG-01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创建助手会话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打开求职助手并新建会话。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创建当前用户会话并返回唯一标识。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S14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MSG-02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发送连续问题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在同一会话连续发送两条相关问题。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回复引用当前画像和会话上下文。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A95B21"/>
                <w:sz w:val="15"/>
              </w:rPr>
              <w:t>待环境验证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S14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MSG-03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会话与消息历史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退出后重新进入并打开原会话。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会话和消息按时间恢复，用户间隔离。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S14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MSG-04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删除会话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删除指定助手会话。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会话及关联消息删除，其他会话不受影响。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S14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MSG-05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助手失败提示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模拟 AI 不可用或请求为空。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返回普通中文提示，不泄露配置或错误堆栈。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S14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MSG-06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通知与未读数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打开消息中心并查看未读数量。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列表和未读数一致，只返回当前用户消息。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S14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MSG-07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已读、全部已读与删除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依次操作单条已读、全部已读和删除。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状态和未读数即时更新。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S14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MSG-08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订阅配额与发送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查询配额并发起一次订阅发送。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按类型扣减配额，超额时阻止发送。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S14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MSG-09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每周成长报告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请求本周报告。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汇总画像、任务、面试等当前用户数据。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S14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MSG-10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消息所有权保护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用户甲尝试操作用户乙消息。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拒绝读取、标记或删除其他用户消息。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自动化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管理控制台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18"/>
        </w:rPr>
        <w:t>前置条件：</w:t>
      </w:r>
      <w:r>
        <w:rPr>
          <w:rFonts w:ascii="Calibri" w:hAnsi="Calibri" w:eastAsia="Microsoft YaHei"/>
          <w:color w:val="64748B"/>
          <w:sz w:val="18"/>
        </w:rPr>
        <w:t>准备管理员、普通用户、题目、内容和通知样本。</w:t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C9D3E0"/>
          <w:left w:val="single" w:sz="5" w:space="0" w:color="C9D3E0"/>
          <w:bottom w:val="single" w:sz="5" w:space="0" w:color="C9D3E0"/>
          <w:right w:val="single" w:sz="5" w:space="0" w:color="C9D3E0"/>
          <w:insideH w:val="single" w:sz="5" w:space="0" w:color="C9D3E0"/>
          <w:insideV w:val="single" w:sz="5" w:space="0" w:color="C9D3E0"/>
        </w:tblBorders>
      </w:tblPr>
      <w:tblGrid>
        <w:gridCol w:w="800"/>
        <w:gridCol w:w="1900"/>
        <w:gridCol w:w="4500"/>
        <w:gridCol w:w="3900"/>
        <w:gridCol w:w="1800"/>
        <w:gridCol w:w="1380"/>
      </w:tblGrid>
      <w:tr>
        <w:trPr>
          <w:tblHeader w:val="true"/>
        </w:trPr>
        <w:tc>
          <w:tcPr>
            <w:tcW w:type="dxa" w:w="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用例编号</w:t>
            </w:r>
          </w:p>
        </w:tc>
        <w:tc>
          <w:tcPr>
            <w:tcW w:type="dxa" w:w="1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测试点</w:t>
            </w:r>
          </w:p>
        </w:tc>
        <w:tc>
          <w:tcPr>
            <w:tcW w:type="dxa" w:w="45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步骤/输入</w:t>
            </w:r>
          </w:p>
        </w:tc>
        <w:tc>
          <w:tcPr>
            <w:tcW w:type="dxa" w:w="39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预期结果</w:t>
            </w:r>
          </w:p>
        </w:tc>
        <w:tc>
          <w:tcPr>
            <w:tcW w:type="dxa" w:w="180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当前状态</w:t>
            </w:r>
          </w:p>
        </w:tc>
        <w:tc>
          <w:tcPr>
            <w:tcW w:type="dxa" w:w="138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证据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ADM-01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管理员身份识别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管理员进入控制台并查看当前身份。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返回管理员角色和权限范围。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S15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ADM-02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非管理员拒绝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普通用户调用任一管理接口。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统一拒绝并记录安全事件。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S15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ADM-03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组织管理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新增或编辑组织并重新查询。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组织信息保存并在列表中更新。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S15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ADM-04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数据看板和学生列表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打开管理首页并筛选组织。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统计口径与学生列表一致。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S15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ADM-05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用户分页与详情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按关键词、状态和分页查询用户。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分页、筛选和详情准确。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S15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ADM-06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封禁与解封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封禁普通用户，再尝试访问；随后解封。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封禁立即生效，解封后恢复访问并记录审计。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S15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ADM-07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职业路径与节点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新增、编辑并查询职业路径和节点。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数据关系正确，非法父子关系被拒绝。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S15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ADM-08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题库治理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新增、更新、审核通过/驳回、贡献及删除题目。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状态流转正确，审计信息完整。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S15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ADM-09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内容治理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新增内容，置顶、隐藏、恢复并删除。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用户侧只看到允许发布的内容。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S15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ADM-10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通知广播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选择目标范围并发送通知。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向目标用户创建消息，避免重复或越权发送。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S15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ADM-11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运营统计</w:t>
            </w:r>
          </w:p>
        </w:tc>
        <w:tc>
          <w:tcPr>
            <w:tcW w:type="dxa" w:w="45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查看画像、测评、简历和面试统计。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统计来源与业务记录一致。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S15</w:t>
            </w:r>
          </w:p>
        </w:tc>
      </w:tr>
      <w:tr>
        <w:tc>
          <w:tcPr>
            <w:tcW w:type="dxa" w:w="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33D"/>
                <w:sz w:val="15"/>
              </w:rPr>
              <w:t>ADM-12</w:t>
            </w:r>
          </w:p>
        </w:tc>
        <w:tc>
          <w:tcPr>
            <w:tcW w:type="dxa" w:w="1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审计日志</w:t>
            </w:r>
          </w:p>
        </w:tc>
        <w:tc>
          <w:tcPr>
            <w:tcW w:type="dxa" w:w="45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执行管理操作后查询审计记录。</w:t>
            </w:r>
          </w:p>
        </w:tc>
        <w:tc>
          <w:tcPr>
            <w:tcW w:type="dxa" w:w="3900"/>
            <w:shd w:fill="FBFCFE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记录操作者、动作、对象、前后值和时间；支持保留策略。</w:t>
            </w:r>
          </w:p>
        </w:tc>
        <w:tc>
          <w:tcPr>
            <w:tcW w:type="dxa" w:w="180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37A4B"/>
                <w:sz w:val="15"/>
              </w:rPr>
              <w:t>自动化通过</w:t>
              <w:br/>
              <w:t>界面待验</w:t>
            </w:r>
          </w:p>
        </w:tc>
        <w:tc>
          <w:tcPr>
            <w:tcW w:type="dxa" w:w="1380"/>
            <w:shd w:fill="FBFCFE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33D"/>
                <w:sz w:val="15"/>
              </w:rPr>
              <w:t>S15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功能用例统计</w:t>
      </w:r>
    </w:p>
    <w:tbl>
      <w:tblPr>
        <w:tblW w:type="dxa" w:w="1420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400"/>
        <w:gridCol w:w="3600"/>
        <w:gridCol w:w="3600"/>
        <w:gridCol w:w="3600"/>
      </w:tblGrid>
      <w:tr>
        <w:trPr>
          <w:tblHeader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功能用例总数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自动化覆盖/界面待验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待人工验证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待环境验证</w:t>
            </w:r>
          </w:p>
        </w:tc>
      </w:tr>
      <w:tr>
        <w:tc>
          <w:tcPr>
            <w:tcW w:type="dxa" w:w="34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114</w:t>
            </w:r>
          </w:p>
        </w:tc>
        <w:tc>
          <w:tcPr>
            <w:tcW w:type="dxa" w:w="36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8"/>
              </w:rPr>
              <w:t>93</w:t>
            </w:r>
          </w:p>
        </w:tc>
        <w:tc>
          <w:tcPr>
            <w:tcW w:type="dxa" w:w="36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8"/>
              </w:rPr>
              <w:t>4</w:t>
            </w:r>
          </w:p>
        </w:tc>
        <w:tc>
          <w:tcPr>
            <w:tcW w:type="dxa" w:w="36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17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YaHei"/>
          <w:b/>
          <w:color w:val="2E74B5"/>
          <w:sz w:val="32"/>
        </w:rPr>
        <w:t>7 非功能、兼容与安全验证</w:t>
      </w:r>
    </w:p>
    <w:tbl>
      <w:tblPr>
        <w:tblW w:type="dxa" w:w="144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100"/>
        <w:gridCol w:w="2500"/>
        <w:gridCol w:w="4200"/>
        <w:gridCol w:w="1500"/>
        <w:gridCol w:w="51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验证域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结果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说明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NFR-01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JDK 8 兼容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使用仓库 Wrapper 完整构建</w:t>
            </w:r>
          </w:p>
        </w:tc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通过</w:t>
            </w:r>
          </w:p>
        </w:tc>
        <w:tc>
          <w:tcPr>
            <w:tcW w:type="dxa" w:w="51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编译、测试和打包成功</w:t>
            </w:r>
          </w:p>
        </w:tc>
      </w:tr>
      <w:tr>
        <w:tc>
          <w:tcPr>
            <w:tcW w:type="dxa" w:w="11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NFR-02</w:t>
            </w:r>
          </w:p>
        </w:tc>
        <w:tc>
          <w:tcPr>
            <w:tcW w:type="dxa" w:w="25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前端静态质量</w:t>
            </w:r>
          </w:p>
        </w:tc>
        <w:tc>
          <w:tcPr>
            <w:tcW w:type="dxa" w:w="42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38 个 JS 文件语法检查</w:t>
            </w:r>
          </w:p>
        </w:tc>
        <w:tc>
          <w:tcPr>
            <w:tcW w:type="dxa" w:w="15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通过</w:t>
            </w:r>
          </w:p>
        </w:tc>
        <w:tc>
          <w:tcPr>
            <w:tcW w:type="dxa" w:w="51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0 个语法失败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NFR-03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路由一致性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页面与接口键映射校验</w:t>
            </w:r>
          </w:p>
        </w:tc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通过</w:t>
            </w:r>
          </w:p>
        </w:tc>
        <w:tc>
          <w:tcPr>
            <w:tcW w:type="dxa" w:w="51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route map ok</w:t>
            </w:r>
          </w:p>
        </w:tc>
      </w:tr>
      <w:tr>
        <w:tc>
          <w:tcPr>
            <w:tcW w:type="dxa" w:w="11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NFR-04</w:t>
            </w:r>
          </w:p>
        </w:tc>
        <w:tc>
          <w:tcPr>
            <w:tcW w:type="dxa" w:w="25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规格可追踪</w:t>
            </w:r>
          </w:p>
        </w:tc>
        <w:tc>
          <w:tcPr>
            <w:tcW w:type="dxa" w:w="42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OpenSpec 全量严格校验</w:t>
            </w:r>
          </w:p>
        </w:tc>
        <w:tc>
          <w:tcPr>
            <w:tcW w:type="dxa" w:w="15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通过</w:t>
            </w:r>
          </w:p>
        </w:tc>
        <w:tc>
          <w:tcPr>
            <w:tcW w:type="dxa" w:w="51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63/63 通过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NFR-05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身份与权限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可信身份、管理员和越权单元/接口测试</w:t>
            </w:r>
          </w:p>
        </w:tc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通过</w:t>
            </w:r>
          </w:p>
        </w:tc>
        <w:tc>
          <w:tcPr>
            <w:tcW w:type="dxa" w:w="51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自动化覆盖</w:t>
            </w:r>
          </w:p>
        </w:tc>
      </w:tr>
      <w:tr>
        <w:tc>
          <w:tcPr>
            <w:tcW w:type="dxa" w:w="11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NFR-06</w:t>
            </w:r>
          </w:p>
        </w:tc>
        <w:tc>
          <w:tcPr>
            <w:tcW w:type="dxa" w:w="25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数据所有权</w:t>
            </w:r>
          </w:p>
        </w:tc>
        <w:tc>
          <w:tcPr>
            <w:tcW w:type="dxa" w:w="42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画像、简历、面试、材料按用户隔离</w:t>
            </w:r>
          </w:p>
        </w:tc>
        <w:tc>
          <w:tcPr>
            <w:tcW w:type="dxa" w:w="15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通过</w:t>
            </w:r>
          </w:p>
        </w:tc>
        <w:tc>
          <w:tcPr>
            <w:tcW w:type="dxa" w:w="51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自动化覆盖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NFR-07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方向隔离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考研、保研、留学按 userId+direction 隔离</w:t>
            </w:r>
          </w:p>
        </w:tc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通过</w:t>
            </w:r>
          </w:p>
        </w:tc>
        <w:tc>
          <w:tcPr>
            <w:tcW w:type="dxa" w:w="51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25 项路线隔离测试</w:t>
            </w:r>
          </w:p>
        </w:tc>
      </w:tr>
      <w:tr>
        <w:tc>
          <w:tcPr>
            <w:tcW w:type="dxa" w:w="11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NFR-08</w:t>
            </w:r>
          </w:p>
        </w:tc>
        <w:tc>
          <w:tcPr>
            <w:tcW w:type="dxa" w:w="25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AI 输出安全</w:t>
            </w:r>
          </w:p>
        </w:tc>
        <w:tc>
          <w:tcPr>
            <w:tcW w:type="dxa" w:w="42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无效 JSON、缺字段、超时和未配置</w:t>
            </w:r>
          </w:p>
        </w:tc>
        <w:tc>
          <w:tcPr>
            <w:tcW w:type="dxa" w:w="15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通过</w:t>
            </w:r>
          </w:p>
        </w:tc>
        <w:tc>
          <w:tcPr>
            <w:tcW w:type="dxa" w:w="51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拒绝虚假结果并保护旧数据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NFR-09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数据库持久化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真实 PostgreSQL 重启、并发和隔离</w:t>
            </w:r>
          </w:p>
        </w:tc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待验证</w:t>
            </w:r>
          </w:p>
        </w:tc>
        <w:tc>
          <w:tcPr>
            <w:tcW w:type="dxa" w:w="51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7 个环境测试被跳过</w:t>
            </w:r>
          </w:p>
        </w:tc>
      </w:tr>
      <w:tr>
        <w:tc>
          <w:tcPr>
            <w:tcW w:type="dxa" w:w="11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NFR-10</w:t>
            </w:r>
          </w:p>
        </w:tc>
        <w:tc>
          <w:tcPr>
            <w:tcW w:type="dxa" w:w="25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浏览器兼容</w:t>
            </w:r>
          </w:p>
        </w:tc>
        <w:tc>
          <w:tcPr>
            <w:tcW w:type="dxa" w:w="42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Edge/Chrome 不同分辨率和媒体权限</w:t>
            </w:r>
          </w:p>
        </w:tc>
        <w:tc>
          <w:tcPr>
            <w:tcW w:type="dxa" w:w="15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待验证</w:t>
            </w:r>
          </w:p>
        </w:tc>
        <w:tc>
          <w:tcPr>
            <w:tcW w:type="dxa" w:w="51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需人工执行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NFR-11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性能容量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关键查询、路线生成、并发用户和大文件</w:t>
            </w:r>
          </w:p>
        </w:tc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未执行</w:t>
            </w:r>
          </w:p>
        </w:tc>
        <w:tc>
          <w:tcPr>
            <w:tcW w:type="dxa" w:w="51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需单独性能方案</w:t>
            </w:r>
          </w:p>
        </w:tc>
      </w:tr>
      <w:tr>
        <w:tc>
          <w:tcPr>
            <w:tcW w:type="dxa" w:w="11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NFR-12</w:t>
            </w:r>
          </w:p>
        </w:tc>
        <w:tc>
          <w:tcPr>
            <w:tcW w:type="dxa" w:w="25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安全测试</w:t>
            </w:r>
          </w:p>
        </w:tc>
        <w:tc>
          <w:tcPr>
            <w:tcW w:type="dxa" w:w="42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漏洞扫描、渗透、敏感信息和日志检查</w:t>
            </w:r>
          </w:p>
        </w:tc>
        <w:tc>
          <w:tcPr>
            <w:tcW w:type="dxa" w:w="15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部分覆盖</w:t>
            </w:r>
          </w:p>
        </w:tc>
        <w:tc>
          <w:tcPr>
            <w:tcW w:type="dxa" w:w="51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权限与配置边界已测；未做渗透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YaHei"/>
          <w:b/>
          <w:color w:val="2E74B5"/>
          <w:sz w:val="32"/>
        </w:rPr>
        <w:t>8 缺陷、限制与残余风险</w:t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100"/>
        <w:gridCol w:w="1200"/>
        <w:gridCol w:w="6000"/>
        <w:gridCol w:w="598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等级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风险描述</w:t>
            </w:r>
          </w:p>
        </w:tc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建议措施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R-01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高</w:t>
            </w:r>
          </w:p>
        </w:tc>
        <w:tc>
          <w:tcPr>
            <w:tcW w:type="dxa" w:w="60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真实智能体配置、授权和输出稳定性尚需部署环境验证</w:t>
            </w:r>
          </w:p>
        </w:tc>
        <w:tc>
          <w:tcPr>
            <w:tcW w:type="dxa" w:w="598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执行 S18；逐个验证画像、就业、简历、面试、考研、保研、留学智能体</w:t>
            </w:r>
          </w:p>
        </w:tc>
      </w:tr>
      <w:tr>
        <w:tc>
          <w:tcPr>
            <w:tcW w:type="dxa" w:w="11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R-02</w:t>
            </w:r>
          </w:p>
        </w:tc>
        <w:tc>
          <w:tcPr>
            <w:tcW w:type="dxa" w:w="12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高</w:t>
            </w:r>
          </w:p>
        </w:tc>
        <w:tc>
          <w:tcPr>
            <w:tcW w:type="dxa" w:w="60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PostgreSQL 画像、题库和升学资料 live test 共 6 项跳过</w:t>
            </w:r>
          </w:p>
        </w:tc>
        <w:tc>
          <w:tcPr>
            <w:tcW w:type="dxa" w:w="598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启用隔离数据库后重跑并补 S17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R-03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中</w:t>
            </w:r>
          </w:p>
        </w:tc>
        <w:tc>
          <w:tcPr>
            <w:tcW w:type="dxa" w:w="60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人工页面操作和浏览器兼容截图尚未补齐</w:t>
            </w:r>
          </w:p>
        </w:tc>
        <w:tc>
          <w:tcPr>
            <w:tcW w:type="dxa" w:w="598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按附录 S01-S15 执行并替换占位图</w:t>
            </w:r>
          </w:p>
        </w:tc>
      </w:tr>
      <w:tr>
        <w:tc>
          <w:tcPr>
            <w:tcW w:type="dxa" w:w="11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R-04</w:t>
            </w:r>
          </w:p>
        </w:tc>
        <w:tc>
          <w:tcPr>
            <w:tcW w:type="dxa" w:w="12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中</w:t>
            </w:r>
          </w:p>
        </w:tc>
        <w:tc>
          <w:tcPr>
            <w:tcW w:type="dxa" w:w="60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性能、容量、长稳和故障恢复未形成量化结果</w:t>
            </w:r>
          </w:p>
        </w:tc>
        <w:tc>
          <w:tcPr>
            <w:tcW w:type="dxa" w:w="598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补充并发、响应时间、大文件和重启恢复专项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R-05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中</w:t>
            </w:r>
          </w:p>
        </w:tc>
        <w:tc>
          <w:tcPr>
            <w:tcW w:type="dxa" w:w="60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工作区包含未提交变更，基线可能继续变化</w:t>
            </w:r>
          </w:p>
        </w:tc>
        <w:tc>
          <w:tcPr>
            <w:tcW w:type="dxa" w:w="598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正式验收前固定提交号并重新执行全套测试</w:t>
            </w:r>
          </w:p>
        </w:tc>
      </w:tr>
      <w:tr>
        <w:tc>
          <w:tcPr>
            <w:tcW w:type="dxa" w:w="11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R-06</w:t>
            </w:r>
          </w:p>
        </w:tc>
        <w:tc>
          <w:tcPr>
            <w:tcW w:type="dxa" w:w="12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低</w:t>
            </w:r>
          </w:p>
        </w:tc>
        <w:tc>
          <w:tcPr>
            <w:tcW w:type="dxa" w:w="60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6"/>
              </w:rPr>
              <w:t>部分浏览器媒体能力依赖用户授权和设备</w:t>
            </w:r>
          </w:p>
        </w:tc>
        <w:tc>
          <w:tcPr>
            <w:tcW w:type="dxa" w:w="598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6"/>
              </w:rPr>
              <w:t>验证拒绝授权时仍可使用文字面试，并完善提示</w:t>
            </w:r>
          </w:p>
        </w:tc>
      </w:tr>
    </w:tbl>
    <w:p>
      <w:pPr>
        <w:spacing w:after="0"/>
      </w:pP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0" w:space="0" w:color="E8F5EE"/>
          <w:left w:val="single" w:sz="0" w:space="0" w:color="E8F5EE"/>
          <w:bottom w:val="single" w:sz="0" w:space="0" w:color="E8F5EE"/>
          <w:right w:val="single" w:sz="0" w:space="0" w:color="E8F5EE"/>
          <w:insideH w:val="single" w:sz="0" w:space="0" w:color="E8F5EE"/>
          <w:insideV w:val="single" w:sz="0" w:space="0" w:color="E8F5E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 w:val="clear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237A4B"/>
                <w:sz w:val="21"/>
              </w:rPr>
              <w:t xml:space="preserve">当前缺陷统计  </w:t>
            </w:r>
            <w:r>
              <w:rPr>
                <w:rFonts w:ascii="Calibri" w:hAnsi="Calibri" w:eastAsia="Microsoft YaHei"/>
                <w:color w:val="17233D"/>
                <w:sz w:val="21"/>
              </w:rPr>
              <w:t>本轮自动化执行发现 P0/P1/P2 失败项均为 0。上述条目属于尚未完成的环境验证和验收风险，不等同于已确认的软件缺陷。</w:t>
            </w:r>
          </w:p>
        </w:tc>
      </w:tr>
    </w:tbl>
    <w:p>
      <w:pPr>
        <w:spacing w:after="0"/>
      </w:pPr>
    </w:p>
    <w:p>
      <w:pPr>
        <w:sectPr>
          <w:pgSz w:w="15840" w:h="12240" w:orient="landscape"/>
          <w:pgMar w:top="792" w:right="720" w:bottom="792" w:left="720" w:header="504" w:footer="504" w:gutter="0"/>
          <w:cols w:space="720"/>
          <w:titlePg/>
          <w:docGrid w:linePitch="360"/>
        </w:sectPr>
      </w:pPr>
    </w:p>
    <w:p>
      <w:pPr>
        <w:keepNext/>
        <w:spacing w:before="80" w:after="280" w:line="240" w:lineRule="auto"/>
        <w:shd w:fill="2E74B5"/>
      </w:pPr>
      <w:r>
        <w:rPr>
          <w:rFonts w:ascii="Calibri" w:hAnsi="Calibri" w:eastAsia="Microsoft YaHei"/>
          <w:b/>
          <w:color w:val="FFFFFF"/>
          <w:sz w:val="30"/>
        </w:rPr>
        <w:t>9</w:t>
      </w:r>
      <w:r>
        <w:rPr>
          <w:rFonts w:ascii="Calibri" w:hAnsi="Calibri" w:eastAsia="Microsoft YaHei"/>
          <w:b/>
          <w:color w:val="FFFFFF"/>
          <w:sz w:val="30"/>
        </w:rPr>
        <w:t xml:space="preserve">   最终验收结论与签署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9.1 当前结论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0" w:space="0" w:color="FFF1E6"/>
          <w:left w:val="single" w:sz="0" w:space="0" w:color="FFF1E6"/>
          <w:bottom w:val="single" w:sz="0" w:space="0" w:color="FFF1E6"/>
          <w:right w:val="single" w:sz="0" w:space="0" w:color="FFF1E6"/>
          <w:insideH w:val="single" w:sz="0" w:space="0" w:color="FFF1E6"/>
          <w:insideV w:val="single" w:sz="0" w:space="0" w:color="FFF1E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E6" w:val="clear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A95B21"/>
                <w:sz w:val="21"/>
              </w:rPr>
              <w:t xml:space="preserve">有条件通过  </w:t>
            </w:r>
            <w:r>
              <w:rPr>
                <w:rFonts w:ascii="Calibri" w:hAnsi="Calibri" w:eastAsia="Microsoft YaHei"/>
                <w:color w:val="17233D"/>
                <w:sz w:val="21"/>
              </w:rPr>
              <w:t>自动化质量门禁全部通过，核心业务已有较完整的单元、应用服务和接口测试。由于真实智能体、PostgreSQL live test、Cosmic 环境及人工页面证据尚未全部完成，当前文档为评审稿。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9.2 转为正式通过的条件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固定正式验收提交号并重新执行 Gradle、路由、脚本和 OpenSpec 校验。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完成附录 S01-S18 的截图或等价证据，人工用例结果无阻塞缺陷。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在真实 PostgreSQL 环境重跑 6 个数据库 live test，并验证重启后数据仍可读取。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验证所有已发布智能体的配置、授权、结构化输出和失败保护。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对发现的 P0/P1/P2 缺陷完成关闭或评审接受。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9.3 验收签署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3100"/>
        <w:gridCol w:w="1300"/>
        <w:gridCol w:w="30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签名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测试负责人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9"/>
              </w:rPr>
              <w:t>________________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9"/>
              </w:rPr>
              <w:t>日期</w:t>
            </w:r>
          </w:p>
        </w:tc>
        <w:tc>
          <w:tcPr>
            <w:tcW w:type="dxa" w:w="30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____年__月__日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开发负责人</w:t>
            </w:r>
          </w:p>
        </w:tc>
        <w:tc>
          <w:tcPr>
            <w:tcW w:type="dxa" w:w="31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9"/>
              </w:rPr>
              <w:t>________________</w:t>
            </w:r>
          </w:p>
        </w:tc>
        <w:tc>
          <w:tcPr>
            <w:tcW w:type="dxa" w:w="13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9"/>
              </w:rPr>
              <w:t>日期</w:t>
            </w:r>
          </w:p>
        </w:tc>
        <w:tc>
          <w:tcPr>
            <w:tcW w:type="dxa" w:w="30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____年__月__日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产品负责人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9"/>
              </w:rPr>
              <w:t>________________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9"/>
              </w:rPr>
              <w:t>日期</w:t>
            </w:r>
          </w:p>
        </w:tc>
        <w:tc>
          <w:tcPr>
            <w:tcW w:type="dxa" w:w="30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____年__月__日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项目评委/验收人</w:t>
            </w:r>
          </w:p>
        </w:tc>
        <w:tc>
          <w:tcPr>
            <w:tcW w:type="dxa" w:w="31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9"/>
              </w:rPr>
              <w:t>________________</w:t>
            </w:r>
          </w:p>
        </w:tc>
        <w:tc>
          <w:tcPr>
            <w:tcW w:type="dxa" w:w="1300"/>
            <w:shd w:fill="FAFBFC" w:val="clea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9"/>
              </w:rPr>
              <w:t>日期</w:t>
            </w:r>
          </w:p>
        </w:tc>
        <w:tc>
          <w:tcPr>
            <w:tcW w:type="dxa" w:w="30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____年__月__日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最终结论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9"/>
              </w:rPr>
              <w:t>[ ] 通过    [ ] 有条件通过    [ ] 不通过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7233D"/>
                <w:sz w:val="19"/>
              </w:rPr>
              <w:t>备注</w:t>
            </w:r>
          </w:p>
        </w:tc>
        <w:tc>
          <w:tcPr>
            <w:tcW w:type="dxa" w:w="30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9"/>
              </w:rPr>
              <w:t>________________</w:t>
            </w:r>
          </w:p>
        </w:tc>
      </w:tr>
    </w:tbl>
    <w:p>
      <w:pPr>
        <w:spacing w:after="0"/>
      </w:pPr>
    </w:p>
    <w:p>
      <w:pPr>
        <w:sectPr>
          <w:pgSz w:w="12240" w:h="15840"/>
          <w:pgMar w:top="1123" w:right="1238" w:bottom="1037" w:left="1238" w:header="504" w:footer="504" w:gutter="0"/>
          <w:cols w:space="720"/>
          <w:titlePg/>
          <w:docGrid w:linePitch="360"/>
        </w:sectPr>
      </w:pPr>
    </w:p>
    <w:p>
      <w:pPr>
        <w:keepNext/>
        <w:spacing w:before="80" w:after="280" w:line="240" w:lineRule="auto"/>
        <w:shd w:fill="2E74B5"/>
      </w:pPr>
      <w:r>
        <w:rPr>
          <w:rFonts w:ascii="Calibri" w:hAnsi="Calibri" w:eastAsia="Microsoft YaHei"/>
          <w:b/>
          <w:color w:val="FFFFFF"/>
          <w:sz w:val="30"/>
        </w:rPr>
        <w:t>附录 A</w:t>
      </w:r>
      <w:r>
        <w:rPr>
          <w:rFonts w:ascii="Calibri" w:hAnsi="Calibri" w:eastAsia="Microsoft YaHei"/>
          <w:b/>
          <w:color w:val="FFFFFF"/>
          <w:sz w:val="30"/>
        </w:rPr>
        <w:t xml:space="preserve">   测试结果截图占位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7233D"/>
          <w:sz w:val="22"/>
        </w:rPr>
        <w:t>以下图片为可替换占位图。完成测试后，在 Word 中选中对应图片，使用“图片格式 → 更改图片”替换，并保留编号与说明。</w:t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8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7140"/>
        <w:gridCol w:w="7140"/>
      </w:tblGrid>
      <w:tr>
        <w:tc>
          <w:tcPr>
            <w:tcW w:type="dxa" w:w="71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5968" cy="24277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68" cy="2427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S01  登录身份、工作台与主导航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64748B"/>
                <w:sz w:val="15"/>
              </w:rPr>
              <w:t>截图应同时包含用户身份和主要功能入口</w:t>
            </w:r>
          </w:p>
        </w:tc>
        <w:tc>
          <w:tcPr>
            <w:tcW w:type="dxa" w:w="71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5968" cy="24277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68" cy="2427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S02  个人画像与信息缺口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64748B"/>
                <w:sz w:val="15"/>
              </w:rPr>
              <w:t>截图应显示已填写资料、完整度和待补信息</w:t>
            </w:r>
          </w:p>
        </w:tc>
      </w:tr>
    </w:tbl>
    <w:p>
      <w:r>
        <w:rPr>
          <w:rFonts w:ascii="Calibri" w:hAnsi="Calibri" w:eastAsia="Microsoft YaHei"/>
          <w:color w:val="17233D"/>
          <w:sz w:val="22"/>
        </w:rPr>
        <w:br w:type="page"/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8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7140"/>
        <w:gridCol w:w="7140"/>
      </w:tblGrid>
      <w:tr>
        <w:tc>
          <w:tcPr>
            <w:tcW w:type="dxa" w:w="71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5968" cy="242773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68" cy="2427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S03  职业测评结果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64748B"/>
                <w:sz w:val="15"/>
              </w:rPr>
              <w:t>截图应显示量表、维度得分和结果解读</w:t>
            </w:r>
          </w:p>
        </w:tc>
        <w:tc>
          <w:tcPr>
            <w:tcW w:type="dxa" w:w="71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5968" cy="242773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68" cy="2427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S04  就业路线图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64748B"/>
                <w:sz w:val="15"/>
              </w:rPr>
              <w:t>截图应显示当前情况、阶段目标和本周计划</w:t>
            </w:r>
          </w:p>
        </w:tc>
      </w:tr>
    </w:tbl>
    <w:p>
      <w:r>
        <w:rPr>
          <w:rFonts w:ascii="Calibri" w:hAnsi="Calibri" w:eastAsia="Microsoft YaHei"/>
          <w:color w:val="17233D"/>
          <w:sz w:val="22"/>
        </w:rPr>
        <w:br w:type="page"/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8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7140"/>
        <w:gridCol w:w="7140"/>
      </w:tblGrid>
      <w:tr>
        <w:tc>
          <w:tcPr>
            <w:tcW w:type="dxa" w:w="71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5968" cy="242773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68" cy="2427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S05  今日行动与阶段进度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64748B"/>
                <w:sz w:val="15"/>
              </w:rPr>
              <w:t>截图应显示任务状态及阶段推进结果</w:t>
            </w:r>
          </w:p>
        </w:tc>
        <w:tc>
          <w:tcPr>
            <w:tcW w:type="dxa" w:w="71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5968" cy="242773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68" cy="2427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S06  简历列表、上传与预览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64748B"/>
                <w:sz w:val="15"/>
              </w:rPr>
              <w:t>截图应显示简历记录和文件处理结果</w:t>
            </w:r>
          </w:p>
        </w:tc>
      </w:tr>
    </w:tbl>
    <w:p>
      <w:r>
        <w:rPr>
          <w:rFonts w:ascii="Calibri" w:hAnsi="Calibri" w:eastAsia="Microsoft YaHei"/>
          <w:color w:val="17233D"/>
          <w:sz w:val="22"/>
        </w:rPr>
        <w:br w:type="page"/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8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7140"/>
        <w:gridCol w:w="7140"/>
      </w:tblGrid>
      <w:tr>
        <w:tc>
          <w:tcPr>
            <w:tcW w:type="dxa" w:w="71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5968" cy="242773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68" cy="2427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S07  简历诊断结果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64748B"/>
                <w:sz w:val="15"/>
              </w:rPr>
              <w:t>截图应显示问题、改写建议和证据缺口</w:t>
            </w:r>
          </w:p>
        </w:tc>
        <w:tc>
          <w:tcPr>
            <w:tcW w:type="dxa" w:w="71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5968" cy="242773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68" cy="2427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S08  模拟面试问答过程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64748B"/>
                <w:sz w:val="15"/>
              </w:rPr>
              <w:t>截图应显示单题问答、模式和会话进度</w:t>
            </w:r>
          </w:p>
        </w:tc>
      </w:tr>
    </w:tbl>
    <w:p>
      <w:r>
        <w:rPr>
          <w:rFonts w:ascii="Calibri" w:hAnsi="Calibri" w:eastAsia="Microsoft YaHei"/>
          <w:color w:val="17233D"/>
          <w:sz w:val="22"/>
        </w:rPr>
        <w:br w:type="page"/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8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7140"/>
        <w:gridCol w:w="7140"/>
      </w:tblGrid>
      <w:tr>
        <w:tc>
          <w:tcPr>
            <w:tcW w:type="dxa" w:w="71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5968" cy="242773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68" cy="2427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S09  面试报告与历史记录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64748B"/>
                <w:sz w:val="15"/>
              </w:rPr>
              <w:t>截图应显示五维评分、证据和历史详情</w:t>
            </w:r>
          </w:p>
        </w:tc>
        <w:tc>
          <w:tcPr>
            <w:tcW w:type="dxa" w:w="71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5968" cy="242773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68" cy="2427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S10  升学中心与方向隔离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64748B"/>
                <w:sz w:val="15"/>
              </w:rPr>
              <w:t>截图应显示当前方向、路线、资料和今日行动</w:t>
            </w:r>
          </w:p>
        </w:tc>
      </w:tr>
    </w:tbl>
    <w:p>
      <w:r>
        <w:rPr>
          <w:rFonts w:ascii="Calibri" w:hAnsi="Calibri" w:eastAsia="Microsoft YaHei"/>
          <w:color w:val="17233D"/>
          <w:sz w:val="22"/>
        </w:rPr>
        <w:br w:type="page"/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8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7140"/>
        <w:gridCol w:w="7140"/>
      </w:tblGrid>
      <w:tr>
        <w:tc>
          <w:tcPr>
            <w:tcW w:type="dxa" w:w="71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5968" cy="242773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68" cy="2427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S11  考研规划结果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64748B"/>
                <w:sz w:val="15"/>
              </w:rPr>
              <w:t>截图应显示择校或复习计划的核心结果</w:t>
            </w:r>
          </w:p>
        </w:tc>
        <w:tc>
          <w:tcPr>
            <w:tcW w:type="dxa" w:w="71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5968" cy="242773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68" cy="2427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S12  保研规划结果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64748B"/>
                <w:sz w:val="15"/>
              </w:rPr>
              <w:t>截图应显示竞争力诊断或背景提升计划</w:t>
            </w:r>
          </w:p>
        </w:tc>
      </w:tr>
    </w:tbl>
    <w:p>
      <w:r>
        <w:rPr>
          <w:rFonts w:ascii="Calibri" w:hAnsi="Calibri" w:eastAsia="Microsoft YaHei"/>
          <w:color w:val="17233D"/>
          <w:sz w:val="22"/>
        </w:rPr>
        <w:br w:type="page"/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8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7140"/>
        <w:gridCol w:w="7140"/>
      </w:tblGrid>
      <w:tr>
        <w:tc>
          <w:tcPr>
            <w:tcW w:type="dxa" w:w="71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5968" cy="242773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68" cy="2427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S13  留学规划结果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64748B"/>
                <w:sz w:val="15"/>
              </w:rPr>
              <w:t>截图应显示选校、语言或申请路线结果</w:t>
            </w:r>
          </w:p>
        </w:tc>
        <w:tc>
          <w:tcPr>
            <w:tcW w:type="dxa" w:w="71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5968" cy="242773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68" cy="2427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S14  智能助手与消息中心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64748B"/>
                <w:sz w:val="15"/>
              </w:rPr>
              <w:t>截图应显示连续对话或通知处理结果</w:t>
            </w:r>
          </w:p>
        </w:tc>
      </w:tr>
    </w:tbl>
    <w:p>
      <w:r>
        <w:rPr>
          <w:rFonts w:ascii="Calibri" w:hAnsi="Calibri" w:eastAsia="Microsoft YaHei"/>
          <w:color w:val="17233D"/>
          <w:sz w:val="22"/>
        </w:rPr>
        <w:br w:type="page"/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8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7140"/>
        <w:gridCol w:w="7140"/>
      </w:tblGrid>
      <w:tr>
        <w:tc>
          <w:tcPr>
            <w:tcW w:type="dxa" w:w="71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5968" cy="242773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68" cy="2427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S15  管理控制台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64748B"/>
                <w:sz w:val="15"/>
              </w:rPr>
              <w:t>截图应显示看板、用户治理或审计日志</w:t>
            </w:r>
          </w:p>
        </w:tc>
        <w:tc>
          <w:tcPr>
            <w:tcW w:type="dxa" w:w="71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5968" cy="242773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68" cy="2427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S16  自动化构建结果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64748B"/>
                <w:sz w:val="15"/>
              </w:rPr>
              <w:t>截图应包含 BUILD SUCCESSFUL 和执行时间</w:t>
            </w:r>
          </w:p>
        </w:tc>
      </w:tr>
    </w:tbl>
    <w:p>
      <w:r>
        <w:rPr>
          <w:rFonts w:ascii="Calibri" w:hAnsi="Calibri" w:eastAsia="Microsoft YaHei"/>
          <w:color w:val="17233D"/>
          <w:sz w:val="22"/>
        </w:rPr>
        <w:br w:type="page"/>
      </w:r>
    </w:p>
    <w:tbl>
      <w:tblPr>
        <w:tblW w:type="dxa" w:w="14280"/>
        <w:tblLayout w:type="fixed"/>
        <w:tblLook w:firstColumn="1" w:firstRow="1" w:lastColumn="0" w:lastRow="0" w:noHBand="0" w:noVBand="1" w:val="04A0"/>
        <w:tblInd w:w="8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7140"/>
        <w:gridCol w:w="7140"/>
      </w:tblGrid>
      <w:tr>
        <w:tc>
          <w:tcPr>
            <w:tcW w:type="dxa" w:w="71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5968" cy="242773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7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68" cy="2427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S17  数据库持久化结果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64748B"/>
                <w:sz w:val="15"/>
              </w:rPr>
              <w:t>截图应显示关键业务表的真实记录</w:t>
            </w:r>
          </w:p>
        </w:tc>
        <w:tc>
          <w:tcPr>
            <w:tcW w:type="dxa" w:w="71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5968" cy="242773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68" cy="2427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S18  金蝶智能体平台配置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64748B"/>
                <w:sz w:val="15"/>
              </w:rPr>
              <w:t>截图应显示已发布智能体及启用状态</w:t>
            </w:r>
          </w:p>
        </w:tc>
      </w:tr>
    </w:tbl>
    <w:p>
      <w:pPr>
        <w:sectPr>
          <w:pgSz w:w="15840" w:h="12240" w:orient="landscape"/>
          <w:pgMar w:top="792" w:right="720" w:bottom="792" w:left="720" w:header="504" w:footer="504" w:gutter="0"/>
          <w:cols w:space="720"/>
          <w:titlePg/>
          <w:docGrid w:linePitch="360"/>
        </w:sectPr>
      </w:pPr>
    </w:p>
    <w:p>
      <w:pPr>
        <w:keepNext/>
        <w:spacing w:before="80" w:after="280" w:line="240" w:lineRule="auto"/>
        <w:shd w:fill="2E74B5"/>
      </w:pPr>
      <w:r>
        <w:rPr>
          <w:rFonts w:ascii="Calibri" w:hAnsi="Calibri" w:eastAsia="Microsoft YaHei"/>
          <w:b/>
          <w:color w:val="FFFFFF"/>
          <w:sz w:val="30"/>
        </w:rPr>
        <w:t>附录 B</w:t>
      </w:r>
      <w:r>
        <w:rPr>
          <w:rFonts w:ascii="Calibri" w:hAnsi="Calibri" w:eastAsia="Microsoft YaHei"/>
          <w:b/>
          <w:color w:val="FFFFFF"/>
          <w:sz w:val="30"/>
        </w:rPr>
        <w:t xml:space="preserve">   执行命令与证据索引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命令或证据位置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完整构建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$env:JAVA_HOME='F:\kingdee\ENV\jdk'; .\gradlew.bat clean build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路由校验</w:t>
            </w:r>
          </w:p>
        </w:tc>
        <w:tc>
          <w:tcPr>
            <w:tcW w:type="dxa" w:w="74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node webapp\isv\v620\cyancruise\validate-routes.js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脚本语法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node --check &lt;webapp 下全部 JavaScript 文件&gt;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规格校验</w:t>
            </w:r>
          </w:p>
        </w:tc>
        <w:tc>
          <w:tcPr>
            <w:tcW w:type="dxa" w:w="7460"/>
            <w:shd w:fill="FAFBFC" w:val="clea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openspec validate --all --strict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测试结果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7233D"/>
                <w:sz w:val="18"/>
              </w:rPr>
              <w:t>各模块 build\test-results\test\TEST-*.xml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建议截图命名规则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7233D"/>
          <w:sz w:val="22"/>
        </w:rPr>
        <w:t>建议文件名使用“截图编号_模块_日期.png”，例如：S09_面试报告_2026-07-19.png。截图中应避免出现真实访问令牌、数据库密码、身份证号、手机号等敏感信息。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YaHei"/>
          <w:b/>
          <w:color w:val="2E74B5"/>
          <w:sz w:val="26"/>
        </w:rPr>
        <w:t>最终归档清单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正式测试报告 DOCX/PDF。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S01-S18 原始截图。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Gradle 构建日志和 JUnit XML/HTML 报告。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缺陷清单及关闭证明。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7233D"/>
          <w:sz w:val="22"/>
        </w:rPr>
        <w:t>正式验收提交号、部署配置版本和数据库备份点。</w:t>
      </w:r>
    </w:p>
    <w:sectPr w:rsidR="00FC693F" w:rsidRPr="0006063C" w:rsidSect="00034616">
      <w:pgSz w:w="12240" w:h="15840"/>
      <w:pgMar w:top="1123" w:right="1238" w:bottom="1037" w:left="1238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8"/>
      </w:rPr>
      <w:t xml:space="preserve">第 </w:t>
    </w:r>
    <w:fldSimple w:instr="PAGE"/>
    <w:r>
      <w:rPr>
        <w:rFonts w:ascii="Calibri" w:hAnsi="Calibri" w:eastAsia="Microsoft YaHei"/>
        <w:color w:val="64748B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color w:val="64748B"/>
        <w:sz w:val="17"/>
      </w:rPr>
      <w:t>CyanCruise · 青途启航    |    系统测试报告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723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青途启航系统测试报告</dc:title>
  <dc:subject>CyanCruise 功能、接口、自动化与环境验收</dc:subject>
  <dc:creator>CyanCruise 项目组</dc:creator>
  <cp:keywords>CyanCruise, 青途启航, 测试报告, 金蝶云苍穹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