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微软雅黑" w:hAnsi="微软雅黑" w:eastAsia="微软雅黑"/>
          <w:b/>
          <w:color w:val="1F4D78"/>
          <w:sz w:val="40"/>
        </w:rPr>
        <w:t>保研条件与准备材料</w:t>
      </w:r>
    </w:p>
    <w:p>
      <w:pPr>
        <w:spacing w:after="320"/>
        <w:jc w:val="center"/>
      </w:pPr>
      <w:r>
        <w:rPr>
          <w:rFonts w:ascii="微软雅黑" w:hAnsi="微软雅黑" w:eastAsia="微软雅黑"/>
          <w:color w:val="555555"/>
          <w:sz w:val="20"/>
        </w:rPr>
        <w:t>CyanCruise 升学规划知识库资料</w:t>
      </w:r>
    </w:p>
    <w:p>
      <w:pPr>
        <w:pStyle w:val="Heading1"/>
      </w:pPr>
      <w:r>
        <w:t>适用场景</w:t>
      </w:r>
    </w:p>
    <w:p>
      <w:r>
        <w:t>本文用于支持 CyanCruise 智能体回答“我能不能保研”“保研要准备什么材料”“保研和考研如何选择”等问题。内容依据教育部推免政策、研招网推免服务系统等公开资料整理。</w:t>
      </w:r>
    </w:p>
    <w:p>
      <w:pPr>
        <w:pStyle w:val="Heading1"/>
      </w:pPr>
      <w:r>
        <w:t>基本概念</w:t>
      </w:r>
    </w:p>
    <w:p>
      <w:r>
        <w:t>推荐免试攻读研究生通常面向获得所在高校推免资格的优秀应届本科毕业生。推免不参加全国硕士研究生招生考试初试，但仍需参加招生单位组织的复试或考核。</w:t>
      </w:r>
    </w:p>
    <w:p>
      <w:pPr>
        <w:pStyle w:val="Heading1"/>
      </w:pPr>
      <w:r>
        <w:t>常见资格维度</w:t>
      </w:r>
    </w:p>
    <w:p>
      <w:pPr>
        <w:pStyle w:val="ListBullet"/>
        <w:ind w:left="360" w:hanging="144"/>
      </w:pPr>
      <w:r>
        <w:t>学业成绩：课程成绩、GPA、专业排名通常是基础条件，具体规则由所在高校确定。</w:t>
      </w:r>
    </w:p>
    <w:p>
      <w:pPr>
        <w:pStyle w:val="ListBullet"/>
        <w:ind w:left="360" w:hanging="144"/>
      </w:pPr>
      <w:r>
        <w:t>综合表现：科研训练、竞赛获奖、社会实践、学生工作、志愿服务等可能纳入综合评价。</w:t>
      </w:r>
    </w:p>
    <w:p>
      <w:pPr>
        <w:pStyle w:val="ListBullet"/>
        <w:ind w:left="360" w:hanging="144"/>
      </w:pPr>
      <w:r>
        <w:t>诚信与纪律：学术诚信、考试纪律、在校处分等会影响资格认定。</w:t>
      </w:r>
    </w:p>
    <w:p>
      <w:pPr>
        <w:pStyle w:val="ListBullet"/>
        <w:ind w:left="360" w:hanging="144"/>
      </w:pPr>
      <w:r>
        <w:t>外语和科研潜力：部分招生单位会关注英语能力、科研经历、论文、专利、项目经历或面试表现。</w:t>
      </w:r>
    </w:p>
    <w:p>
      <w:pPr>
        <w:pStyle w:val="ListBullet"/>
        <w:ind w:left="360" w:hanging="144"/>
      </w:pPr>
      <w:r>
        <w:t>专项计划或特殊类别：以高校、招生单位和教育主管部门当年政策为准。</w:t>
      </w:r>
    </w:p>
    <w:p>
      <w:pPr>
        <w:pStyle w:val="Heading1"/>
      </w:pPr>
      <w:r>
        <w:t>材料清单</w:t>
      </w:r>
    </w:p>
    <w:tbl>
      <w:tblPr>
        <w:tblStyle w:val="TableGrid"/>
        <w:tblW w:type="auto" w:w="0"/>
        <w:tblLook w:firstColumn="1" w:firstRow="1" w:lastColumn="0" w:lastRow="0" w:noHBand="0" w:noVBand="1" w:val="04A0"/>
      </w:tblPr>
      <w:tblGrid>
        <w:gridCol w:w="3120"/>
        <w:gridCol w:w="3120"/>
        <w:gridCol w:w="3120"/>
      </w:tblGrid>
      <w:tr>
        <w:tc>
          <w:tcPr>
            <w:tcW w:type="dxa" w:w="1700"/>
            <w:shd w:fill="F2F4F7"/>
          </w:tcPr>
          <w:p>
            <w:pPr>
              <w:spacing w:after="60"/>
            </w:pPr>
            <w:r>
              <w:rPr>
                <w:rFonts w:ascii="微软雅黑" w:hAnsi="微软雅黑" w:eastAsia="微软雅黑"/>
                <w:b/>
                <w:sz w:val="19"/>
              </w:rPr>
              <w:t>材料类别</w:t>
            </w:r>
          </w:p>
        </w:tc>
        <w:tc>
          <w:tcPr>
            <w:tcW w:type="dxa" w:w="4100"/>
            <w:shd w:fill="F2F4F7"/>
          </w:tcPr>
          <w:p>
            <w:pPr>
              <w:spacing w:after="60"/>
            </w:pPr>
            <w:r>
              <w:rPr>
                <w:rFonts w:ascii="微软雅黑" w:hAnsi="微软雅黑" w:eastAsia="微软雅黑"/>
                <w:b/>
                <w:sz w:val="19"/>
              </w:rPr>
              <w:t>常见内容</w:t>
            </w:r>
          </w:p>
        </w:tc>
        <w:tc>
          <w:tcPr>
            <w:tcW w:type="dxa" w:w="3560"/>
            <w:shd w:fill="F2F4F7"/>
          </w:tcPr>
          <w:p>
            <w:pPr>
              <w:spacing w:after="60"/>
            </w:pPr>
            <w:r>
              <w:rPr>
                <w:rFonts w:ascii="微软雅黑" w:hAnsi="微软雅黑" w:eastAsia="微软雅黑"/>
                <w:b/>
                <w:sz w:val="19"/>
              </w:rPr>
              <w:t>准备建议</w:t>
            </w:r>
          </w:p>
        </w:tc>
      </w:tr>
      <w:tr>
        <w:tc>
          <w:tcPr>
            <w:tcW w:type="dxa" w:w="1700"/>
          </w:tcPr>
          <w:p>
            <w:pPr>
              <w:spacing w:after="60"/>
            </w:pPr>
            <w:r>
              <w:rPr>
                <w:rFonts w:ascii="微软雅黑" w:hAnsi="微软雅黑" w:eastAsia="微软雅黑"/>
                <w:sz w:val="19"/>
              </w:rPr>
              <w:t>身份与学籍</w:t>
            </w:r>
          </w:p>
        </w:tc>
        <w:tc>
          <w:tcPr>
            <w:tcW w:type="dxa" w:w="4100"/>
          </w:tcPr>
          <w:p>
            <w:pPr>
              <w:spacing w:after="60"/>
            </w:pPr>
            <w:r>
              <w:rPr>
                <w:rFonts w:ascii="微软雅黑" w:hAnsi="微软雅黑" w:eastAsia="微软雅黑"/>
                <w:sz w:val="19"/>
              </w:rPr>
              <w:t>身份证、学生证、学籍证明、推免资格证明。</w:t>
            </w:r>
          </w:p>
        </w:tc>
        <w:tc>
          <w:tcPr>
            <w:tcW w:type="dxa" w:w="3560"/>
          </w:tcPr>
          <w:p>
            <w:pPr>
              <w:spacing w:after="60"/>
            </w:pPr>
            <w:r>
              <w:rPr>
                <w:rFonts w:ascii="微软雅黑" w:hAnsi="微软雅黑" w:eastAsia="微软雅黑"/>
                <w:sz w:val="19"/>
              </w:rPr>
              <w:t>提前核对学信网学籍信息，确保姓名、证件号、学校信息一致。</w:t>
            </w:r>
          </w:p>
        </w:tc>
      </w:tr>
      <w:tr>
        <w:tc>
          <w:tcPr>
            <w:tcW w:type="dxa" w:w="1700"/>
          </w:tcPr>
          <w:p>
            <w:pPr>
              <w:spacing w:after="60"/>
            </w:pPr>
            <w:r>
              <w:rPr>
                <w:rFonts w:ascii="微软雅黑" w:hAnsi="微软雅黑" w:eastAsia="微软雅黑"/>
                <w:sz w:val="19"/>
              </w:rPr>
              <w:t>成绩材料</w:t>
            </w:r>
          </w:p>
        </w:tc>
        <w:tc>
          <w:tcPr>
            <w:tcW w:type="dxa" w:w="4100"/>
          </w:tcPr>
          <w:p>
            <w:pPr>
              <w:spacing w:after="60"/>
            </w:pPr>
            <w:r>
              <w:rPr>
                <w:rFonts w:ascii="微软雅黑" w:hAnsi="微软雅黑" w:eastAsia="微软雅黑"/>
                <w:sz w:val="19"/>
              </w:rPr>
              <w:t>成绩单、GPA/排名证明、专业排名说明。</w:t>
            </w:r>
          </w:p>
        </w:tc>
        <w:tc>
          <w:tcPr>
            <w:tcW w:type="dxa" w:w="3560"/>
          </w:tcPr>
          <w:p>
            <w:pPr>
              <w:spacing w:after="60"/>
            </w:pPr>
            <w:r>
              <w:rPr>
                <w:rFonts w:ascii="微软雅黑" w:hAnsi="微软雅黑" w:eastAsia="微软雅黑"/>
                <w:sz w:val="19"/>
              </w:rPr>
              <w:t>使用学校教务部门盖章版本，避免自行截图替代正式材料。</w:t>
            </w:r>
          </w:p>
        </w:tc>
      </w:tr>
      <w:tr>
        <w:tc>
          <w:tcPr>
            <w:tcW w:type="dxa" w:w="1700"/>
          </w:tcPr>
          <w:p>
            <w:pPr>
              <w:spacing w:after="60"/>
            </w:pPr>
            <w:r>
              <w:rPr>
                <w:rFonts w:ascii="微软雅黑" w:hAnsi="微软雅黑" w:eastAsia="微软雅黑"/>
                <w:sz w:val="19"/>
              </w:rPr>
              <w:t>能力证明</w:t>
            </w:r>
          </w:p>
        </w:tc>
        <w:tc>
          <w:tcPr>
            <w:tcW w:type="dxa" w:w="4100"/>
          </w:tcPr>
          <w:p>
            <w:pPr>
              <w:spacing w:after="60"/>
            </w:pPr>
            <w:r>
              <w:rPr>
                <w:rFonts w:ascii="微软雅黑" w:hAnsi="微软雅黑" w:eastAsia="微软雅黑"/>
                <w:sz w:val="19"/>
              </w:rPr>
              <w:t>英语四六级、雅思托福、竞赛、论文、专利、科研项目、实习实践。</w:t>
            </w:r>
          </w:p>
        </w:tc>
        <w:tc>
          <w:tcPr>
            <w:tcW w:type="dxa" w:w="3560"/>
          </w:tcPr>
          <w:p>
            <w:pPr>
              <w:spacing w:after="60"/>
            </w:pPr>
            <w:r>
              <w:rPr>
                <w:rFonts w:ascii="微软雅黑" w:hAnsi="微软雅黑" w:eastAsia="微软雅黑"/>
                <w:sz w:val="19"/>
              </w:rPr>
              <w:t>按“名称、时间、角色、成果、证明材料”整理。</w:t>
            </w:r>
          </w:p>
        </w:tc>
      </w:tr>
      <w:tr>
        <w:tc>
          <w:tcPr>
            <w:tcW w:type="dxa" w:w="1700"/>
          </w:tcPr>
          <w:p>
            <w:pPr>
              <w:spacing w:after="60"/>
            </w:pPr>
            <w:r>
              <w:rPr>
                <w:rFonts w:ascii="微软雅黑" w:hAnsi="微软雅黑" w:eastAsia="微软雅黑"/>
                <w:sz w:val="19"/>
              </w:rPr>
              <w:t>申请文书</w:t>
            </w:r>
          </w:p>
        </w:tc>
        <w:tc>
          <w:tcPr>
            <w:tcW w:type="dxa" w:w="4100"/>
          </w:tcPr>
          <w:p>
            <w:pPr>
              <w:spacing w:after="60"/>
            </w:pPr>
            <w:r>
              <w:rPr>
                <w:rFonts w:ascii="微软雅黑" w:hAnsi="微软雅黑" w:eastAsia="微软雅黑"/>
                <w:sz w:val="19"/>
              </w:rPr>
              <w:t>个人陈述、简历、研究计划、导师联系邮件。</w:t>
            </w:r>
          </w:p>
        </w:tc>
        <w:tc>
          <w:tcPr>
            <w:tcW w:type="dxa" w:w="3560"/>
          </w:tcPr>
          <w:p>
            <w:pPr>
              <w:spacing w:after="60"/>
            </w:pPr>
            <w:r>
              <w:rPr>
                <w:rFonts w:ascii="微软雅黑" w:hAnsi="微软雅黑" w:eastAsia="微软雅黑"/>
                <w:sz w:val="19"/>
              </w:rPr>
              <w:t>突出专业兴趣、研究经历和未来计划，不夸大经历。</w:t>
            </w:r>
          </w:p>
        </w:tc>
      </w:tr>
      <w:tr>
        <w:tc>
          <w:tcPr>
            <w:tcW w:type="dxa" w:w="1700"/>
          </w:tcPr>
          <w:p>
            <w:pPr>
              <w:spacing w:after="60"/>
            </w:pPr>
            <w:r>
              <w:rPr>
                <w:rFonts w:ascii="微软雅黑" w:hAnsi="微软雅黑" w:eastAsia="微软雅黑"/>
                <w:sz w:val="19"/>
              </w:rPr>
              <w:t>复试材料</w:t>
            </w:r>
          </w:p>
        </w:tc>
        <w:tc>
          <w:tcPr>
            <w:tcW w:type="dxa" w:w="4100"/>
          </w:tcPr>
          <w:p>
            <w:pPr>
              <w:spacing w:after="60"/>
            </w:pPr>
            <w:r>
              <w:rPr>
                <w:rFonts w:ascii="微软雅黑" w:hAnsi="微软雅黑" w:eastAsia="微软雅黑"/>
                <w:sz w:val="19"/>
              </w:rPr>
              <w:t>自我介绍、专业问题准备、项目问答、综合面试材料。</w:t>
            </w:r>
          </w:p>
        </w:tc>
        <w:tc>
          <w:tcPr>
            <w:tcW w:type="dxa" w:w="3560"/>
          </w:tcPr>
          <w:p>
            <w:pPr>
              <w:spacing w:after="60"/>
            </w:pPr>
            <w:r>
              <w:rPr>
                <w:rFonts w:ascii="微软雅黑" w:hAnsi="微软雅黑" w:eastAsia="微软雅黑"/>
                <w:sz w:val="19"/>
              </w:rPr>
              <w:t>围绕目标专业准备三到五个核心问题。</w:t>
            </w:r>
          </w:p>
        </w:tc>
      </w:tr>
    </w:tbl>
    <w:p>
      <w:pPr>
        <w:pStyle w:val="Heading1"/>
      </w:pPr>
      <w:r>
        <w:t>时间线建议</w:t>
      </w:r>
    </w:p>
    <w:p>
      <w:pPr>
        <w:pStyle w:val="ListNumber"/>
        <w:ind w:left="360" w:hanging="144"/>
      </w:pPr>
      <w:r>
        <w:t>大一至大二：稳定成绩排名，积累科研、竞赛、项目和实践记录。</w:t>
      </w:r>
    </w:p>
    <w:p>
      <w:pPr>
        <w:pStyle w:val="ListNumber"/>
        <w:ind w:left="360" w:hanging="144"/>
      </w:pPr>
      <w:r>
        <w:t>大三上：确认本校推免规则，评估排名、课程短板和加分项。</w:t>
      </w:r>
    </w:p>
    <w:p>
      <w:pPr>
        <w:pStyle w:val="ListNumber"/>
        <w:ind w:left="360" w:hanging="144"/>
      </w:pPr>
      <w:r>
        <w:t>大三下至暑期：准备简历、个人陈述、成绩单、证明材料，关注目标院校夏令营和预推免。</w:t>
      </w:r>
    </w:p>
    <w:p>
      <w:pPr>
        <w:pStyle w:val="ListNumber"/>
        <w:ind w:left="360" w:hanging="144"/>
      </w:pPr>
      <w:r>
        <w:t>九月至十月：关注推免服务系统和招生单位通知，按要求填报志愿、接收复试和待录取通知。</w:t>
      </w:r>
    </w:p>
    <w:p>
      <w:pPr>
        <w:pStyle w:val="ListNumber"/>
        <w:ind w:left="360" w:hanging="144"/>
      </w:pPr>
      <w:r>
        <w:t>拟录取后：核对系统确认状态、学校公示和后续学籍注册要求。</w:t>
      </w:r>
    </w:p>
    <w:p>
      <w:pPr>
        <w:pStyle w:val="Heading1"/>
      </w:pPr>
      <w:r>
        <w:t>智能体判断逻辑</w:t>
      </w:r>
    </w:p>
    <w:p>
      <w:pPr>
        <w:pStyle w:val="ListBullet"/>
        <w:ind w:left="360" w:hanging="144"/>
      </w:pPr>
      <w:r>
        <w:t>如果用户排名靠前且有科研/竞赛/项目积累，可优先建议评估保研资格。</w:t>
      </w:r>
    </w:p>
    <w:p>
      <w:pPr>
        <w:pStyle w:val="ListBullet"/>
        <w:ind w:left="360" w:hanging="144"/>
      </w:pPr>
      <w:r>
        <w:t>如果用户成绩边缘但综合经历较好，应建议查阅本校推免细则，不能直接判断一定可保研。</w:t>
      </w:r>
    </w:p>
    <w:p>
      <w:pPr>
        <w:pStyle w:val="ListBullet"/>
        <w:ind w:left="360" w:hanging="144"/>
      </w:pPr>
      <w:r>
        <w:t>如果用户已错过本校推免资格认定，应转向考研、就业、留学或其他升学路径比较。</w:t>
      </w:r>
    </w:p>
    <w:p>
      <w:pPr>
        <w:pStyle w:val="ListBullet"/>
        <w:ind w:left="360" w:hanging="144"/>
      </w:pPr>
      <w:r>
        <w:t>如果用户只提供 GPA 而没有排名，应追问专业排名、学院规则和是否有加分项。</w:t>
      </w:r>
    </w:p>
    <w:p>
      <w:pPr>
        <w:pStyle w:val="Heading1"/>
      </w:pPr>
      <w:r>
        <w:t>注意事项</w:t>
      </w:r>
    </w:p>
    <w:p>
      <w:pPr>
        <w:pStyle w:val="ListBullet"/>
        <w:ind w:left="360" w:hanging="144"/>
      </w:pPr>
      <w:r>
        <w:t>推免资格由推荐高校按规定产生，接收结果由招生单位考核确定。</w:t>
      </w:r>
    </w:p>
    <w:p>
      <w:pPr>
        <w:pStyle w:val="ListBullet"/>
        <w:ind w:left="360" w:hanging="144"/>
      </w:pPr>
      <w:r>
        <w:t>推免相关系统、时间、志愿规则每年可能调整，应以当年推免服务系统和招生单位通知为准。</w:t>
      </w:r>
    </w:p>
    <w:p>
      <w:pPr>
        <w:pStyle w:val="ListBullet"/>
        <w:ind w:left="360" w:hanging="144"/>
      </w:pPr>
      <w:r>
        <w:t>材料必须真实准确。对科研、竞赛、项目经历的描述应能被证明材料支持。</w:t>
      </w:r>
    </w:p>
    <w:p>
      <w:pPr>
        <w:pStyle w:val="Heading1"/>
      </w:pPr>
      <w:r>
        <w:t>资料来源</w:t>
      </w:r>
    </w:p>
    <w:p>
      <w:r>
        <w:t>以下来源均为公开信息入口。具体年份的报名、考试、复试、推免安排，应以当年官方公告和招生单位通知为准。</w:t>
      </w:r>
    </w:p>
    <w:p>
      <w:pPr>
        <w:pStyle w:val="ListBullet"/>
      </w:pPr>
      <w:r>
        <w:t>推免服务系统：https://yz.chsi.com.cn/tm/</w:t>
      </w:r>
    </w:p>
    <w:p>
      <w:pPr>
        <w:pStyle w:val="ListBullet"/>
      </w:pPr>
      <w:r>
        <w:t>教育部推免管理办法：https://www.moe.gov.cn/srcsite/A15/moe_778/s3113/200607/t20060712_79975.html</w:t>
      </w:r>
    </w:p>
    <w:p>
      <w:pPr>
        <w:pStyle w:val="ListBullet"/>
      </w:pPr>
      <w:r>
        <w:t>教育部完善推免工作通知：https://www.moe.gov.cn/srcsite/A15/moe_778/s3261/201408/t20140804_172730.html</w:t>
      </w:r>
    </w:p>
    <w:p>
      <w:pPr>
        <w:pStyle w:val="ListBullet"/>
      </w:pPr>
      <w:r>
        <w:t>研招网首页：https://yz.chsi.com.cn/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微软雅黑" w:hAnsi="微软雅黑" w:eastAsia="微软雅黑"/>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微软雅黑" w:hAnsi="微软雅黑" w:eastAsia="微软雅黑"/>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微软雅黑" w:hAnsi="微软雅黑" w:eastAsia="微软雅黑"/>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