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微软雅黑" w:hAnsi="微软雅黑" w:eastAsia="微软雅黑"/>
          <w:b/>
          <w:color w:val="1F4D78"/>
          <w:sz w:val="40"/>
        </w:rPr>
        <w:t>大学生考研规划指南</w:t>
      </w:r>
    </w:p>
    <w:p>
      <w:pPr>
        <w:spacing w:after="320"/>
        <w:jc w:val="center"/>
      </w:pPr>
      <w:r>
        <w:rPr>
          <w:rFonts w:ascii="微软雅黑" w:hAnsi="微软雅黑" w:eastAsia="微软雅黑"/>
          <w:color w:val="555555"/>
          <w:sz w:val="20"/>
        </w:rPr>
        <w:t>CyanCruise 升学规划知识库资料</w:t>
      </w:r>
    </w:p>
    <w:p>
      <w:pPr>
        <w:pStyle w:val="Heading1"/>
      </w:pPr>
      <w:r>
        <w:t>适用场景</w:t>
      </w:r>
    </w:p>
    <w:p>
      <w:r>
        <w:t>本文用于支持 CyanCruise 智能体回答“是否考研”“如何准备考研”“如何选择目标院校和专业”等问题。内容依据研招网、中国教育考试网等官方公开入口整理，适合放入升学规划知识库作为检索资料。</w:t>
      </w:r>
    </w:p>
    <w:p>
      <w:pPr>
        <w:pStyle w:val="Heading1"/>
      </w:pPr>
      <w:r>
        <w:t>官方流程要点</w:t>
      </w:r>
    </w:p>
    <w:p>
      <w:pPr>
        <w:pStyle w:val="ListBullet"/>
        <w:ind w:left="360" w:hanging="144"/>
      </w:pPr>
      <w:r>
        <w:t>硕士研究生招生考试通常包括网上报名、网上确认、初试、复试、调剂和录取等环节。</w:t>
      </w:r>
    </w:p>
    <w:p>
      <w:pPr>
        <w:pStyle w:val="ListBullet"/>
        <w:ind w:left="360" w:hanging="144"/>
      </w:pPr>
      <w:r>
        <w:t>网上报名和网上确认均应以研招网、省级教育招生考试机构、报考点和招生单位公告为准。</w:t>
      </w:r>
    </w:p>
    <w:p>
      <w:pPr>
        <w:pStyle w:val="ListBullet"/>
        <w:ind w:left="360" w:hanging="144"/>
      </w:pPr>
      <w:r>
        <w:t>考生通常只能保留一条有效报名信息，报名结束后应重点关注网上确认、准考证下载、初试安排和复试要求。</w:t>
      </w:r>
    </w:p>
    <w:p>
      <w:pPr>
        <w:pStyle w:val="ListBullet"/>
        <w:ind w:left="360" w:hanging="144"/>
      </w:pPr>
      <w:r>
        <w:t>考试时间、报名时间、确认方式、复试线、调剂规则每年可能调整，智能体回答时必须提示用户核对当年公告。</w:t>
      </w:r>
    </w:p>
    <w:p>
      <w:pPr>
        <w:pStyle w:val="Heading1"/>
      </w:pPr>
      <w:r>
        <w:t>本科阶段准备节奏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500"/>
            <w:shd w:fill="F2F4F7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b/>
                <w:sz w:val="19"/>
              </w:rPr>
              <w:t>阶段</w:t>
            </w:r>
          </w:p>
        </w:tc>
        <w:tc>
          <w:tcPr>
            <w:tcW w:type="dxa" w:w="4200"/>
            <w:shd w:fill="F2F4F7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b/>
                <w:sz w:val="19"/>
              </w:rPr>
              <w:t>重点任务</w:t>
            </w:r>
          </w:p>
        </w:tc>
        <w:tc>
          <w:tcPr>
            <w:tcW w:type="dxa" w:w="3660"/>
            <w:shd w:fill="F2F4F7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b/>
                <w:sz w:val="19"/>
              </w:rPr>
              <w:t>CyanCruise 建议</w:t>
            </w:r>
          </w:p>
        </w:tc>
      </w:tr>
      <w:tr>
        <w:tc>
          <w:tcPr>
            <w:tcW w:type="dxa" w:w="150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大一至大二</w:t>
            </w:r>
          </w:p>
        </w:tc>
        <w:tc>
          <w:tcPr>
            <w:tcW w:type="dxa" w:w="420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夯实专业课、英语、数学或专业基础，保留课程成绩和项目记录。</w:t>
            </w:r>
          </w:p>
        </w:tc>
        <w:tc>
          <w:tcPr>
            <w:tcW w:type="dxa" w:w="366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暂不急于定校，先判断自己是否适合学术深造或专业提升。</w:t>
            </w:r>
          </w:p>
        </w:tc>
      </w:tr>
      <w:tr>
        <w:tc>
          <w:tcPr>
            <w:tcW w:type="dxa" w:w="150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大三上</w:t>
            </w:r>
          </w:p>
        </w:tc>
        <w:tc>
          <w:tcPr>
            <w:tcW w:type="dxa" w:w="420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明确是否考研，初步确定专业方向、城市偏好和目标层次。</w:t>
            </w:r>
          </w:p>
        </w:tc>
        <w:tc>
          <w:tcPr>
            <w:tcW w:type="dxa" w:w="366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建议建立“冲刺、稳妥、保底”三个目标层次。</w:t>
            </w:r>
          </w:p>
        </w:tc>
      </w:tr>
      <w:tr>
        <w:tc>
          <w:tcPr>
            <w:tcW w:type="dxa" w:w="150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大三下至暑期</w:t>
            </w:r>
          </w:p>
        </w:tc>
        <w:tc>
          <w:tcPr>
            <w:tcW w:type="dxa" w:w="420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进入系统复习，完成公共课、专业课第一轮和强化复习。</w:t>
            </w:r>
          </w:p>
        </w:tc>
        <w:tc>
          <w:tcPr>
            <w:tcW w:type="dxa" w:w="366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每月复盘分数、进度、错题和心理压力，必要时调整院校层次。</w:t>
            </w:r>
          </w:p>
        </w:tc>
      </w:tr>
      <w:tr>
        <w:tc>
          <w:tcPr>
            <w:tcW w:type="dxa" w:w="150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大四上</w:t>
            </w:r>
          </w:p>
        </w:tc>
        <w:tc>
          <w:tcPr>
            <w:tcW w:type="dxa" w:w="420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完成报名、网上确认、准考证、模拟考试和冲刺复习。</w:t>
            </w:r>
          </w:p>
        </w:tc>
        <w:tc>
          <w:tcPr>
            <w:tcW w:type="dxa" w:w="366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避免只看热度选校，要结合招生人数、考试科目、复试比例和个人基础。</w:t>
            </w:r>
          </w:p>
        </w:tc>
      </w:tr>
      <w:tr>
        <w:tc>
          <w:tcPr>
            <w:tcW w:type="dxa" w:w="150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初试后</w:t>
            </w:r>
          </w:p>
        </w:tc>
        <w:tc>
          <w:tcPr>
            <w:tcW w:type="dxa" w:w="420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准备复试、联系导师、整理材料，关注调剂和复试线。</w:t>
            </w:r>
          </w:p>
        </w:tc>
        <w:tc>
          <w:tcPr>
            <w:tcW w:type="dxa" w:w="366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初试估分后同步准备复试与调剂备选，不等分数公布才行动。</w:t>
            </w:r>
          </w:p>
        </w:tc>
      </w:tr>
    </w:tbl>
    <w:p>
      <w:pPr>
        <w:pStyle w:val="Heading1"/>
      </w:pPr>
      <w:r>
        <w:t>考研适配度判断</w:t>
      </w:r>
    </w:p>
    <w:p>
      <w:pPr>
        <w:pStyle w:val="ListBullet"/>
        <w:ind w:left="360" w:hanging="144"/>
      </w:pPr>
      <w:r>
        <w:t>目标动机：是为了学术研究、学历提升、专业转换，还是暂时逃避就业压力。</w:t>
      </w:r>
    </w:p>
    <w:p>
      <w:pPr>
        <w:pStyle w:val="ListBullet"/>
        <w:ind w:left="360" w:hanging="144"/>
      </w:pPr>
      <w:r>
        <w:t>基础能力：专业课、英语、数学或目标专业核心课是否能支撑一年左右高强度备考。</w:t>
      </w:r>
    </w:p>
    <w:p>
      <w:pPr>
        <w:pStyle w:val="ListBullet"/>
        <w:ind w:left="360" w:hanging="144"/>
      </w:pPr>
      <w:r>
        <w:t>时间条件：是否有稳定备考时间，是否需要同时承担实习、项目、竞赛或家庭压力。</w:t>
      </w:r>
    </w:p>
    <w:p>
      <w:pPr>
        <w:pStyle w:val="ListBullet"/>
        <w:ind w:left="360" w:hanging="144"/>
      </w:pPr>
      <w:r>
        <w:t>目标合理性：目标院校、专业、城市是否与个人成绩、复习基础、风险承受能力匹配。</w:t>
      </w:r>
    </w:p>
    <w:p>
      <w:pPr>
        <w:pStyle w:val="ListBullet"/>
        <w:ind w:left="360" w:hanging="144"/>
      </w:pPr>
      <w:r>
        <w:t>备选方案：是否准备就业、调剂、二战、留学或其他路径，避免单一路径失败造成被动。</w:t>
      </w:r>
    </w:p>
    <w:p>
      <w:pPr>
        <w:pStyle w:val="Heading1"/>
      </w:pPr>
      <w:r>
        <w:t>备考规划模板</w:t>
      </w:r>
    </w:p>
    <w:p>
      <w:pPr>
        <w:pStyle w:val="ListNumber"/>
        <w:ind w:left="360" w:hanging="144"/>
      </w:pPr>
      <w:r>
        <w:t>建立用户画像：专业、年级、GPA、排名、英语/数学基础、目标城市、专业兴趣、家庭约束。</w:t>
      </w:r>
    </w:p>
    <w:p>
      <w:pPr>
        <w:pStyle w:val="ListNumber"/>
        <w:ind w:left="360" w:hanging="144"/>
      </w:pPr>
      <w:r>
        <w:t>确定专业方向：优先判断本专业深造、跨专业、专业学位或学术学位的匹配度。</w:t>
      </w:r>
    </w:p>
    <w:p>
      <w:pPr>
        <w:pStyle w:val="ListNumber"/>
        <w:ind w:left="360" w:hanging="144"/>
      </w:pPr>
      <w:r>
        <w:t>筛选目标院校：从研招网硕士目录、院校库、招生简章、往年复试线和招生人数交叉验证。</w:t>
      </w:r>
    </w:p>
    <w:p>
      <w:pPr>
        <w:pStyle w:val="ListNumber"/>
        <w:ind w:left="360" w:hanging="144"/>
      </w:pPr>
      <w:r>
        <w:t>拆解科目计划：公共课按基础、强化、真题、模拟四个阶段推进；专业课按教材、真题、专题、背诵或案例训练推进。</w:t>
      </w:r>
    </w:p>
    <w:p>
      <w:pPr>
        <w:pStyle w:val="ListNumber"/>
        <w:ind w:left="360" w:hanging="144"/>
      </w:pPr>
      <w:r>
        <w:t>设置复盘节点：每两到四周检查进度、正确率、薄弱科目和情绪状态，必要时调整目标。</w:t>
      </w:r>
    </w:p>
    <w:p>
      <w:pPr>
        <w:pStyle w:val="Heading1"/>
      </w:pPr>
      <w:r>
        <w:t>智能体回答边界</w:t>
      </w:r>
    </w:p>
    <w:p>
      <w:pPr>
        <w:pStyle w:val="ListBullet"/>
        <w:ind w:left="360" w:hanging="144"/>
      </w:pPr>
      <w:r>
        <w:t>可以给出规划建议、风险提醒和资料核对路径。</w:t>
      </w:r>
    </w:p>
    <w:p>
      <w:pPr>
        <w:pStyle w:val="ListBullet"/>
        <w:ind w:left="360" w:hanging="144"/>
      </w:pPr>
      <w:r>
        <w:t>不得编造某院校当年招生人数、分数线、复试比例或考试科目。</w:t>
      </w:r>
    </w:p>
    <w:p>
      <w:pPr>
        <w:pStyle w:val="ListBullet"/>
        <w:ind w:left="360" w:hanging="144"/>
      </w:pPr>
      <w:r>
        <w:t>对具体年份安排应说明“以当年研招网、省级考试机构和招生单位公告为准”。</w:t>
      </w:r>
    </w:p>
    <w:p>
      <w:pPr>
        <w:pStyle w:val="ListBullet"/>
        <w:ind w:left="360" w:hanging="144"/>
      </w:pPr>
      <w:r>
        <w:t>当用户信息不足时，应优先追问专业、年级、GPA/排名、目标方向、英语/数学基础和可用时间。</w:t>
      </w:r>
    </w:p>
    <w:p>
      <w:pPr>
        <w:pStyle w:val="Heading1"/>
      </w:pPr>
      <w:r>
        <w:t>资料来源</w:t>
      </w:r>
    </w:p>
    <w:p>
      <w:r>
        <w:t>以下来源均为公开信息入口。具体年份的报名、考试、复试、推免安排，应以当年官方公告和招生单位通知为准。</w:t>
      </w:r>
    </w:p>
    <w:p>
      <w:pPr>
        <w:pStyle w:val="ListBullet"/>
      </w:pPr>
      <w:r>
        <w:t>研招网报名公告：https://yz.chsi.com.cn/kyzx/other/202509/20250930/2293435905.html</w:t>
      </w:r>
    </w:p>
    <w:p>
      <w:pPr>
        <w:pStyle w:val="ListBullet"/>
      </w:pPr>
      <w:r>
        <w:t>研招网首页：https://yz.chsi.com.cn/</w:t>
      </w:r>
    </w:p>
    <w:p>
      <w:pPr>
        <w:pStyle w:val="ListBullet"/>
      </w:pPr>
      <w:r>
        <w:t>研招网硕士目录：https://yz.chsi.com.cn/zsml/</w:t>
      </w:r>
    </w:p>
    <w:p>
      <w:pPr>
        <w:pStyle w:val="ListBullet"/>
      </w:pPr>
      <w:r>
        <w:t>研招网院校库：https://yz.chsi.com.cn/sch/</w:t>
      </w:r>
    </w:p>
    <w:p>
      <w:pPr>
        <w:pStyle w:val="ListBullet"/>
      </w:pPr>
      <w:r>
        <w:t>中国教育考试网研考：https://yankao.neea.edu.cn/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