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微软雅黑" w:hAnsi="微软雅黑" w:eastAsia="微软雅黑"/>
          <w:b/>
          <w:color w:val="1F4D78"/>
          <w:sz w:val="40"/>
        </w:rPr>
        <w:t>城市与行业就业趋势</w:t>
      </w:r>
    </w:p>
    <w:p>
      <w:pPr>
        <w:spacing w:after="320"/>
        <w:jc w:val="center"/>
      </w:pPr>
      <w:r>
        <w:rPr>
          <w:rFonts w:ascii="微软雅黑" w:hAnsi="微软雅黑" w:eastAsia="微软雅黑"/>
          <w:color w:val="555555"/>
          <w:sz w:val="20"/>
        </w:rPr>
        <w:t>CyanCruise 就业岗位知识库资料</w:t>
      </w:r>
    </w:p>
    <w:p>
      <w:pPr>
        <w:pStyle w:val="Heading1"/>
      </w:pPr>
      <w:r>
        <w:t>适用场景</w:t>
      </w:r>
    </w:p>
    <w:p>
      <w:r>
        <w:t>本文用于支持 CyanCruise 智能体回答“去哪个城市发展”“哪个行业机会更多”“如何结合城市选择岗位”等问题。城市和行业趋势具有明显时效性，本文提供判断框架，具体岗位应通过官方就业平台和用人单位公告实时核验。</w:t>
      </w:r>
    </w:p>
    <w:p>
      <w:pPr>
        <w:pStyle w:val="Heading1"/>
      </w:pPr>
      <w:r>
        <w:t>官方趋势信号</w:t>
      </w:r>
    </w:p>
    <w:p>
      <w:pPr>
        <w:pStyle w:val="ListBullet"/>
        <w:ind w:left="360" w:hanging="144"/>
      </w:pPr>
      <w:r>
        <w:t>国家大学生就业服务平台和公共招聘平台可用于观察高校毕业生岗位供给、专场招聘和行业招聘活动。</w:t>
      </w:r>
    </w:p>
    <w:p>
      <w:pPr>
        <w:pStyle w:val="ListBullet"/>
        <w:ind w:left="360" w:hanging="144"/>
      </w:pPr>
      <w:r>
        <w:t>国家统计局工资数据可用于观察行业整体薪酬和岗位结构变化，但不能等同于单个城市或企业的实际 offer。</w:t>
      </w:r>
    </w:p>
    <w:p>
      <w:pPr>
        <w:pStyle w:val="ListBullet"/>
        <w:ind w:left="360" w:hanging="144"/>
      </w:pPr>
      <w:r>
        <w:t>人社部门新职业信息反映产业变化方向，例如先进制造、人工智能、低空经济、现代服务、康养托育等领域。</w:t>
      </w:r>
    </w:p>
    <w:p>
      <w:pPr>
        <w:pStyle w:val="ListBullet"/>
        <w:ind w:left="360" w:hanging="144"/>
      </w:pPr>
      <w:r>
        <w:t>地方公共就业平台和高校就业中心可补充区域性岗位、见习岗位、基层项目和校招信息。</w:t>
      </w:r>
    </w:p>
    <w:p>
      <w:pPr>
        <w:pStyle w:val="Heading1"/>
      </w:pPr>
      <w:r>
        <w:t>城市选择维度</w:t>
      </w:r>
    </w:p>
    <w:tbl>
      <w:tblPr>
        <w:tblStyle w:val="TableGrid"/>
        <w:tblW w:type="auto" w:w="0"/>
        <w:tblLook w:firstColumn="1" w:firstRow="1" w:lastColumn="0" w:lastRow="0" w:noHBand="0" w:noVBand="1" w:val="04A0"/>
      </w:tblPr>
      <w:tblGrid>
        <w:gridCol w:w="3120"/>
        <w:gridCol w:w="3120"/>
        <w:gridCol w:w="3120"/>
      </w:tblGrid>
      <w:tr>
        <w:tc>
          <w:tcPr>
            <w:tcW w:type="dxa" w:w="1600"/>
            <w:shd w:fill="F2F4F7"/>
          </w:tcPr>
          <w:p>
            <w:pPr>
              <w:spacing w:after="60"/>
            </w:pPr>
            <w:r>
              <w:rPr>
                <w:rFonts w:ascii="微软雅黑" w:hAnsi="微软雅黑" w:eastAsia="微软雅黑"/>
                <w:b/>
                <w:sz w:val="19"/>
              </w:rPr>
              <w:t>维度</w:t>
            </w:r>
          </w:p>
        </w:tc>
        <w:tc>
          <w:tcPr>
            <w:tcW w:type="dxa" w:w="3900"/>
            <w:shd w:fill="F2F4F7"/>
          </w:tcPr>
          <w:p>
            <w:pPr>
              <w:spacing w:after="60"/>
            </w:pPr>
            <w:r>
              <w:rPr>
                <w:rFonts w:ascii="微软雅黑" w:hAnsi="微软雅黑" w:eastAsia="微软雅黑"/>
                <w:b/>
                <w:sz w:val="19"/>
              </w:rPr>
              <w:t>观察内容</w:t>
            </w:r>
          </w:p>
        </w:tc>
        <w:tc>
          <w:tcPr>
            <w:tcW w:type="dxa" w:w="3860"/>
            <w:shd w:fill="F2F4F7"/>
          </w:tcPr>
          <w:p>
            <w:pPr>
              <w:spacing w:after="60"/>
            </w:pPr>
            <w:r>
              <w:rPr>
                <w:rFonts w:ascii="微软雅黑" w:hAnsi="微软雅黑" w:eastAsia="微软雅黑"/>
                <w:b/>
                <w:sz w:val="19"/>
              </w:rPr>
              <w:t>对学生的影响</w:t>
            </w:r>
          </w:p>
        </w:tc>
      </w:tr>
      <w:tr>
        <w:tc>
          <w:tcPr>
            <w:tcW w:type="dxa" w:w="1600"/>
          </w:tcPr>
          <w:p>
            <w:pPr>
              <w:spacing w:after="60"/>
            </w:pPr>
            <w:r>
              <w:rPr>
                <w:rFonts w:ascii="微软雅黑" w:hAnsi="微软雅黑" w:eastAsia="微软雅黑"/>
                <w:sz w:val="19"/>
              </w:rPr>
              <w:t>产业匹配</w:t>
            </w:r>
          </w:p>
        </w:tc>
        <w:tc>
          <w:tcPr>
            <w:tcW w:type="dxa" w:w="3900"/>
          </w:tcPr>
          <w:p>
            <w:pPr>
              <w:spacing w:after="60"/>
            </w:pPr>
            <w:r>
              <w:rPr>
                <w:rFonts w:ascii="微软雅黑" w:hAnsi="微软雅黑" w:eastAsia="微软雅黑"/>
                <w:sz w:val="19"/>
              </w:rPr>
              <w:t>目标城市是否有对应行业集群、龙头企业、科研院所或公共岗位。</w:t>
            </w:r>
          </w:p>
        </w:tc>
        <w:tc>
          <w:tcPr>
            <w:tcW w:type="dxa" w:w="3860"/>
          </w:tcPr>
          <w:p>
            <w:pPr>
              <w:spacing w:after="60"/>
            </w:pPr>
            <w:r>
              <w:rPr>
                <w:rFonts w:ascii="微软雅黑" w:hAnsi="微软雅黑" w:eastAsia="微软雅黑"/>
                <w:sz w:val="19"/>
              </w:rPr>
              <w:t>决定岗位数量、成长空间和转岗机会。</w:t>
            </w:r>
          </w:p>
        </w:tc>
      </w:tr>
      <w:tr>
        <w:tc>
          <w:tcPr>
            <w:tcW w:type="dxa" w:w="1600"/>
          </w:tcPr>
          <w:p>
            <w:pPr>
              <w:spacing w:after="60"/>
            </w:pPr>
            <w:r>
              <w:rPr>
                <w:rFonts w:ascii="微软雅黑" w:hAnsi="微软雅黑" w:eastAsia="微软雅黑"/>
                <w:sz w:val="19"/>
              </w:rPr>
              <w:t>生活成本</w:t>
            </w:r>
          </w:p>
        </w:tc>
        <w:tc>
          <w:tcPr>
            <w:tcW w:type="dxa" w:w="3900"/>
          </w:tcPr>
          <w:p>
            <w:pPr>
              <w:spacing w:after="60"/>
            </w:pPr>
            <w:r>
              <w:rPr>
                <w:rFonts w:ascii="微软雅黑" w:hAnsi="微软雅黑" w:eastAsia="微软雅黑"/>
                <w:sz w:val="19"/>
              </w:rPr>
              <w:t>房租、通勤、消费、家庭支持、初期现金流压力。</w:t>
            </w:r>
          </w:p>
        </w:tc>
        <w:tc>
          <w:tcPr>
            <w:tcW w:type="dxa" w:w="3860"/>
          </w:tcPr>
          <w:p>
            <w:pPr>
              <w:spacing w:after="60"/>
            </w:pPr>
            <w:r>
              <w:rPr>
                <w:rFonts w:ascii="微软雅黑" w:hAnsi="微软雅黑" w:eastAsia="微软雅黑"/>
                <w:sz w:val="19"/>
              </w:rPr>
              <w:t>影响实际可支配收入和求职承压能力。</w:t>
            </w:r>
          </w:p>
        </w:tc>
      </w:tr>
      <w:tr>
        <w:tc>
          <w:tcPr>
            <w:tcW w:type="dxa" w:w="1600"/>
          </w:tcPr>
          <w:p>
            <w:pPr>
              <w:spacing w:after="60"/>
            </w:pPr>
            <w:r>
              <w:rPr>
                <w:rFonts w:ascii="微软雅黑" w:hAnsi="微软雅黑" w:eastAsia="微软雅黑"/>
                <w:sz w:val="19"/>
              </w:rPr>
              <w:t>学历门槛</w:t>
            </w:r>
          </w:p>
        </w:tc>
        <w:tc>
          <w:tcPr>
            <w:tcW w:type="dxa" w:w="3900"/>
          </w:tcPr>
          <w:p>
            <w:pPr>
              <w:spacing w:after="60"/>
            </w:pPr>
            <w:r>
              <w:rPr>
                <w:rFonts w:ascii="微软雅黑" w:hAnsi="微软雅黑" w:eastAsia="微软雅黑"/>
                <w:sz w:val="19"/>
              </w:rPr>
              <w:t>行业是否偏好研究生、资格证、实习或作品集。</w:t>
            </w:r>
          </w:p>
        </w:tc>
        <w:tc>
          <w:tcPr>
            <w:tcW w:type="dxa" w:w="3860"/>
          </w:tcPr>
          <w:p>
            <w:pPr>
              <w:spacing w:after="60"/>
            </w:pPr>
            <w:r>
              <w:rPr>
                <w:rFonts w:ascii="微软雅黑" w:hAnsi="微软雅黑" w:eastAsia="微软雅黑"/>
                <w:sz w:val="19"/>
              </w:rPr>
              <w:t>影响是否优先就业、考研或先实习。</w:t>
            </w:r>
          </w:p>
        </w:tc>
      </w:tr>
      <w:tr>
        <w:tc>
          <w:tcPr>
            <w:tcW w:type="dxa" w:w="1600"/>
          </w:tcPr>
          <w:p>
            <w:pPr>
              <w:spacing w:after="60"/>
            </w:pPr>
            <w:r>
              <w:rPr>
                <w:rFonts w:ascii="微软雅黑" w:hAnsi="微软雅黑" w:eastAsia="微软雅黑"/>
                <w:sz w:val="19"/>
              </w:rPr>
              <w:t>招聘节奏</w:t>
            </w:r>
          </w:p>
        </w:tc>
        <w:tc>
          <w:tcPr>
            <w:tcW w:type="dxa" w:w="3900"/>
          </w:tcPr>
          <w:p>
            <w:pPr>
              <w:spacing w:after="60"/>
            </w:pPr>
            <w:r>
              <w:rPr>
                <w:rFonts w:ascii="微软雅黑" w:hAnsi="微软雅黑" w:eastAsia="微软雅黑"/>
                <w:sz w:val="19"/>
              </w:rPr>
              <w:t>秋招、春招、地方招聘会、事业单位、基层项目时间。</w:t>
            </w:r>
          </w:p>
        </w:tc>
        <w:tc>
          <w:tcPr>
            <w:tcW w:type="dxa" w:w="3860"/>
          </w:tcPr>
          <w:p>
            <w:pPr>
              <w:spacing w:after="60"/>
            </w:pPr>
            <w:r>
              <w:rPr>
                <w:rFonts w:ascii="微软雅黑" w:hAnsi="微软雅黑" w:eastAsia="微软雅黑"/>
                <w:sz w:val="19"/>
              </w:rPr>
              <w:t>决定投递计划和备选路径。</w:t>
            </w:r>
          </w:p>
        </w:tc>
      </w:tr>
      <w:tr>
        <w:tc>
          <w:tcPr>
            <w:tcW w:type="dxa" w:w="1600"/>
          </w:tcPr>
          <w:p>
            <w:pPr>
              <w:spacing w:after="60"/>
            </w:pPr>
            <w:r>
              <w:rPr>
                <w:rFonts w:ascii="微软雅黑" w:hAnsi="微软雅黑" w:eastAsia="微软雅黑"/>
                <w:sz w:val="19"/>
              </w:rPr>
              <w:t>长期发展</w:t>
            </w:r>
          </w:p>
        </w:tc>
        <w:tc>
          <w:tcPr>
            <w:tcW w:type="dxa" w:w="3900"/>
          </w:tcPr>
          <w:p>
            <w:pPr>
              <w:spacing w:after="60"/>
            </w:pPr>
            <w:r>
              <w:rPr>
                <w:rFonts w:ascii="微软雅黑" w:hAnsi="微软雅黑" w:eastAsia="微软雅黑"/>
                <w:sz w:val="19"/>
              </w:rPr>
              <w:t>户籍、人才政策、家庭位置、行业稳定性、继续深造机会。</w:t>
            </w:r>
          </w:p>
        </w:tc>
        <w:tc>
          <w:tcPr>
            <w:tcW w:type="dxa" w:w="3860"/>
          </w:tcPr>
          <w:p>
            <w:pPr>
              <w:spacing w:after="60"/>
            </w:pPr>
            <w:r>
              <w:rPr>
                <w:rFonts w:ascii="微软雅黑" w:hAnsi="微软雅黑" w:eastAsia="微软雅黑"/>
                <w:sz w:val="19"/>
              </w:rPr>
              <w:t>影响三到五年的职业规划。</w:t>
            </w:r>
          </w:p>
        </w:tc>
      </w:tr>
    </w:tbl>
    <w:p>
      <w:pPr>
        <w:pStyle w:val="Heading1"/>
      </w:pPr>
      <w:r>
        <w:t>行业趋势判断框架</w:t>
      </w:r>
    </w:p>
    <w:p>
      <w:pPr>
        <w:pStyle w:val="ListNumber"/>
        <w:ind w:left="360" w:hanging="144"/>
      </w:pPr>
      <w:r>
        <w:t>先看岗位需求：在国家大学生就业服务平台、中国公共招聘网等平台检索目标城市和目标行业。</w:t>
      </w:r>
    </w:p>
    <w:p>
      <w:pPr>
        <w:pStyle w:val="ListNumber"/>
        <w:ind w:left="360" w:hanging="144"/>
      </w:pPr>
      <w:r>
        <w:t>再看行业质量：关注岗位是否有清晰培养机制、合理薪酬、稳定用工和成长路径。</w:t>
      </w:r>
    </w:p>
    <w:p>
      <w:pPr>
        <w:pStyle w:val="ListNumber"/>
        <w:ind w:left="360" w:hanging="144"/>
      </w:pPr>
      <w:r>
        <w:t>再看个人匹配：把专业、技能、实习、证书、作品集与岗位要求逐项匹配。</w:t>
      </w:r>
    </w:p>
    <w:p>
      <w:pPr>
        <w:pStyle w:val="ListNumber"/>
        <w:ind w:left="360" w:hanging="144"/>
      </w:pPr>
      <w:r>
        <w:t>最后看风险：区分短期热门和长期适合，避免只因薪资高或城市热度高做选择。</w:t>
      </w:r>
    </w:p>
    <w:p>
      <w:pPr>
        <w:pStyle w:val="Heading1"/>
      </w:pPr>
      <w:r>
        <w:t>重点关注方向</w:t>
      </w:r>
    </w:p>
    <w:p>
      <w:pPr>
        <w:pStyle w:val="ListBullet"/>
        <w:ind w:left="360" w:hanging="144"/>
      </w:pPr>
      <w:r>
        <w:t>数字经济相关：软件、数据、人工智能、网络安全、产品与运营等。</w:t>
      </w:r>
    </w:p>
    <w:p>
      <w:pPr>
        <w:pStyle w:val="ListBullet"/>
        <w:ind w:left="360" w:hanging="144"/>
      </w:pPr>
      <w:r>
        <w:t>先进制造相关：智能制造、电子信息、新能源汽车、工业软件、质量与工艺。</w:t>
      </w:r>
    </w:p>
    <w:p>
      <w:pPr>
        <w:pStyle w:val="ListBullet"/>
        <w:ind w:left="360" w:hanging="144"/>
      </w:pPr>
      <w:r>
        <w:t>绿色低碳相关：新能源、储能、环境治理、碳管理、电力系统。</w:t>
      </w:r>
    </w:p>
    <w:p>
      <w:pPr>
        <w:pStyle w:val="ListBullet"/>
        <w:ind w:left="360" w:hanging="144"/>
      </w:pPr>
      <w:r>
        <w:t>现代服务相关：金融、咨询、法律、教育、医疗健康、文化传媒。</w:t>
      </w:r>
    </w:p>
    <w:p>
      <w:pPr>
        <w:pStyle w:val="ListBullet"/>
        <w:ind w:left="360" w:hanging="144"/>
      </w:pPr>
      <w:r>
        <w:t>公共服务相关：基层项目、事业单位、教育医疗、公共管理和社区治理。</w:t>
      </w:r>
    </w:p>
    <w:p>
      <w:pPr>
        <w:pStyle w:val="Heading1"/>
      </w:pPr>
      <w:r>
        <w:t>智能体回答边界</w:t>
      </w:r>
    </w:p>
    <w:p>
      <w:pPr>
        <w:pStyle w:val="ListBullet"/>
        <w:ind w:left="360" w:hanging="144"/>
      </w:pPr>
      <w:r>
        <w:t>可以基于公开趋势给出城市和行业选择框架。</w:t>
      </w:r>
    </w:p>
    <w:p>
      <w:pPr>
        <w:pStyle w:val="ListBullet"/>
        <w:ind w:left="360" w:hanging="144"/>
      </w:pPr>
      <w:r>
        <w:t>不能把全国平均工资直接当作用户能拿到的薪资。</w:t>
      </w:r>
    </w:p>
    <w:p>
      <w:pPr>
        <w:pStyle w:val="ListBullet"/>
        <w:ind w:left="360" w:hanging="144"/>
      </w:pPr>
      <w:r>
        <w:t>不能承诺某城市一定更好，应结合用户专业、家庭、风险偏好和岗位供给判断。</w:t>
      </w:r>
    </w:p>
    <w:p>
      <w:pPr>
        <w:pStyle w:val="ListBullet"/>
        <w:ind w:left="360" w:hanging="144"/>
      </w:pPr>
      <w:r>
        <w:t>如果涉及具体岗位薪资、招聘人数、截止时间，应提示用户查询实时招聘公告。</w:t>
      </w:r>
    </w:p>
    <w:p>
      <w:pPr>
        <w:pStyle w:val="Heading1"/>
      </w:pPr>
      <w:r>
        <w:t>资料来源</w:t>
      </w:r>
    </w:p>
    <w:p>
      <w:r>
        <w:t>以下来源均为公开信息入口。岗位、薪资、招聘活动和行业变化具有时效性，应以平台实时信息和用人单位公告为准。</w:t>
      </w:r>
    </w:p>
    <w:p>
      <w:pPr>
        <w:pStyle w:val="ListBullet"/>
      </w:pPr>
      <w:r>
        <w:t>国家大学生就业服务平台：https://www.ncss.cn/</w:t>
      </w:r>
    </w:p>
    <w:p>
      <w:pPr>
        <w:pStyle w:val="ListBullet"/>
      </w:pPr>
      <w:r>
        <w:t>中国公共招聘网：https://job.mohrss.gov.cn/</w:t>
      </w:r>
    </w:p>
    <w:p>
      <w:pPr>
        <w:pStyle w:val="ListBullet"/>
      </w:pPr>
      <w:r>
        <w:t>全国就业公共服务平台：https://www.12333.gov.cn/job/?channel=12333</w:t>
      </w:r>
    </w:p>
    <w:p>
      <w:pPr>
        <w:pStyle w:val="ListBullet"/>
      </w:pPr>
      <w:r>
        <w:t>国家统计局2025年工资解读：https://www.stats.gov.cn/sj/sjjd/202605/t20260515_1963706.html</w:t>
      </w:r>
    </w:p>
    <w:p>
      <w:pPr>
        <w:pStyle w:val="ListBullet"/>
      </w:pPr>
      <w:r>
        <w:t>国家统计局2024年工资解读：https://www.stats.gov.cn/xxgk/jd/sjjd2020/202505/t20250516_1959829.html</w:t>
      </w:r>
    </w:p>
    <w:p>
      <w:pPr>
        <w:pStyle w:val="ListBullet"/>
      </w:pPr>
      <w:r>
        <w:t>2025年度新职业信息征集：https://chrm.mohrss.gov.cn/%E4%BA%BA%E5%8A%9B%E8%B5%84%E6%BA%90%E7%A4%BE%E4%BC%9A%E4%BF%9D%E9%9A%9C%E9%83%A8%E5%BC%80%E5%B1%952025%E5%B9%B4%E5%BA%A6%E6%96%B0%E8%81%8C%E4%B8%9A%E4%BF%A1%E6%81%AF%E5%BE%81%E9%9B%86%E5%B7%A5/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微软雅黑" w:hAnsi="微软雅黑"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微软雅黑" w:hAnsi="微软雅黑"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微软雅黑" w:hAnsi="微软雅黑"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