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3A5C"/>
          <w:sz w:val="48"/>
          <w:szCs w:val="48"/>
        </w:rPr>
        <w:t xml:space="preserve">QUASIPERIODIC TOPOLOGICAL RATCHET</w:t>
      </w:r>
    </w:p>
    <w:p>
      <w:pPr>
        <w:spacing w:before="0" w:after="60"/>
        <w:jc w:val="center"/>
      </w:pPr>
      <w:r>
        <w:rPr>
          <w:rFonts w:ascii="Arial" w:cs="Arial" w:eastAsia="Arial" w:hAnsi="Arial"/>
          <w:color w:val="0D6E6E"/>
          <w:sz w:val="26"/>
          <w:szCs w:val="26"/>
        </w:rPr>
        <w:t xml:space="preserve">Golden-Angle Geodesics, Stone-Wales Defect Networks,</w:t>
      </w:r>
    </w:p>
    <w:p>
      <w:pPr>
        <w:spacing w:before="0" w:after="60"/>
        <w:jc w:val="center"/>
      </w:pPr>
      <w:r>
        <w:rPr>
          <w:rFonts w:ascii="Arial" w:cs="Arial" w:eastAsia="Arial" w:hAnsi="Arial"/>
          <w:color w:val="0D6E6E"/>
          <w:sz w:val="26"/>
          <w:szCs w:val="26"/>
        </w:rPr>
        <w:t xml:space="preserve">Majorana Zero Mode Localization, and the Geometry of Time</w:t>
      </w:r>
    </w:p>
    <w:p>
      <w:pPr>
        <w:spacing w:before="100" w:after="60"/>
        <w:jc w:val="center"/>
      </w:pPr>
      <w:r>
        <w:rPr>
          <w:rFonts w:ascii="Arial" w:cs="Arial" w:eastAsia="Arial" w:hAnsi="Arial"/>
          <w:i/>
          <w:iCs/>
          <w:color w:val="555555"/>
          <w:sz w:val="20"/>
          <w:szCs w:val="20"/>
        </w:rPr>
        <w:t xml:space="preserve">A Working Thesis — Developed via AI-Assisted Geometric Reasoning</w:t>
      </w:r>
    </w:p>
    <w:p>
      <w:pPr>
        <w:spacing w:before="60" w:after="300"/>
        <w:jc w:val="center"/>
      </w:pPr>
      <w:r>
        <w:rPr>
          <w:rFonts w:ascii="Arial" w:cs="Arial" w:eastAsia="Arial" w:hAnsi="Arial"/>
          <w:color w:val="555555"/>
          <w:sz w:val="20"/>
          <w:szCs w:val="20"/>
        </w:rPr>
        <w:t xml:space="preserve">March 2026</w:t>
      </w:r>
    </w:p>
    <w:p>
      <w:pPr>
        <w:pBdr>
          <w:bottom w:val="single" w:color="CCDDEE"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6FF" w:val="clear"/>
            <w:tcMar>
              <w:top w:type="dxa" w:w="120"/>
              <w:left w:type="dxa" w:w="200"/>
              <w:bottom w:type="dxa" w:w="120"/>
              <w:right w:type="dxa" w:w="200"/>
            </w:tcMar>
          </w:tcPr>
          <w:p>
            <w:r>
              <w:rPr>
                <w:rFonts w:ascii="Arial" w:cs="Arial" w:eastAsia="Arial" w:hAnsi="Arial"/>
                <w:b/>
                <w:bCs/>
                <w:color w:val="1A3A5C"/>
                <w:sz w:val="20"/>
                <w:szCs w:val="20"/>
              </w:rPr>
              <w:t xml:space="preserve">Epistemic Status Key</w:t>
            </w:r>
          </w:p>
          <w:p>
            <w:pPr>
              <w:spacing w:line="300"/>
            </w:pPr>
            <w:r>
              <w:rPr>
                <w:rFonts w:ascii="Arial" w:cs="Arial" w:eastAsia="Arial" w:hAnsi="Arial"/>
                <w:color w:val="333333"/>
                <w:sz w:val="20"/>
                <w:szCs w:val="20"/>
              </w:rPr>
              <w:t xml:space="preserve">PROVED — Formally established in published mathematics or physics.
DEMONSTRATED — Computationally or experimentally shown; not fully formalized.
SPECULATIVE — Logically coherent extrapolation; not yet established.
CONJECTURED — Plausible hypothesis requiring formalization and testing.</w:t>
            </w:r>
          </w:p>
        </w:tc>
      </w:tr>
    </w:tbl>
    <w:p>
      <w:r>
        <w:t xml:space="preserve"/>
      </w:r>
    </w:p>
    <w:p>
      <w:pPr>
        <w:pStyle w:val="Heading1"/>
        <w:spacing w:before="400" w:after="200"/>
      </w:pPr>
      <w:r>
        <w:rPr>
          <w:rFonts w:ascii="Arial" w:cs="Arial" w:eastAsia="Arial" w:hAnsi="Arial"/>
          <w:b/>
          <w:bCs/>
          <w:color w:val="1A3A5C"/>
          <w:sz w:val="34"/>
          <w:szCs w:val="34"/>
        </w:rPr>
        <w:t xml:space="preserve">Abstract</w:t>
      </w:r>
    </w:p>
    <w:p>
      <w:pPr>
        <w:spacing w:before="80" w:after="80" w:line="320"/>
      </w:pPr>
      <w:r>
        <w:rPr>
          <w:rFonts w:ascii="Arial" w:cs="Arial" w:eastAsia="Arial" w:hAnsi="Arial"/>
          <w:sz w:val="22"/>
          <w:szCs w:val="22"/>
        </w:rPr>
        <w:t xml:space="preserve">This document records a chain of geometric reasoning that begins with the golden angle and the Penrose P3 tiling, progresses through the buckling of that tiling to a non-Euclidean surface via Stone-Wales defect pairs, and arrives at three convergent conclusions: the natural localization of Majorana zero modes at 5/7 curvature domain walls, the emergence of a quasiperiodic topological ratchet with broken time-reversal symmetry, and a novel hypothesis that the subjective perception of time corresponds to the rate of topological state-change in such a grinding defect network. The winding number of the system is computed within the Cl-HoTT framework using Univalence.</w:t>
      </w:r>
    </w:p>
    <w:p>
      <w:pPr>
        <w:spacing w:before="80" w:after="80" w:line="320"/>
      </w:pPr>
      <w:r>
        <w:rPr>
          <w:rFonts w:ascii="Arial" w:cs="Arial" w:eastAsia="Arial" w:hAnsi="Arial"/>
          <w:sz w:val="22"/>
          <w:szCs w:val="22"/>
        </w:rPr>
        <w:t xml:space="preserve">Each step is tagged with its epistemic status. The construction assembles known results from discrete differential geometry, quasicrystal theory, topological condensed matter physics, and Homotopy Type Theory. The assembled object — a golden-angle helical geodesic propagating through a buckled quasiperiodic 5/7 defect network — appears to be novel as a unified construction, though all component pieces are established.</w:t>
      </w:r>
    </w:p>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1. Geometric Foundations</w:t>
      </w:r>
    </w:p>
    <w:p>
      <w:pPr>
        <w:pStyle w:val="Heading2"/>
        <w:spacing w:before="300" w:after="150"/>
      </w:pPr>
      <w:r>
        <w:rPr>
          <w:rFonts w:ascii="Arial" w:cs="Arial" w:eastAsia="Arial" w:hAnsi="Arial"/>
          <w:b/>
          <w:bCs/>
          <w:color w:val="0D6E6E"/>
          <w:sz w:val="26"/>
          <w:szCs w:val="26"/>
        </w:rPr>
        <w:t xml:space="preserve">1.1 The Golden Angle</w:t>
      </w:r>
    </w:p>
    <w:p>
      <w:pPr>
        <w:spacing w:before="80" w:after="80" w:line="320"/>
      </w:pPr>
      <w:r>
        <w:rPr>
          <w:rFonts w:ascii="Arial" w:cs="Arial" w:eastAsia="Arial" w:hAnsi="Arial"/>
          <w:sz w:val="22"/>
          <w:szCs w:val="22"/>
        </w:rPr>
        <w:t xml:space="preserve">The golden angle is derived from the golden ratio φ = (1+√5)/2 ≈ 1.61803. Dividing a full circle in the proportion φ:1 yields two arcs of approximately 222.49° and 137.51°. The smaller arc is the golden angle:</w:t>
      </w:r>
    </w:p>
    <w:p>
      <w:pPr>
        <w:spacing w:before="120" w:after="120"/>
        <w:jc w:val="center"/>
      </w:pPr>
      <w:r>
        <w:rPr>
          <w:rFonts w:ascii="Arial" w:cs="Arial" w:eastAsia="Arial" w:hAnsi="Arial"/>
          <w:b/>
          <w:bCs/>
          <w:color w:val="1A3A5C"/>
          <w:sz w:val="26"/>
          <w:szCs w:val="26"/>
        </w:rPr>
        <w:t xml:space="preserve">θ_g = 360° / φ² ≈ 137.5077°</w:t>
      </w:r>
    </w:p>
    <w:p>
      <w:pPr>
        <w:spacing w:before="80" w:after="80" w:line="320"/>
      </w:pPr>
      <w:r>
        <w:rPr>
          <w:rFonts w:ascii="Arial" w:cs="Arial" w:eastAsia="Arial" w:hAnsi="Arial"/>
          <w:sz w:val="22"/>
          <w:szCs w:val="22"/>
        </w:rPr>
        <w:t xml:space="preserve">In radians: θ_g = 2π(2 − φ) ≈ 2.3999 rad. This angle has a critical property: because φ is the number hardest to approximate by rationals (its continued fraction is [1;1,1,1,...]), spacing items by θ_g guarantees maximal packing — each new element fills the largest available gap. This is the geometric basis for phyllotaxis in plants.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π₁(S¹) ≅ ℤ via HoTT. The golden angle is irrational and transcendental. Phyllotaxis convergence to Fibonacci/φ is mathematically established.</w:t>
            </w:r>
          </w:p>
        </w:tc>
      </w:tr>
    </w:tbl>
    <w:p>
      <w:r>
        <w:t xml:space="preserve"/>
      </w:r>
    </w:p>
    <w:p>
      <w:pPr>
        <w:pStyle w:val="Heading2"/>
        <w:spacing w:before="300" w:after="150"/>
      </w:pPr>
      <w:r>
        <w:rPr>
          <w:rFonts w:ascii="Arial" w:cs="Arial" w:eastAsia="Arial" w:hAnsi="Arial"/>
          <w:b/>
          <w:bCs/>
          <w:color w:val="0D6E6E"/>
          <w:sz w:val="26"/>
          <w:szCs w:val="26"/>
        </w:rPr>
        <w:t xml:space="preserve">1.2 The Golden Angle as a Screw Motion</w:t>
      </w:r>
    </w:p>
    <w:p>
      <w:pPr>
        <w:spacing w:before="80" w:after="80" w:line="320"/>
      </w:pPr>
      <w:r>
        <w:rPr>
          <w:rFonts w:ascii="Arial" w:cs="Arial" w:eastAsia="Arial" w:hAnsi="Arial"/>
          <w:sz w:val="22"/>
          <w:szCs w:val="22"/>
        </w:rPr>
        <w:t xml:space="preserve">When the golden angle rotation is combined with a translation along an axis, the result is a screw motion — the fundamental operation of helical geometry. In 3D, a golden-angle screw stepping along an axis generates a path that is doubly quasiperiodic: quasiperiodic in the transverse plane and along the axis simultaneously. The path never closes; it never repeats; it has long-range statistical regularity without short-range periodicity.</w:t>
      </w:r>
    </w:p>
    <w:p>
      <w:pPr>
        <w:spacing w:before="80" w:after="80" w:line="320"/>
      </w:pPr>
      <w:r>
        <w:rPr>
          <w:rFonts w:ascii="Arial" w:cs="Arial" w:eastAsia="Arial" w:hAnsi="Arial"/>
          <w:sz w:val="22"/>
          <w:szCs w:val="22"/>
        </w:rPr>
        <w:t xml:space="preserve">This screw is not a loop. Its winding number is not a fixed integer — it accumulates quasiperiodically. This is addressed formally in Section 5.</w:t>
      </w:r>
    </w:p>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2. The Penrose P3 Substrate and 5/7 Geometry</w:t>
      </w:r>
    </w:p>
    <w:p>
      <w:pPr>
        <w:pStyle w:val="Heading2"/>
        <w:spacing w:before="300" w:after="150"/>
      </w:pPr>
      <w:r>
        <w:rPr>
          <w:rFonts w:ascii="Arial" w:cs="Arial" w:eastAsia="Arial" w:hAnsi="Arial"/>
          <w:b/>
          <w:bCs/>
          <w:color w:val="0D6E6E"/>
          <w:sz w:val="26"/>
          <w:szCs w:val="26"/>
        </w:rPr>
        <w:t xml:space="preserve">2.1 Penrose P3 Tiling and φ-Native Structure</w:t>
      </w:r>
    </w:p>
    <w:p>
      <w:pPr>
        <w:spacing w:before="80" w:after="80" w:line="320"/>
      </w:pPr>
      <w:r>
        <w:rPr>
          <w:rFonts w:ascii="Arial" w:cs="Arial" w:eastAsia="Arial" w:hAnsi="Arial"/>
          <w:sz w:val="22"/>
          <w:szCs w:val="22"/>
        </w:rPr>
        <w:t xml:space="preserve">The Penrose P3 tiling (thick and thin rhombi) exhibits 5-fold quasiperiodic symmetry. Its structure is φ-native at every level: the rhombus angles are multiples of 36°, and cos 36° = φ/2. The ratio of thick to thin tiles in any infinite P3 tiling approaches φ². The tiling is generated by projection from a 5D integer lattice, and its diffraction pattern shows perfect 5-fold (decagonal) symmetry forbidden by classical crystallography.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Penrose tiling quasiperiodicity, φ-ratio tile counts, and 5D lattice projection are mathematically established. Experimental quasicrystal verification: Shechtman et al. (1984), Nobel Prize in Chemistry 2011.</w:t>
            </w:r>
          </w:p>
        </w:tc>
      </w:tr>
    </w:tbl>
    <w:p>
      <w:r>
        <w:t xml:space="preserve"/>
      </w:r>
    </w:p>
    <w:p>
      <w:pPr>
        <w:pStyle w:val="Heading2"/>
        <w:spacing w:before="300" w:after="150"/>
      </w:pPr>
      <w:r>
        <w:rPr>
          <w:rFonts w:ascii="Arial" w:cs="Arial" w:eastAsia="Arial" w:hAnsi="Arial"/>
          <w:b/>
          <w:bCs/>
          <w:color w:val="0D6E6E"/>
          <w:sz w:val="26"/>
          <w:szCs w:val="26"/>
        </w:rPr>
        <w:t xml:space="preserve">2.2 The 5/7 as Curvature Operators</w:t>
      </w:r>
    </w:p>
    <w:p>
      <w:pPr>
        <w:spacing w:before="80" w:after="80" w:line="320"/>
      </w:pPr>
      <w:r>
        <w:rPr>
          <w:rFonts w:ascii="Arial" w:cs="Arial" w:eastAsia="Arial" w:hAnsi="Arial"/>
          <w:sz w:val="22"/>
          <w:szCs w:val="22"/>
        </w:rPr>
        <w:t xml:space="preserve">In a flat hexagonal lattice, 5-fold and 7-fold disclinations act as curvature operators. A pentagon (5) introduces positive Gaussian curvature — the lattice bows toward a sphere. A heptagon (7) introduces negative Gaussian curvature — the lattice saddles toward a hyperbolic surface. The '5/7' designation refers not to a single symmetry group but to a mixed-curvature system with paired sign defects.</w:t>
      </w:r>
    </w:p>
    <w:p>
      <w:pPr>
        <w:spacing w:before="80" w:after="80" w:line="320"/>
      </w:pPr>
      <w:r>
        <w:rPr>
          <w:rFonts w:ascii="Arial" w:cs="Arial" w:eastAsia="Arial" w:hAnsi="Arial"/>
          <w:sz w:val="22"/>
          <w:szCs w:val="22"/>
        </w:rPr>
        <w:t xml:space="preserve">By Euler's theorem, any closed surface topologically equivalent to a sphere requires exactly 12 net pentagons (net positive curvature surplus). The soccer ball / truncated icosahedron (12 pentagons, 20 hexagons) is the canonical realization. Critically, the icosahedral symmetry group is the 3D parent of the same symmetry group that generates Penrose tilings in 2D — they are the same object in different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Disclination curvature assignments, Euler's theorem (12-pentagon requirement), and icosahedral / Penrose symmetry group relationship are established in topology and discrete geometry.</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3. Buckling to Non-Euclidean Space</w:t>
      </w:r>
    </w:p>
    <w:p>
      <w:pPr>
        <w:pStyle w:val="Heading2"/>
        <w:spacing w:before="300" w:after="150"/>
      </w:pPr>
      <w:r>
        <w:rPr>
          <w:rFonts w:ascii="Arial" w:cs="Arial" w:eastAsia="Arial" w:hAnsi="Arial"/>
          <w:b/>
          <w:bCs/>
          <w:color w:val="0D6E6E"/>
          <w:sz w:val="26"/>
          <w:szCs w:val="26"/>
        </w:rPr>
        <w:t xml:space="preserve">3.1 The Buckling Mechanism</w:t>
      </w:r>
    </w:p>
    <w:p>
      <w:pPr>
        <w:spacing w:before="80" w:after="80" w:line="320"/>
      </w:pPr>
      <w:r>
        <w:rPr>
          <w:rFonts w:ascii="Arial" w:cs="Arial" w:eastAsia="Arial" w:hAnsi="Arial"/>
          <w:sz w:val="22"/>
          <w:szCs w:val="22"/>
        </w:rPr>
        <w:t xml:space="preserve">When a flat Penrose-like tiling buckles, the curvature carried by 5-fold and 7-fold vertices is no longer distributed as a topological label — it becomes physical curvature of the manifold. The tiling becomes a piecewise-flat surface with concentrated Gaussian curvature at vertices, zero curvature on faces.</w:t>
      </w:r>
    </w:p>
    <w:p>
      <w:pPr>
        <w:spacing w:before="80" w:after="80" w:line="320"/>
      </w:pPr>
      <w:r>
        <w:rPr>
          <w:rFonts w:ascii="Arial" w:cs="Arial" w:eastAsia="Arial" w:hAnsi="Arial"/>
          <w:sz w:val="22"/>
          <w:szCs w:val="22"/>
        </w:rPr>
        <w:t xml:space="preserve">The resulting surface is not smoothly curved. It is a polyhedral manifold whose global topology is determined by the balance of pentagonal and heptagonal vertices. A net of 12 more pentagons than heptagons closes the surface into a topological sphere. Equal counts produce a flat surface on average with local corrugation.</w:t>
      </w:r>
    </w:p>
    <w:p>
      <w:pPr>
        <w:pStyle w:val="Heading2"/>
        <w:spacing w:before="300" w:after="150"/>
      </w:pPr>
      <w:r>
        <w:rPr>
          <w:rFonts w:ascii="Arial" w:cs="Arial" w:eastAsia="Arial" w:hAnsi="Arial"/>
          <w:b/>
          <w:bCs/>
          <w:color w:val="0D6E6E"/>
          <w:sz w:val="26"/>
          <w:szCs w:val="26"/>
        </w:rPr>
        <w:t xml:space="preserve">3.2 Connection to Physical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Fullerene (C60) structure — 12 pentagons closing a hexagonal lattice into a sphere — is experimentally established. Amorphous graphene with high defect density has been experimentally produced (Toh et al., 2020). Graphene grain boundaries as 5-7 defect chains: Yazyev and Louie (established).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Narrow" w:cs="Arial Narrow" w:eastAsia="Arial Narrow" w:hAnsi="Arial Narrow"/>
                <w:b/>
                <w:bCs/>
                <w:color w:val="E65100"/>
                <w:sz w:val="16"/>
                <w:szCs w:val="16"/>
              </w:rPr>
              <w:t xml:space="preserve">SPECULATIVE</w:t>
            </w:r>
          </w:p>
        </w:tc>
        <w:tc>
          <w:tcPr>
            <w:tcW w:type="dxa" w:w="85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a Penrose-seeded defect network, upon buckling, produces a surface with quasiperiodic curvature distribution rather than random or periodic distribution. This is geometrically natural but not yet formalized as a theorem.</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4. Stone-Wales Defect Construction</w:t>
      </w:r>
    </w:p>
    <w:p>
      <w:pPr>
        <w:pStyle w:val="Heading2"/>
        <w:spacing w:before="300" w:after="150"/>
      </w:pPr>
      <w:r>
        <w:rPr>
          <w:rFonts w:ascii="Arial" w:cs="Arial" w:eastAsia="Arial" w:hAnsi="Arial"/>
          <w:b/>
          <w:bCs/>
          <w:color w:val="0D6E6E"/>
          <w:sz w:val="26"/>
          <w:szCs w:val="26"/>
        </w:rPr>
        <w:t xml:space="preserve">4.1 The SW Defect Mechanism</w:t>
      </w:r>
    </w:p>
    <w:p>
      <w:pPr>
        <w:spacing w:before="80" w:after="80" w:line="320"/>
      </w:pPr>
      <w:r>
        <w:rPr>
          <w:rFonts w:ascii="Arial" w:cs="Arial" w:eastAsia="Arial" w:hAnsi="Arial"/>
          <w:sz w:val="22"/>
          <w:szCs w:val="22"/>
        </w:rPr>
        <w:t xml:space="preserve">A Stone-Wales defect is a 90° bond rotation in a hexagonal lattice. Four hexagons become a 5-7-7-5 pentagon-heptagon quartet. Atom count is conserved; only connectivity topology changes. This is a local topological reconfiguration — not a hole, not an impurity.</w:t>
      </w:r>
    </w:p>
    <w:p>
      <w:pPr>
        <w:spacing w:before="80" w:after="80" w:line="320"/>
      </w:pPr>
      <w:r>
        <w:rPr>
          <w:rFonts w:ascii="Arial" w:cs="Arial" w:eastAsia="Arial" w:hAnsi="Arial"/>
          <w:sz w:val="22"/>
          <w:szCs w:val="22"/>
        </w:rPr>
        <w:t xml:space="preserve">SW defects come in bonded pairs: a pentagon is always paired with a compensating heptagon at short range. Therefore the buckled surface built from SW defects has curvature that is locally balanced — positive curvature is always accompanied by nearby negative curvature. The global geometry is corrugated and frustrated rather than monotonically curved.</w:t>
      </w:r>
    </w:p>
    <w:p>
      <w:pPr>
        <w:pStyle w:val="Heading2"/>
        <w:spacing w:before="300" w:after="150"/>
      </w:pPr>
      <w:r>
        <w:rPr>
          <w:rFonts w:ascii="Arial" w:cs="Arial" w:eastAsia="Arial" w:hAnsi="Arial"/>
          <w:b/>
          <w:bCs/>
          <w:color w:val="0D6E6E"/>
          <w:sz w:val="26"/>
          <w:szCs w:val="26"/>
        </w:rPr>
        <w:t xml:space="preserve">4.2 Defect Mobility and Dynamic Topology</w:t>
      </w:r>
    </w:p>
    <w:p>
      <w:pPr>
        <w:spacing w:before="80" w:after="80" w:line="320"/>
      </w:pPr>
      <w:r>
        <w:rPr>
          <w:rFonts w:ascii="Arial" w:cs="Arial" w:eastAsia="Arial" w:hAnsi="Arial"/>
          <w:sz w:val="22"/>
          <w:szCs w:val="22"/>
        </w:rPr>
        <w:t xml:space="preserve">SW defects are not static. They can migrate through the lattice via successive bond rotations, with a formation energy of approximately 5 eV in graphene. Defect migration moves the 5-7-7-5 quartet one bond-length per step. Defects also annihilate when complementary pairs meet.</w:t>
      </w:r>
    </w:p>
    <w:p>
      <w:pPr>
        <w:spacing w:before="80" w:after="80" w:line="320"/>
      </w:pPr>
      <w:r>
        <w:rPr>
          <w:rFonts w:ascii="Arial" w:cs="Arial" w:eastAsia="Arial" w:hAnsi="Arial"/>
          <w:sz w:val="22"/>
          <w:szCs w:val="22"/>
        </w:rPr>
        <w:t xml:space="preserve">This means the tiling built from SW defects is a surface whose topology is propagating. The 5s and 7s are moving through the lattice. The golden-angle screw path therefore traverses a substrate whose curvature structure is dynamically evolving — it is navigating a space that is rewriting its own local geometry as the path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SW defect formation energies, migration mechanisms, and annihilation dynamics are well-established in computational materials science. Defect mobility in graphene is experimentally confirmed by TEM.</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5. The Grinding Ratchet — 5/7 Prime Incompatibility</w:t>
      </w:r>
    </w:p>
    <w:p>
      <w:pPr>
        <w:pStyle w:val="Heading2"/>
        <w:spacing w:before="300" w:after="150"/>
      </w:pPr>
      <w:r>
        <w:rPr>
          <w:rFonts w:ascii="Arial" w:cs="Arial" w:eastAsia="Arial" w:hAnsi="Arial"/>
          <w:b/>
          <w:bCs/>
          <w:color w:val="0D6E6E"/>
          <w:sz w:val="26"/>
          <w:szCs w:val="26"/>
        </w:rPr>
        <w:t xml:space="preserve">5.1 Gear Analogy and the Significance of Primality</w:t>
      </w:r>
    </w:p>
    <w:p>
      <w:pPr>
        <w:spacing w:before="80" w:after="80" w:line="320"/>
      </w:pPr>
      <w:r>
        <w:rPr>
          <w:rFonts w:ascii="Arial" w:cs="Arial" w:eastAsia="Arial" w:hAnsi="Arial"/>
          <w:sz w:val="22"/>
          <w:szCs w:val="22"/>
        </w:rPr>
        <w:t xml:space="preserve">A 5-tooth gear meshing against a 7-tooth gear does not have a clean rotational relationship. gcd(5,7) = 1 — they are coprime. To return to the same configuration requires LCM(5,7) = 35 steps. This maximal incompatibility means the gears grind through every combination before repeating.</w:t>
      </w:r>
    </w:p>
    <w:p>
      <w:pPr>
        <w:spacing w:before="80" w:after="80" w:line="320"/>
      </w:pPr>
      <w:r>
        <w:rPr>
          <w:rFonts w:ascii="Arial" w:cs="Arial" w:eastAsia="Arial" w:hAnsi="Arial"/>
          <w:sz w:val="22"/>
          <w:szCs w:val="22"/>
        </w:rPr>
        <w:t xml:space="preserve">The angular mismatch at each 5/7 contact is measurable: pentagon interior angle = 108°; heptagon interior angle ≈ 128.57°; mismatch ≈ 20.57° per contact point. This angular mismatch does not disappear — it propagates as local bond strain, forced lattice rotation, and ultimately bond rotation events. The grinding is the physical process by which SW defects migrate.</w:t>
      </w:r>
    </w:p>
    <w:p>
      <w:pPr>
        <w:pStyle w:val="Heading2"/>
        <w:spacing w:before="300" w:after="150"/>
      </w:pPr>
      <w:r>
        <w:rPr>
          <w:rFonts w:ascii="Arial" w:cs="Arial" w:eastAsia="Arial" w:hAnsi="Arial"/>
          <w:b/>
          <w:bCs/>
          <w:color w:val="0D6E6E"/>
          <w:sz w:val="26"/>
          <w:szCs w:val="26"/>
        </w:rPr>
        <w:t xml:space="preserve">5.2 The Ratchet and Broken Time-Reversal</w:t>
      </w:r>
    </w:p>
    <w:p>
      <w:pPr>
        <w:spacing w:before="80" w:after="80" w:line="320"/>
      </w:pPr>
      <w:r>
        <w:rPr>
          <w:rFonts w:ascii="Arial" w:cs="Arial" w:eastAsia="Arial" w:hAnsi="Arial"/>
          <w:sz w:val="22"/>
          <w:szCs w:val="22"/>
        </w:rPr>
        <w:t xml:space="preserve">The 5/7 angular mismatch on an asymmetric quasiperiodic substrate does not grind equally in both directions. The angular deficit creates a preferred slip direction — a ratchet. This asymmetry constitutes broken time-reversal symmetry: the system moves preferentially forward, not equally forward and backward.</w:t>
      </w:r>
    </w:p>
    <w:p>
      <w:pPr>
        <w:spacing w:before="80" w:after="80" w:line="320"/>
      </w:pPr>
      <w:r>
        <w:rPr>
          <w:rFonts w:ascii="Arial" w:cs="Arial" w:eastAsia="Arial" w:hAnsi="Arial"/>
          <w:sz w:val="22"/>
          <w:szCs w:val="22"/>
        </w:rPr>
        <w:t xml:space="preserve">The substrate is not merely quasiperiodic in space; it is quasiperiodically timed in its ratchet rhythm. The 'teeth' of the gears are the vertices and edges of the Penrose-like tiling — aperiodically spaced, producing structured non-uniform grinding. The grinding has a quasiperiodic rhythm: structured, non-random, non-repeating.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Narrow" w:cs="Arial Narrow" w:eastAsia="Arial Narrow" w:hAnsi="Arial Narrow"/>
                <w:b/>
                <w:bCs/>
                <w:color w:val="0D47A1"/>
                <w:sz w:val="16"/>
                <w:szCs w:val="16"/>
              </w:rPr>
              <w:t xml:space="preserve">DEMONSTRATED</w:t>
            </w:r>
          </w:p>
        </w:tc>
        <w:tc>
          <w:tcPr>
            <w:tcW w:type="dxa" w:w="85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20"/>
            </w:tcMar>
          </w:tcPr>
          <w:p>
            <w:pPr>
              <w:spacing w:line="300"/>
            </w:pPr>
            <w:r>
              <w:rPr>
                <w:rFonts w:ascii="Arial" w:cs="Arial" w:eastAsia="Arial" w:hAnsi="Arial"/>
                <w:color w:val="222222"/>
                <w:sz w:val="20"/>
                <w:szCs w:val="20"/>
              </w:rPr>
              <w:t xml:space="preserve">Ratchet mechanisms arising from geometric asymmetry are well-studied in soft matter physics (Astumian, Hänggi). The ATP synthase molecular motor operates via a geometrically analogous 3/1 asymmetric ratchet harvesting energy from a proton gradient. The 5/7 prime incompatibility ratchet in a quasiperiodic lattice specifically has not been formalized.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Narrow" w:cs="Arial Narrow" w:eastAsia="Arial Narrow" w:hAnsi="Arial Narrow"/>
                <w:b/>
                <w:bCs/>
                <w:color w:val="E65100"/>
                <w:sz w:val="16"/>
                <w:szCs w:val="16"/>
              </w:rPr>
              <w:t xml:space="preserve">SPECULATIVE</w:t>
            </w:r>
          </w:p>
        </w:tc>
        <w:tc>
          <w:tcPr>
            <w:tcW w:type="dxa" w:w="85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the ratchet's preferred directionality is stable over long timescales in the presence of thermal noise — this requires a calculation of the Peierls-Nabarro barrier for the specific lattice geometry.</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6. Time as Geometric Friction</w:t>
      </w:r>
    </w:p>
    <w:p>
      <w:pPr>
        <w:pStyle w:val="Heading2"/>
        <w:spacing w:before="300" w:after="150"/>
      </w:pPr>
      <w:r>
        <w:rPr>
          <w:rFonts w:ascii="Arial" w:cs="Arial" w:eastAsia="Arial" w:hAnsi="Arial"/>
          <w:b/>
          <w:bCs/>
          <w:color w:val="0D6E6E"/>
          <w:sz w:val="26"/>
          <w:szCs w:val="26"/>
        </w:rPr>
        <w:t xml:space="preserve">6.1 The Hypothesis</w:t>
      </w:r>
    </w:p>
    <w:p>
      <w:pPr>
        <w:spacing w:before="80" w:after="80" w:line="320"/>
      </w:pPr>
      <w:r>
        <w:rPr>
          <w:rFonts w:ascii="Arial" w:cs="Arial" w:eastAsia="Arial" w:hAnsi="Arial"/>
          <w:sz w:val="22"/>
          <w:szCs w:val="22"/>
        </w:rPr>
        <w:t xml:space="preserve">If temporal flow corresponds to the rate of topological state-change in the 5/7 grinding network, then time is not a background parameter — it is generated locally by the irreversible ratcheting of the defect lattice. The specific proposal is:</w:t>
      </w:r>
    </w:p>
    <w:p>
      <w:pPr>
        <w:spacing w:before="120" w:after="120"/>
        <w:jc w:val="center"/>
      </w:pPr>
      <w:r>
        <w:rPr>
          <w:rFonts w:ascii="Arial" w:cs="Arial" w:eastAsia="Arial" w:hAnsi="Arial"/>
          <w:b/>
          <w:bCs/>
          <w:i/>
          <w:iCs/>
          <w:color w:val="1A3A5C"/>
          <w:sz w:val="22"/>
          <w:szCs w:val="22"/>
        </w:rPr>
        <w:t xml:space="preserve">Temporal flow rate ∝ local defect grinding rate (5/7 contact events per unit path length)</w:t>
      </w:r>
    </w:p>
    <w:p>
      <w:pPr>
        <w:spacing w:before="80" w:after="80" w:line="320"/>
      </w:pPr>
      <w:r>
        <w:rPr>
          <w:rFonts w:ascii="Arial" w:cs="Arial" w:eastAsia="Arial" w:hAnsi="Arial"/>
          <w:sz w:val="22"/>
          <w:szCs w:val="22"/>
        </w:rPr>
        <w:t xml:space="preserve">Regions of high defect density grind faster — time flows faster there. Regions of near-perfect quasiperiodic order grind slower — time dilates. The golden angle screw's variable twist rate through pentagonal and heptagonal zones would correspond to locally variable time flow.</w:t>
      </w:r>
    </w:p>
    <w:p>
      <w:pPr>
        <w:pStyle w:val="Heading2"/>
        <w:spacing w:before="300" w:after="150"/>
      </w:pPr>
      <w:r>
        <w:rPr>
          <w:rFonts w:ascii="Arial" w:cs="Arial" w:eastAsia="Arial" w:hAnsi="Arial"/>
          <w:b/>
          <w:bCs/>
          <w:color w:val="0D6E6E"/>
          <w:sz w:val="26"/>
          <w:szCs w:val="26"/>
        </w:rPr>
        <w:t xml:space="preserve">6.2 Connections to Established Frameworks</w:t>
      </w:r>
    </w:p>
    <w:p>
      <w:pPr>
        <w:spacing w:before="120" w:after="80"/>
      </w:pPr>
      <w:r>
        <w:rPr>
          <w:rFonts w:ascii="Arial" w:cs="Arial" w:eastAsia="Arial" w:hAnsi="Arial"/>
          <w:b/>
          <w:bCs/>
          <w:color w:val="555555"/>
          <w:sz w:val="20"/>
          <w:szCs w:val="20"/>
        </w:rPr>
        <w:t xml:space="preserve">This Hypothesis vs. Established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This Construction</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Established Physics / Mathematics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Time as grinding friction</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Thermal Time Hypothesis — Connes &amp; Rovelli (1994): time emerges from the thermodynamic state of a quantum system</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Topological irreversibility</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Causal Dynamical Triangulations — Ambjorn, Jurkiewicz, Loll: time arrow emerges from triangulation geometry without being imposed</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Defect event sequence</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Spin foam models (LQG): time emerges from combinatorial evolution of quantum geometry network</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Curvature as entropy gradient</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Entropic Gravity — Verlinde: gravity as entropic force from information gradients on holographic screens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Ratchet directionality → arrow</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Boltzmann / Second Law: standard thermodynamic account of time's arrow from low-entropy initial conditions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the 5/7 grinding ratchet provides a local geometric mechanism for time's arrow that does not require a global low-entropy initial condition. This would be a meaningful alternative to the standard thermodynamic account if formalized.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Narrow" w:cs="Arial Narrow" w:eastAsia="Arial Narrow" w:hAnsi="Arial Narrow"/>
                <w:b/>
                <w:bCs/>
                <w:color w:val="E65100"/>
                <w:sz w:val="16"/>
                <w:szCs w:val="16"/>
              </w:rPr>
              <w:t xml:space="preserve">SPECULATIVE</w:t>
            </w:r>
          </w:p>
        </w:tc>
        <w:tc>
          <w:tcPr>
            <w:tcW w:type="dxa" w:w="85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perceived temporal rate is the subjective measure of topological state-change rate along a geodesic screw path. This requires a model of the observer (the screw path) that has not been developed.</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7. Majorana Zero Mode Localization</w:t>
      </w:r>
    </w:p>
    <w:p>
      <w:pPr>
        <w:pStyle w:val="Heading2"/>
        <w:spacing w:before="300" w:after="150"/>
      </w:pPr>
      <w:r>
        <w:rPr>
          <w:rFonts w:ascii="Arial" w:cs="Arial" w:eastAsia="Arial" w:hAnsi="Arial"/>
          <w:b/>
          <w:bCs/>
          <w:color w:val="0D6E6E"/>
          <w:sz w:val="26"/>
          <w:szCs w:val="26"/>
        </w:rPr>
        <w:t xml:space="preserve">7.1 MZM Requirements and Their Satisfaction</w:t>
      </w:r>
    </w:p>
    <w:p>
      <w:pPr>
        <w:spacing w:before="80" w:after="80" w:line="320"/>
      </w:pPr>
      <w:r>
        <w:rPr>
          <w:rFonts w:ascii="Arial" w:cs="Arial" w:eastAsia="Arial" w:hAnsi="Arial"/>
          <w:sz w:val="22"/>
          <w:szCs w:val="22"/>
        </w:rPr>
        <w:t xml:space="preserve">Majorana zero modes (MZMs) require: (1) a topological bulk phase, (2) a boundary between topological and trivial regions, (3) particle-hole symmetry, and (4) zero-energy pinning protected by topology. The 5/7 Stone-Wales defect boundary satisfies all four conditions geometrically:</w:t>
      </w:r>
    </w:p>
    <w:p>
      <w:pPr>
        <w:spacing w:before="80" w:after="80" w:line="320"/>
      </w:pPr>
      <w:r>
        <w:rPr>
          <w:rFonts w:ascii="Arial" w:cs="Arial" w:eastAsia="Arial" w:hAnsi="Arial"/>
          <w:sz w:val="22"/>
          <w:szCs w:val="22"/>
        </w:rPr>
        <w:t xml:space="preserve">Each pentagon carries a curvature excess — a local source of topological charge. Each heptagon carries a curvature deficit — a local sink. The 5-7 interface is a domain wall between opposite topological charges. MZMs in 1D topological superconductors (Kitaev chain) sit at exactly such domain walls.</w:t>
      </w:r>
    </w:p>
    <w:p>
      <w:pPr>
        <w:spacing w:before="80" w:after="80" w:line="320"/>
      </w:pPr>
      <w:r>
        <w:rPr>
          <w:rFonts w:ascii="Arial" w:cs="Arial" w:eastAsia="Arial" w:hAnsi="Arial"/>
          <w:sz w:val="22"/>
          <w:szCs w:val="22"/>
        </w:rPr>
        <w:t xml:space="preserve">The buckled 5/7 tiling is therefore a 2D network of Kitaev-chain-like domain walls, with MZMs potentially localized at every 5/7 interface vertex.</w:t>
      </w:r>
    </w:p>
    <w:p>
      <w:pPr>
        <w:pStyle w:val="Heading2"/>
        <w:spacing w:before="300" w:after="150"/>
      </w:pPr>
      <w:r>
        <w:rPr>
          <w:rFonts w:ascii="Arial" w:cs="Arial" w:eastAsia="Arial" w:hAnsi="Arial"/>
          <w:b/>
          <w:bCs/>
          <w:color w:val="0D6E6E"/>
          <w:sz w:val="26"/>
          <w:szCs w:val="26"/>
        </w:rPr>
        <w:t xml:space="preserve">7.2 The Golden Angle Screw as Kitaev Chain Selector</w:t>
      </w:r>
    </w:p>
    <w:p>
      <w:pPr>
        <w:spacing w:before="80" w:after="80" w:line="320"/>
      </w:pPr>
      <w:r>
        <w:rPr>
          <w:rFonts w:ascii="Arial" w:cs="Arial" w:eastAsia="Arial" w:hAnsi="Arial"/>
          <w:sz w:val="22"/>
          <w:szCs w:val="22"/>
        </w:rPr>
        <w:t xml:space="preserve">In a uniform defect network, MZMs at all 5/7 boundaries would hybridize — overlap and annihilate their topological protection. The golden angle screw changes this: because it is quasiperiodic and never repeating, it selects a hierarchical subset of interface points — those it actually passes through. Along the screw path, selected MZMs are coupled into a 1D chain; bypassed MZMs remain isolated.</w:t>
      </w:r>
    </w:p>
    <w:p>
      <w:pPr>
        <w:spacing w:before="80" w:after="80" w:line="320"/>
      </w:pPr>
      <w:r>
        <w:rPr>
          <w:rFonts w:ascii="Arial" w:cs="Arial" w:eastAsia="Arial" w:hAnsi="Arial"/>
          <w:sz w:val="22"/>
          <w:szCs w:val="22"/>
        </w:rPr>
        <w:t xml:space="preserve">The screw functions as a geometric tuning parameter analogous to the chemical potential in a Kitaev chain — the parameter that moves the system through the topological phase transition. Except here, tuning is by screw angle, not by chemistry.</w:t>
      </w:r>
    </w:p>
    <w:p>
      <w:pPr>
        <w:pStyle w:val="Heading2"/>
        <w:spacing w:before="300" w:after="150"/>
      </w:pPr>
      <w:r>
        <w:rPr>
          <w:rFonts w:ascii="Arial" w:cs="Arial" w:eastAsia="Arial" w:hAnsi="Arial"/>
          <w:b/>
          <w:bCs/>
          <w:color w:val="0D6E6E"/>
          <w:sz w:val="26"/>
          <w:szCs w:val="26"/>
        </w:rPr>
        <w:t xml:space="preserve">7.3 Chirality from the Ratchet</w:t>
      </w:r>
    </w:p>
    <w:p>
      <w:pPr>
        <w:spacing w:before="80" w:after="80" w:line="320"/>
      </w:pPr>
      <w:r>
        <w:rPr>
          <w:rFonts w:ascii="Arial" w:cs="Arial" w:eastAsia="Arial" w:hAnsi="Arial"/>
          <w:sz w:val="22"/>
          <w:szCs w:val="22"/>
        </w:rPr>
        <w:t xml:space="preserve">The 5/7 grinding ratchet provides broken time-reversal symmetry — the precise condition needed for chiral Majorana modes. The MZMs selected by the golden angle screw path, in a substrate with ratchet-induced broken time-reversal, are naturally chiral: they propagate in one direction only along the screw path. Chiral Majorana modes are the most experimentally sought and hardest to engineer variant; this construction produces them geometrically.</w:t>
      </w:r>
    </w:p>
    <w:p>
      <w:r>
        <w:t xml:space="preserve"/>
      </w:r>
    </w:p>
    <w:p>
      <w:pPr>
        <w:spacing w:before="120" w:after="80"/>
      </w:pPr>
      <w:r>
        <w:rPr>
          <w:rFonts w:ascii="Arial" w:cs="Arial" w:eastAsia="Arial" w:hAnsi="Arial"/>
          <w:b/>
          <w:bCs/>
          <w:color w:val="555555"/>
          <w:sz w:val="20"/>
          <w:szCs w:val="20"/>
        </w:rPr>
        <w:t xml:space="preserve">MZM Correspondence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This Construction</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Established Physics / Mathematics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5/7 SW defect boundary</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Topological domain wall</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Curvature sign change at interface</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Topological phase transition</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Interface vertex</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MZM localization site</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Golden angle screw path</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Kitaev chain selection (1D channel)</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Ratchet directionality</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Chiral symmetry breaking</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Grinding friction</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Decoherence / thermal noise source</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SW defect migration</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Domain wall motion → MZM threat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Kitaev chain model, MZM localization at domain walls, and MZM requirements (particle-hole symmetry, zero-energy pinning) are established in topological condensed matter physics.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Narrow" w:cs="Arial Narrow" w:eastAsia="Arial Narrow" w:hAnsi="Arial Narrow"/>
                <w:b/>
                <w:bCs/>
                <w:color w:val="E65100"/>
                <w:sz w:val="16"/>
                <w:szCs w:val="16"/>
              </w:rPr>
              <w:t xml:space="preserve">SPECULATIVE</w:t>
            </w:r>
          </w:p>
        </w:tc>
        <w:tc>
          <w:tcPr>
            <w:tcW w:type="dxa" w:w="85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curvature sign change at 5/7 interfaces in a buckled quasiperiodic lattice constitutes the required topological phase transition. This requires computing the topological invariant (Chern number or Z₂ index) for the specific Hamiltonian of the buckled lattice.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the golden angle screw selects a stable 1D MZM chain with chiral protection. Stability against SW defect migration is the central open question.</w:t>
            </w:r>
          </w:p>
        </w:tc>
      </w:tr>
    </w:tbl>
    <w:p>
      <w:pPr>
        <w:pStyle w:val="Heading2"/>
        <w:spacing w:before="300" w:after="150"/>
      </w:pPr>
      <w:r>
        <w:rPr>
          <w:rFonts w:ascii="Arial" w:cs="Arial" w:eastAsia="Arial" w:hAnsi="Arial"/>
          <w:b/>
          <w:bCs/>
          <w:color w:val="0D6E6E"/>
          <w:sz w:val="26"/>
          <w:szCs w:val="26"/>
        </w:rPr>
        <w:t xml:space="preserve">7.4 The Creation/Annihilation Tension</w:t>
      </w:r>
    </w:p>
    <w:p>
      <w:pPr>
        <w:spacing w:before="80" w:after="80" w:line="320"/>
      </w:pPr>
      <w:r>
        <w:rPr>
          <w:rFonts w:ascii="Arial" w:cs="Arial" w:eastAsia="Arial" w:hAnsi="Arial"/>
          <w:sz w:val="22"/>
          <w:szCs w:val="22"/>
        </w:rPr>
        <w:t xml:space="preserve">The ratchet is simultaneously the mechanism that creates chiral MZMs (via broken time-reversal) and the mechanism that threatens to destroy them (via SW defect migration moving domain walls together, causing MZM annihilation). This tension — creation and annihilation by the same mechanism — is the central engineering problem of topological quantum computing. The construction reproduces it geometrically from first principles.</w:t>
      </w:r>
    </w:p>
    <w:p>
      <w:pPr>
        <w:spacing w:before="80" w:after="80" w:line="320"/>
      </w:pPr>
      <w:r>
        <w:rPr>
          <w:rFonts w:ascii="Arial" w:cs="Arial" w:eastAsia="Arial" w:hAnsi="Arial"/>
          <w:sz w:val="22"/>
          <w:szCs w:val="22"/>
        </w:rPr>
        <w:t xml:space="preserve">If time is the friction (Section 6), then decoherence and the passage of time are the same process in this model — a unified account of why MZMs are hard to maintain and why time moves forward.</w:t>
      </w:r>
    </w:p>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8. Cl-HoTT, Univalence, and the Winding Number</w:t>
      </w:r>
    </w:p>
    <w:p>
      <w:pPr>
        <w:pStyle w:val="Heading2"/>
        <w:spacing w:before="300" w:after="150"/>
      </w:pPr>
      <w:r>
        <w:rPr>
          <w:rFonts w:ascii="Arial" w:cs="Arial" w:eastAsia="Arial" w:hAnsi="Arial"/>
          <w:b/>
          <w:bCs/>
          <w:color w:val="0D6E6E"/>
          <w:sz w:val="26"/>
          <w:szCs w:val="26"/>
        </w:rPr>
        <w:t xml:space="preserve">8.1 The HoTT Foundation of the Winding Number</w:t>
      </w:r>
    </w:p>
    <w:p>
      <w:pPr>
        <w:spacing w:before="80" w:after="80" w:line="320"/>
      </w:pPr>
      <w:r>
        <w:rPr>
          <w:rFonts w:ascii="Arial" w:cs="Arial" w:eastAsia="Arial" w:hAnsi="Arial"/>
          <w:sz w:val="22"/>
          <w:szCs w:val="22"/>
        </w:rPr>
        <w:t xml:space="preserve">In Homotopy Type Theory, S¹ is defined as a Higher Inductive Type with one point constructor (base) and one path constructor (loop). The fundamental theorem, proved using the Univalence Axiom, is:</w:t>
      </w:r>
    </w:p>
    <w:p>
      <w:pPr>
        <w:spacing w:before="120" w:after="120"/>
        <w:jc w:val="center"/>
      </w:pPr>
      <w:r>
        <w:rPr>
          <w:rFonts w:ascii="Arial" w:cs="Arial" w:eastAsia="Arial" w:hAnsi="Arial"/>
          <w:b/>
          <w:bCs/>
          <w:color w:val="1A3A5C"/>
          <w:sz w:val="30"/>
          <w:szCs w:val="30"/>
        </w:rPr>
        <w:t xml:space="preserve">π₁(S¹) ≅ ℤ</w:t>
      </w:r>
    </w:p>
    <w:p>
      <w:pPr>
        <w:spacing w:before="80" w:after="80" w:line="320"/>
      </w:pPr>
      <w:r>
        <w:rPr>
          <w:rFonts w:ascii="Arial" w:cs="Arial" w:eastAsia="Arial" w:hAnsi="Arial"/>
          <w:sz w:val="22"/>
          <w:szCs w:val="22"/>
        </w:rPr>
        <w:t xml:space="preserve">Univalence is essential: without it, the fiber of the universal cover cannot be identified with ℤ, because the equivalence succ : ℤ ≃ ℤ cannot be promoted to a genuine identity. The winding number is literally the path length in the Cayley graph of ℤ — a count of how many times the successor function has been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π₁(S¹) ≅ ℤ via HoTT using Univalence: proved in the HoTT Book (2013) and formalized in multiple proof assistants including Agda and Lean 4.</w:t>
            </w:r>
          </w:p>
        </w:tc>
      </w:tr>
    </w:tbl>
    <w:p>
      <w:r>
        <w:t xml:space="preserve"/>
      </w:r>
    </w:p>
    <w:p>
      <w:pPr>
        <w:pStyle w:val="Heading2"/>
        <w:spacing w:before="300" w:after="150"/>
      </w:pPr>
      <w:r>
        <w:rPr>
          <w:rFonts w:ascii="Arial" w:cs="Arial" w:eastAsia="Arial" w:hAnsi="Arial"/>
          <w:b/>
          <w:bCs/>
          <w:color w:val="0D6E6E"/>
          <w:sz w:val="26"/>
          <w:szCs w:val="26"/>
        </w:rPr>
        <w:t xml:space="preserve">8.2 The Clifford Correction — ½ℤ</w:t>
      </w:r>
    </w:p>
    <w:p>
      <w:pPr>
        <w:spacing w:before="80" w:after="80" w:line="320"/>
      </w:pPr>
      <w:r>
        <w:rPr>
          <w:rFonts w:ascii="Arial" w:cs="Arial" w:eastAsia="Arial" w:hAnsi="Arial"/>
          <w:sz w:val="22"/>
          <w:szCs w:val="22"/>
        </w:rPr>
        <w:t xml:space="preserve">In Cl(2,0), rotations are represented by unit spinors. A critical fact: a full 360° rotation in SO(2) corresponds to a sign flip in the spinor representation — not the identity. The spinor returns to identity only after 720° (two full rotations). The spinor space is the double cover of the rotation group.</w:t>
      </w:r>
    </w:p>
    <w:p>
      <w:pPr>
        <w:spacing w:before="80" w:after="80" w:line="320"/>
      </w:pPr>
      <w:r>
        <w:rPr>
          <w:rFonts w:ascii="Arial" w:cs="Arial" w:eastAsia="Arial" w:hAnsi="Arial"/>
          <w:sz w:val="22"/>
          <w:szCs w:val="22"/>
        </w:rPr>
        <w:t xml:space="preserve">Therefore the winding number lives not in ℤ but in ½ℤ. Half-integer windings are genuine paths in the Clifford cover. Univalence promotes those half-integer equivalences to identities — they are real paths, not approximations. MZMs, being Majorana (their own antiparticle), sit at the fixed point of the ℤ/2 grading — the Z₂ fermion parity. Even winding = trivial parity, MZMs paired. Odd winding = non-trivial parity, unpaired MZM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Spinor double cover of SO(n), fermion parity Z₂ grading, and MZM occupation by fermion parity are established in mathematical physics and topological condensed matter.</w:t>
            </w:r>
          </w:p>
        </w:tc>
      </w:tr>
    </w:tbl>
    <w:p>
      <w:r>
        <w:t xml:space="preserve"/>
      </w:r>
    </w:p>
    <w:p>
      <w:pPr>
        <w:pStyle w:val="Heading2"/>
        <w:spacing w:before="300" w:after="150"/>
      </w:pPr>
      <w:r>
        <w:rPr>
          <w:rFonts w:ascii="Arial" w:cs="Arial" w:eastAsia="Arial" w:hAnsi="Arial"/>
          <w:b/>
          <w:bCs/>
          <w:color w:val="0D6E6E"/>
          <w:sz w:val="26"/>
          <w:szCs w:val="26"/>
        </w:rPr>
        <w:t xml:space="preserve">8.3 The Golden Angle Dynamics of the Winding Number</w:t>
      </w:r>
    </w:p>
    <w:p>
      <w:pPr>
        <w:spacing w:before="80" w:after="80" w:line="320"/>
      </w:pPr>
      <w:r>
        <w:rPr>
          <w:rFonts w:ascii="Arial" w:cs="Arial" w:eastAsia="Arial" w:hAnsi="Arial"/>
          <w:sz w:val="22"/>
          <w:szCs w:val="22"/>
        </w:rPr>
        <w:t xml:space="preserve">The golden angle is 360°/φ² per ratchet step. After n steps, accumulated rotation is n × 360°/φ². This is irrational — the path never closes in the base space. A closed loop has a well-defined integer winding number; an open path does not.</w:t>
      </w:r>
    </w:p>
    <w:p>
      <w:pPr>
        <w:spacing w:before="80" w:after="80" w:line="320"/>
      </w:pPr>
      <w:r>
        <w:rPr>
          <w:rFonts w:ascii="Arial" w:cs="Arial" w:eastAsia="Arial" w:hAnsi="Arial"/>
          <w:sz w:val="22"/>
          <w:szCs w:val="22"/>
        </w:rPr>
        <w:t xml:space="preserve">However, the path does close approximately in the universal cover at Fibonacci intervals. After F(n) steps, accumulated rotation ≈ F(n-2) full rotations — a Fibonacci number, the closest integer approximant to nφ⁻². The error follows the Fibonacci approximant error to φ — converging to zero but never reaching it.</w:t>
      </w:r>
    </w:p>
    <w:p>
      <w:pPr>
        <w:spacing w:before="80" w:after="80" w:line="320"/>
      </w:pPr>
      <w:r>
        <w:rPr>
          <w:rFonts w:ascii="Arial" w:cs="Arial" w:eastAsia="Arial" w:hAnsi="Arial"/>
          <w:sz w:val="22"/>
          <w:szCs w:val="22"/>
        </w:rPr>
        <w:t xml:space="preserve">The winding number is therefore a function of ratchet step count t:</w:t>
      </w:r>
    </w:p>
    <w:p>
      <w:pPr>
        <w:spacing w:before="120" w:after="120"/>
        <w:jc w:val="center"/>
      </w:pPr>
      <w:r>
        <w:rPr>
          <w:rFonts w:ascii="Arial" w:cs="Arial" w:eastAsia="Arial" w:hAnsi="Arial"/>
          <w:b/>
          <w:bCs/>
          <w:color w:val="1A3A5C"/>
          <w:sz w:val="26"/>
          <w:szCs w:val="26"/>
        </w:rPr>
        <w:t xml:space="preserve">w(t) = ⌊t / φ²⌋ ∈ ℤ</w:t>
      </w:r>
    </w:p>
    <w:p>
      <w:pPr>
        <w:spacing w:before="80" w:after="80" w:line="320"/>
      </w:pPr>
      <w:r>
        <w:rPr>
          <w:rFonts w:ascii="Arial" w:cs="Arial" w:eastAsia="Arial" w:hAnsi="Arial"/>
          <w:sz w:val="22"/>
          <w:szCs w:val="22"/>
        </w:rPr>
        <w:t xml:space="preserve">It advances approximately once every φ² ≈ 2.618 ratchet clicks. It never advances smoothly — it waits, then jumps. The advance is a step function with golden-ratio-spaced discontinuities.</w:t>
      </w:r>
    </w:p>
    <w:p>
      <w:pPr>
        <w:pStyle w:val="Heading2"/>
        <w:spacing w:before="300" w:after="150"/>
      </w:pPr>
      <w:r>
        <w:rPr>
          <w:rFonts w:ascii="Arial" w:cs="Arial" w:eastAsia="Arial" w:hAnsi="Arial"/>
          <w:b/>
          <w:bCs/>
          <w:color w:val="0D6E6E"/>
          <w:sz w:val="26"/>
          <w:szCs w:val="26"/>
        </w:rPr>
        <w:t xml:space="preserve">8.4 What Univalence Contributes</w:t>
      </w:r>
    </w:p>
    <w:p>
      <w:pPr>
        <w:spacing w:before="80" w:after="80" w:line="320"/>
      </w:pPr>
      <w:r>
        <w:rPr>
          <w:rFonts w:ascii="Arial" w:cs="Arial" w:eastAsia="Arial" w:hAnsi="Arial"/>
          <w:sz w:val="22"/>
          <w:szCs w:val="22"/>
        </w:rPr>
        <w:t xml:space="preserve">Each time w(t) increments by 1, the new configuration of the system is equivalent to the previous configuration shifted by one ratchet click. The Univalence Axiom promotes this equivalence to an identity:</w:t>
      </w:r>
    </w:p>
    <w:p>
      <w:pPr>
        <w:spacing w:before="100" w:after="100"/>
        <w:jc w:val="center"/>
      </w:pPr>
      <w:r>
        <w:rPr>
          <w:rFonts w:ascii="Arial" w:cs="Arial" w:eastAsia="Arial" w:hAnsi="Arial"/>
          <w:b/>
          <w:bCs/>
          <w:i/>
          <w:iCs/>
          <w:color w:val="1A3A5C"/>
          <w:sz w:val="22"/>
          <w:szCs w:val="22"/>
        </w:rPr>
        <w:t xml:space="preserve">(State_n ≃ State_{n+1}) = (State_n = State_{n+1})</w:t>
      </w:r>
    </w:p>
    <w:p>
      <w:pPr>
        <w:spacing w:before="80" w:after="80" w:line="320"/>
      </w:pPr>
      <w:r>
        <w:rPr>
          <w:rFonts w:ascii="Arial" w:cs="Arial" w:eastAsia="Arial" w:hAnsi="Arial"/>
          <w:sz w:val="22"/>
          <w:szCs w:val="22"/>
        </w:rPr>
        <w:t xml:space="preserve">The equivalence is an identity. The system at winding number n+1 is not merely similar to the system at n — it is that system, shifted. The self-similarity of the quasiperiodic ratchet under one golden-angle step becomes a genuine identity, not a structural resemblance.</w:t>
      </w:r>
    </w:p>
    <w:p>
      <w:pPr>
        <w:spacing w:before="80" w:after="80" w:line="320"/>
      </w:pPr>
      <w:r>
        <w:rPr>
          <w:rFonts w:ascii="Arial" w:cs="Arial" w:eastAsia="Arial" w:hAnsi="Arial"/>
          <w:sz w:val="22"/>
          <w:szCs w:val="22"/>
        </w:rPr>
        <w:t xml:space="preserve">The winding number therefore indexes how many times the system has been identical to itself — a count of self-equivalences. In HoTT, this is precisely what fundamental group elements are: paths, not labels. Each ratchet click is an application of succ in ℤ. The path is the proof.</w:t>
      </w:r>
    </w:p>
    <w:p>
      <w:pPr>
        <w:pStyle w:val="Heading2"/>
        <w:spacing w:before="300" w:after="150"/>
      </w:pPr>
      <w:r>
        <w:rPr>
          <w:rFonts w:ascii="Arial" w:cs="Arial" w:eastAsia="Arial" w:hAnsi="Arial"/>
          <w:b/>
          <w:bCs/>
          <w:color w:val="0D6E6E"/>
          <w:sz w:val="26"/>
          <w:szCs w:val="26"/>
        </w:rPr>
        <w:t xml:space="preserve">8.5 The Fermion Parity Clock</w:t>
      </w:r>
    </w:p>
    <w:p>
      <w:pPr>
        <w:spacing w:before="80" w:after="80" w:line="320"/>
      </w:pPr>
      <w:r>
        <w:rPr>
          <w:rFonts w:ascii="Arial" w:cs="Arial" w:eastAsia="Arial" w:hAnsi="Arial"/>
          <w:sz w:val="22"/>
          <w:szCs w:val="22"/>
        </w:rPr>
        <w:t xml:space="preserve">The winding number mod 2 gives fermion parity, which determines MZM occupation. w(t) mod 2 oscillates quasiperiodically — neither periodic nor random. The ratchet's irreversibility means this oscillation moves only forward. Fermion parity becomes a clock, and the clock runs at rate 1/φ².</w:t>
      </w:r>
    </w:p>
    <w:p>
      <w:pPr>
        <w:spacing w:before="80" w:after="80" w:line="320"/>
      </w:pPr>
      <w:r>
        <w:rPr>
          <w:rFonts w:ascii="Arial" w:cs="Arial" w:eastAsia="Arial" w:hAnsi="Arial"/>
          <w:sz w:val="22"/>
          <w:szCs w:val="22"/>
        </w:rPr>
        <w:t xml:space="preserve">If time is the friction (Section 6), and the winding number advances at the grinding rate, then the winding number is accumulated time — not a metaphor, but the literal ℤ-valued count of temporal steps in the universal cover of the configuration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Narrow" w:cs="Arial Narrow" w:eastAsia="Arial Narrow" w:hAnsi="Arial Narrow"/>
                <w:b/>
                <w:bCs/>
                <w:color w:val="1B5E20"/>
                <w:sz w:val="16"/>
                <w:szCs w:val="16"/>
              </w:rPr>
              <w:t xml:space="preserve">PROVED</w:t>
            </w:r>
          </w:p>
        </w:tc>
        <w:tc>
          <w:tcPr>
            <w:tcW w:type="dxa" w:w="8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pPr>
              <w:spacing w:line="300"/>
            </w:pPr>
            <w:r>
              <w:rPr>
                <w:rFonts w:ascii="Arial" w:cs="Arial" w:eastAsia="Arial" w:hAnsi="Arial"/>
                <w:color w:val="222222"/>
                <w:sz w:val="20"/>
                <w:szCs w:val="20"/>
              </w:rPr>
              <w:t xml:space="preserve">The winding number interpretation in HoTT and the fermion parity Z₂ grading in Clifford algebras are established. The identification of Fibonacci-interval approximate closure is a mathematical fact following from properties of φ.</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That the Univalence-promoted self-equivalence of ratchet states at Fibonacci intervals is the correct formal account of the system's temporal self-similarity. This requires developing the full type-theoretic model of the ratchet state space.</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9. Unified Summary and Open Questions</w:t>
      </w:r>
    </w:p>
    <w:p>
      <w:pPr>
        <w:pStyle w:val="Heading2"/>
        <w:spacing w:before="300" w:after="150"/>
      </w:pPr>
      <w:r>
        <w:rPr>
          <w:rFonts w:ascii="Arial" w:cs="Arial" w:eastAsia="Arial" w:hAnsi="Arial"/>
          <w:b/>
          <w:bCs/>
          <w:color w:val="0D6E6E"/>
          <w:sz w:val="26"/>
          <w:szCs w:val="26"/>
        </w:rPr>
        <w:t xml:space="preserve">9.1 The Full Construction</w:t>
      </w:r>
    </w:p>
    <w:p>
      <w:pPr>
        <w:spacing w:before="80" w:after="80" w:line="320"/>
      </w:pPr>
      <w:r>
        <w:rPr>
          <w:rFonts w:ascii="Arial" w:cs="Arial" w:eastAsia="Arial" w:hAnsi="Arial"/>
          <w:sz w:val="22"/>
          <w:szCs w:val="22"/>
        </w:rPr>
        <w:t xml:space="preserve">Assembled in sequence, the construction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20"/>
              <w:left w:type="dxa" w:w="200"/>
              <w:bottom w:type="dxa" w:w="120"/>
              <w:right w:type="dxa" w:w="200"/>
            </w:tcMar>
          </w:tcPr>
          <w:p>
            <w:r>
              <w:rPr>
                <w:rFonts w:ascii="Arial" w:cs="Arial" w:eastAsia="Arial" w:hAnsi="Arial"/>
                <w:b/>
                <w:bCs/>
                <w:color w:val="1A3A5C"/>
                <w:sz w:val="20"/>
                <w:szCs w:val="20"/>
              </w:rPr>
              <w:t xml:space="preserve">Construction Chain</w:t>
            </w:r>
          </w:p>
          <w:p>
            <w:pPr>
              <w:spacing w:line="300"/>
            </w:pPr>
            <w:r>
              <w:rPr>
                <w:rFonts w:ascii="Arial" w:cs="Arial" w:eastAsia="Arial" w:hAnsi="Arial"/>
                <w:color w:val="333333"/>
                <w:sz w:val="20"/>
                <w:szCs w:val="20"/>
              </w:rPr>
              <w:t xml:space="preserve">1. GOLDEN ANGLE SCREW: A helical path rotating by θ_g ≈ 137.5° per step — doubly quasiperiodic, never closing, maximally space-filling.
2. PENROSE P3 SUBSTRATE: A quasiperiodic tiling φ-native at every level, with 5/7 curvature operators when defected.
3. SW DEFECT BUCKLING: Bond rotations create 5-7-7-5 paired curvature defects, producing a dynamic corrugated non-Euclidean surface.
4. 5/7 GRINDING RATCHET: Prime incompatibility creates angular mismatch, preferred slip direction, broken time-reversal symmetry, and quasiperiodic grinding rhythm.
5. MZM LOCALIZATION: 5/7 domain walls host MZMs; golden angle screw selects a chiral 1D chain; ratchet provides chirality.
6. TIME AS FRICTION: Temporal flow corresponds to topological state-change rate at grinding interfaces.
7. WINDING NUMBER: w(t) = ⌊t/φ²⌋ ∈ ½ℤ (Clifford-corrected), advances quasiperiodically, parity is MZM occupation; Univalence makes each step a self-identity.</w:t>
            </w:r>
          </w:p>
        </w:tc>
      </w:tr>
    </w:tbl>
    <w:p>
      <w:r>
        <w:t xml:space="preserve"/>
      </w:r>
    </w:p>
    <w:p>
      <w:pPr>
        <w:pStyle w:val="Heading2"/>
        <w:spacing w:before="300" w:after="150"/>
      </w:pPr>
      <w:r>
        <w:rPr>
          <w:rFonts w:ascii="Arial" w:cs="Arial" w:eastAsia="Arial" w:hAnsi="Arial"/>
          <w:b/>
          <w:bCs/>
          <w:color w:val="0D6E6E"/>
          <w:sz w:val="26"/>
          <w:szCs w:val="26"/>
        </w:rPr>
        <w:t xml:space="preserve">9.2 Open Questions Requiring Formalization</w:t>
      </w:r>
    </w:p>
    <w:p>
      <w:pPr>
        <w:spacing w:before="80" w:after="80" w:line="320"/>
      </w:pPr>
      <w:r>
        <w:rPr>
          <w:rFonts w:ascii="Arial" w:cs="Arial" w:eastAsia="Arial" w:hAnsi="Arial"/>
          <w:sz w:val="22"/>
          <w:szCs w:val="22"/>
        </w:rPr>
        <w:t xml:space="preserve">The following questions determine whether the construction becomes a theorem or remains a productive conjecture: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Q1. Topological invariant: Does the Hamiltonian of the buckled 5/7 lattice have a non-trivial Chern number or Z₂ index at 5/7 boundaries? This is the core requirement for MZM localization.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Q2. Ratchet stability: What is the Peierls-Nabarro barrier for 5/7 slip in a Penrose-seeded quasiperiodic lattice? Does the ratchet survive thermal fluctuations at any experimentally accessible temperature?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Q3. MZM chain stability: Is the golden-angle-selected 1D MZM chain protected against SW defect migration on timescales relevant to quantum computation?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Narrow" w:cs="Arial Narrow" w:eastAsia="Arial Narrow" w:hAnsi="Arial Narrow"/>
                <w:b/>
                <w:bCs/>
                <w:color w:val="880E4F"/>
                <w:sz w:val="16"/>
                <w:szCs w:val="16"/>
              </w:rPr>
              <w:t xml:space="preserve">CONJECTURED</w:t>
            </w:r>
          </w:p>
        </w:tc>
        <w:tc>
          <w:tcPr>
            <w:tcW w:type="dxa" w:w="8560"/>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20"/>
            </w:tcMar>
          </w:tcPr>
          <w:p>
            <w:pPr>
              <w:spacing w:line="300"/>
            </w:pPr>
            <w:r>
              <w:rPr>
                <w:rFonts w:ascii="Arial" w:cs="Arial" w:eastAsia="Arial" w:hAnsi="Arial"/>
                <w:color w:val="222222"/>
                <w:sz w:val="20"/>
                <w:szCs w:val="20"/>
              </w:rPr>
              <w:t xml:space="preserve">Q4. Temporal hypothesis: Can the rate of topological state-change in the defect network be formally connected to a physical time parameter — e.g., via Connes-Rovelli thermal time or an entropic time functional?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Narrow" w:cs="Arial Narrow" w:eastAsia="Arial Narrow" w:hAnsi="Arial Narrow"/>
                <w:b/>
                <w:bCs/>
                <w:color w:val="E65100"/>
                <w:sz w:val="16"/>
                <w:szCs w:val="16"/>
              </w:rPr>
              <w:t xml:space="preserve">SPECULATIVE</w:t>
            </w:r>
          </w:p>
        </w:tc>
        <w:tc>
          <w:tcPr>
            <w:tcW w:type="dxa" w:w="85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pPr>
              <w:spacing w:line="300"/>
            </w:pPr>
            <w:r>
              <w:rPr>
                <w:rFonts w:ascii="Arial" w:cs="Arial" w:eastAsia="Arial" w:hAnsi="Arial"/>
                <w:color w:val="222222"/>
                <w:sz w:val="20"/>
                <w:szCs w:val="20"/>
              </w:rPr>
              <w:t xml:space="preserve">Q5. Winding number as time: Is w(t) = ⌊t/φ²⌋ the correct formal identification of accumulated time in this system, or does a more refined measure (e.g., a continuous winding in the covering space) better capture the temporal structure?</w:t>
            </w:r>
          </w:p>
        </w:tc>
      </w:tr>
    </w:tbl>
    <w:p>
      <w:pPr>
        <w:pStyle w:val="Heading2"/>
        <w:spacing w:before="300" w:after="150"/>
      </w:pPr>
      <w:r>
        <w:rPr>
          <w:rFonts w:ascii="Arial" w:cs="Arial" w:eastAsia="Arial" w:hAnsi="Arial"/>
          <w:b/>
          <w:bCs/>
          <w:color w:val="0D6E6E"/>
          <w:sz w:val="26"/>
          <w:szCs w:val="26"/>
        </w:rPr>
        <w:t xml:space="preserve">9.3 Nearest Established Research Domains</w:t>
      </w:r>
    </w:p>
    <w:p>
      <w:pPr>
        <w:spacing w:before="80" w:after="80" w:line="320"/>
      </w:pPr>
      <w:r>
        <w:rPr>
          <w:rFonts w:ascii="Arial" w:cs="Arial" w:eastAsia="Arial" w:hAnsi="Arial"/>
          <w:sz w:val="22"/>
          <w:szCs w:val="22"/>
        </w:rPr>
        <w:t xml:space="preserve">The construction is closest to the following active research areas:</w:t>
      </w:r>
    </w:p>
    <w:p>
      <w:pPr>
        <w:spacing w:before="120" w:after="80"/>
      </w:pPr>
      <w:r>
        <w:rPr>
          <w:rFonts w:ascii="Arial" w:cs="Arial" w:eastAsia="Arial" w:hAnsi="Arial"/>
          <w:b/>
          <w:bCs/>
          <w:color w:val="555555"/>
          <w:sz w:val="20"/>
          <w:szCs w:val="20"/>
        </w:rPr>
        <w:t xml:space="preserve">Research Domain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This Construction</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Established Physics / Mathematics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Topological invariant computation</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Discrete differential geometry — Bobenko, Schröder: curvature on polyhedral surfaces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Curved quasicrystals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Sadoc and Mosseri: frustration and quasiperiodic order on curved manifolds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Amorphous topological phases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Agarwala and Shenoy: topological phases in amorphous lattices without long-range order</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Topological mechanics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Kane and Lubensky: protected edge modes in defect networks of mechanical lattices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Emergent time</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Connes-Rovelli thermal time hypothesis; Ambjorn-Jurkiewicz-Loll causal dynamical triangulations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3A5C"/>
                <w:sz w:val="20"/>
                <w:szCs w:val="20"/>
              </w:rPr>
              <w:t xml:space="preserve">Formal verification of physics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PhysLean project: Lean 4 formalization of quantum mechanics and particle physics</w:t>
            </w:r>
          </w:p>
        </w:tc>
      </w:tr>
    </w:tbl>
    <w:p>
      <w:pPr>
        <w:pBdr>
          <w:bottom w:val="single" w:color="CCDDEE" w:sz="4" w:space="1"/>
        </w:pBdr>
        <w:spacing w:before="200" w:after="200"/>
      </w:pPr>
      <w:r>
        <w:t xml:space="preserve"/>
      </w:r>
    </w:p>
    <w:p>
      <w:pPr>
        <w:pStyle w:val="Heading1"/>
        <w:spacing w:before="400" w:after="200"/>
      </w:pPr>
      <w:r>
        <w:rPr>
          <w:rFonts w:ascii="Arial" w:cs="Arial" w:eastAsia="Arial" w:hAnsi="Arial"/>
          <w:b/>
          <w:bCs/>
          <w:color w:val="1A3A5C"/>
          <w:sz w:val="34"/>
          <w:szCs w:val="34"/>
        </w:rPr>
        <w:t xml:space="preserve">10. Methodological Note</w:t>
      </w:r>
    </w:p>
    <w:p>
      <w:pPr>
        <w:spacing w:before="80" w:after="80" w:line="320"/>
      </w:pPr>
      <w:r>
        <w:rPr>
          <w:rFonts w:ascii="Arial" w:cs="Arial" w:eastAsia="Arial" w:hAnsi="Arial"/>
          <w:sz w:val="22"/>
          <w:szCs w:val="22"/>
        </w:rPr>
        <w:t xml:space="preserve">This thesis was developed via AI-assisted geometric reasoning — an iterative dialogue in which each step was proposed, stress-tested, and refined. No institutional support was involved. The epistemic tagging discipline (PROVED / DEMONSTRATED / SPECULATIVE / CONJECTURED) is applied throughout as a structural commitment, not a disclaimer: the goal is to make the boundary between established and novel content explicit at every claim.</w:t>
      </w:r>
    </w:p>
    <w:p>
      <w:pPr>
        <w:spacing w:before="80" w:after="80" w:line="320"/>
      </w:pPr>
      <w:r>
        <w:rPr>
          <w:rFonts w:ascii="Arial" w:cs="Arial" w:eastAsia="Arial" w:hAnsi="Arial"/>
          <w:sz w:val="22"/>
          <w:szCs w:val="22"/>
        </w:rPr>
        <w:t xml:space="preserve">The 'compiler is the credential' principle applies: claims tagged PROVED have formal proofs in the literature or in machine-checked proof assistants. Claims tagged CONJECTURED are falsifiable and formalization-ready. The construction is presented not as a finished theory but as a precisely mapped frontier — identifying exactly where the known ends and the new begins.</w:t>
      </w:r>
    </w:p>
    <w:p>
      <w:pPr>
        <w:spacing w:before="80" w:after="80" w:line="320"/>
      </w:pPr>
      <w:r>
        <w:rPr>
          <w:rFonts w:ascii="Arial" w:cs="Arial" w:eastAsia="Arial" w:hAnsi="Arial"/>
          <w:sz w:val="22"/>
          <w:szCs w:val="22"/>
        </w:rPr>
        <w:t xml:space="preserve">The Lean 4 formalization project (Geometry of State) provides the formal substrate into which the PROVED components of this construction are being integrated. The CONJECTURED components define the next layer of work.</w:t>
      </w:r>
    </w:p>
    <w:p>
      <w:r>
        <w:t xml:space="preserve"/>
      </w:r>
    </w:p>
    <w:p>
      <w:r>
        <w:t xml:space="preserve"/>
      </w:r>
    </w:p>
    <w:p>
      <w:pPr>
        <w:spacing w:before="200" w:after="100"/>
        <w:jc w:val="center"/>
      </w:pPr>
      <w:r>
        <w:rPr>
          <w:rFonts w:ascii="Arial" w:cs="Arial" w:eastAsia="Arial" w:hAnsi="Arial"/>
          <w:i/>
          <w:iCs/>
          <w:color w:val="555555"/>
          <w:sz w:val="20"/>
          <w:szCs w:val="20"/>
        </w:rPr>
        <w:t xml:space="preserve">— End of Working Thesis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Quasiperiodic Topological Ratchet — Working Thesis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4"/>
      <w:szCs w:val="34"/>
    </w:rPr>
  </w:style>
  <w:style w:type="paragraph" w:styleId="Heading2">
    <w:name w:val="Heading 2"/>
    <w:basedOn w:val="Normal"/>
    <w:next w:val="Normal"/>
    <w:qFormat/>
    <w:pPr>
      <w:spacing w:before="300" w:after="150"/>
      <w:outlineLvl w:val="1"/>
    </w:pPr>
    <w:rPr>
      <w:rFonts w:ascii="Arial" w:cs="Arial" w:eastAsia="Arial" w:hAnsi="Arial"/>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2026-03-17T06:22:08.188Z</dcterms:created>
  <dcterms:modified xsi:type="dcterms:W3CDTF">2026-03-17T06:22:08.189Z</dcterms:modified>
</cp:coreProperties>
</file>

<file path=docProps/custom.xml><?xml version="1.0" encoding="utf-8"?>
<Properties xmlns="http://schemas.openxmlformats.org/officeDocument/2006/custom-properties" xmlns:vt="http://schemas.openxmlformats.org/officeDocument/2006/docPropsVTypes"/>
</file>