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2E75B6"/>
          <w:spacing w:val="200"/>
          <w:sz w:val="28"/>
          <w:szCs w:val="28"/>
        </w:rPr>
        <w:t xml:space="preserve">ENGINEERING SPECIFICATION</w:t>
      </w:r>
    </w:p>
    <w:p>
      <w:pPr>
        <w:spacing w:after="80"/>
        <w:jc w:val="center"/>
      </w:pPr>
      <w:r>
        <w:rPr>
          <w:rFonts w:ascii="Arial" w:cs="Arial" w:eastAsia="Arial" w:hAnsi="Arial"/>
          <w:b/>
          <w:bCs/>
          <w:color w:val="1B2A4A"/>
          <w:sz w:val="52"/>
          <w:szCs w:val="52"/>
        </w:rPr>
        <w:t xml:space="preserve">Fractonic Weyl Semimetal</w:t>
      </w:r>
    </w:p>
    <w:p>
      <w:pPr>
        <w:spacing w:after="60"/>
        <w:jc w:val="center"/>
      </w:pPr>
      <w:r>
        <w:rPr>
          <w:rFonts w:ascii="Arial" w:cs="Arial" w:eastAsia="Arial" w:hAnsi="Arial"/>
          <w:color w:val="1B2A4A"/>
          <w:sz w:val="36"/>
          <w:szCs w:val="36"/>
        </w:rPr>
        <w:t xml:space="preserve">Systems Architecture</w:t>
      </w:r>
    </w:p>
    <w:p>
      <w:pPr>
        <w:pBdr>
          <w:bottom w:val="single" w:color="2E75B6" w:sz="6" w:space="1"/>
        </w:pBdr>
        <w:spacing w:after="400"/>
        <w:jc w:val="center"/>
      </w:pPr>
    </w:p>
    <w:p>
      <w:pPr>
        <w:spacing w:after="80"/>
        <w:jc w:val="center"/>
      </w:pPr>
      <w:r>
        <w:rPr>
          <w:rFonts w:ascii="Arial" w:cs="Arial" w:eastAsia="Arial" w:hAnsi="Arial"/>
          <w:color w:val="666666"/>
          <w:sz w:val="24"/>
          <w:szCs w:val="24"/>
        </w:rPr>
        <w:t xml:space="preserve">Penrose-Patterned Graphene on Isotopically Pure Substrate</w:t>
      </w:r>
    </w:p>
    <w:p>
      <w:pPr>
        <w:spacing w:after="40"/>
        <w:jc w:val="center"/>
      </w:pPr>
      <w:r>
        <w:rPr>
          <w:rFonts w:ascii="Arial" w:cs="Arial" w:eastAsia="Arial" w:hAnsi="Arial"/>
          <w:color w:val="666666"/>
          <w:sz w:val="24"/>
          <w:szCs w:val="24"/>
        </w:rPr>
        <w:t xml:space="preserve">with Niobium Superconducting Interface and Helium Hamiltonian Tuning</w:t>
      </w:r>
    </w:p>
    <w:p>
      <w:pPr>
        <w:spacing w:before="1200"/>
      </w:pPr>
    </w:p>
    <w:p>
      <w:pPr>
        <w:spacing w:after="80"/>
        <w:jc w:val="center"/>
      </w:pPr>
      <w:r>
        <w:rPr>
          <w:rFonts w:ascii="Arial" w:cs="Arial" w:eastAsia="Arial" w:hAnsi="Arial"/>
          <w:b/>
          <w:bCs/>
          <w:color w:val="1B2A4A"/>
          <w:sz w:val="24"/>
          <w:szCs w:val="24"/>
        </w:rPr>
        <w:t xml:space="preserve">Geometry of State (GoS) Framework</w:t>
      </w:r>
    </w:p>
    <w:p>
      <w:pPr>
        <w:spacing w:after="40"/>
        <w:jc w:val="center"/>
      </w:pPr>
      <w:r>
        <w:rPr>
          <w:rFonts w:ascii="Arial" w:cs="Arial" w:eastAsia="Arial" w:hAnsi="Arial"/>
          <w:color w:val="333333"/>
          <w:sz w:val="22"/>
          <w:szCs w:val="22"/>
        </w:rPr>
        <w:t xml:space="preserve">Adrian — GoS-Architect</w:t>
      </w:r>
    </w:p>
    <w:p>
      <w:pPr>
        <w:spacing w:after="40"/>
        <w:jc w:val="center"/>
      </w:pPr>
      <w:r>
        <w:rPr>
          <w:rFonts w:ascii="Arial" w:cs="Arial" w:eastAsia="Arial" w:hAnsi="Arial"/>
          <w:color w:val="2E75B6"/>
          <w:sz w:val="20"/>
          <w:szCs w:val="20"/>
        </w:rPr>
        <w:t xml:space="preserve">github.com/GoS-Architect</w:t>
      </w:r>
    </w:p>
    <w:p>
      <w:pPr>
        <w:spacing w:after="0"/>
        <w:jc w:val="center"/>
      </w:pPr>
      <w:r>
        <w:rPr>
          <w:rFonts w:ascii="Arial" w:cs="Arial" w:eastAsia="Arial" w:hAnsi="Arial"/>
          <w:color w:val="666666"/>
          <w:sz w:val="20"/>
          <w:szCs w:val="20"/>
        </w:rPr>
        <w:t xml:space="preserve">March 2026  |  Revision 1.0  |  DRAFT — SPECULATIVE</w:t>
      </w:r>
    </w:p>
    <w:p>
      <w:r>
        <w:br w:type="page"/>
      </w:r>
    </w:p>
    <w:p>
      <w:pPr>
        <w:pBdr>
          <w:top w:val="single" w:color="2E75B6" w:sz="4" w:space="4"/>
          <w:bottom w:val="single" w:color="2E75B6" w:sz="4" w:space="4"/>
        </w:pBdr>
        <w:spacing w:after="200" w:before="100"/>
        <w:jc w:val="center"/>
      </w:pPr>
      <w:r>
        <w:rPr>
          <w:rFonts w:ascii="Arial" w:cs="Arial" w:eastAsia="Arial" w:hAnsi="Arial"/>
          <w:b/>
          <w:bCs/>
          <w:color w:val="1B2A4A"/>
          <w:sz w:val="24"/>
          <w:szCs w:val="24"/>
        </w:rPr>
        <w:t xml:space="preserve">EPISTEMIC STATUS CLASSIFICATION</w:t>
      </w:r>
    </w:p>
    <w:p>
      <w:pPr>
        <w:spacing w:after="200" w:before="0" w:line="276"/>
        <w:jc w:val="left"/>
      </w:pPr>
      <w:r>
        <w:rPr>
          <w:rFonts w:ascii="Arial" w:cs="Arial" w:eastAsia="Arial" w:hAnsi="Arial"/>
          <w:color w:val="333333"/>
          <w:sz w:val="22"/>
          <w:szCs w:val="22"/>
        </w:rPr>
        <w:t xml:space="preserve">This specification employs explicit epistemic tagging throughout. Every claim is classified according to the following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D8B4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ESTABLISHED</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color w:val="333333"/>
                <w:sz w:val="20"/>
                <w:szCs w:val="20"/>
              </w:rPr>
              <w:t xml:space="preserve">Experimentally verified or mathematically proven in peer-reviewed literature.</w:t>
            </w:r>
          </w:p>
        </w:tc>
      </w:tr>
      <w:tr>
        <w:tc>
          <w:tcPr>
            <w:tcW w:type="dxa" w:w="22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MOTIVATED</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color w:val="333333"/>
                <w:sz w:val="20"/>
                <w:szCs w:val="20"/>
              </w:rPr>
              <w:t xml:space="preserve">Theoretically grounded with known mathematical bridges, but not yet experimentally demonstrated in this specific configuration.</w:t>
            </w:r>
          </w:p>
        </w:tc>
      </w:tr>
      <w:tr>
        <w:tc>
          <w:tcPr>
            <w:tcW w:type="dxa" w:w="2200"/>
            <w:tcBorders>
              <w:top w:val="none" w:color="FFFFFF" w:sz="0"/>
              <w:left w:val="none" w:color="FFFFFF" w:sz="0"/>
              <w:bottom w:val="none" w:color="FFFFFF" w:sz="0"/>
              <w:right w:val="none" w:color="FFFFFF" w:sz="0"/>
            </w:tcBorders>
            <w:shd w:fill="D4760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SPECULATIVE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color w:val="333333"/>
                <w:sz w:val="20"/>
                <w:szCs w:val="20"/>
              </w:rPr>
              <w:t xml:space="preserve">Novel synthesis or extrapolation beyond current literature. Plausible but unverified.</w:t>
            </w:r>
          </w:p>
        </w:tc>
      </w:tr>
    </w:tbl>
    <w:p>
      <w:pPr>
        <w:spacing w:after="200" w:before="200"/>
      </w:pPr>
    </w:p>
    <w:p>
      <w:pPr>
        <w:spacing w:after="200" w:before="0" w:line="276"/>
        <w:jc w:val="left"/>
      </w:pPr>
      <w:r>
        <w:rPr>
          <w:rFonts w:ascii="Arial" w:cs="Arial" w:eastAsia="Arial" w:hAnsi="Arial"/>
          <w:color w:val="333333"/>
          <w:sz w:val="22"/>
          <w:szCs w:val="22"/>
        </w:rPr>
        <w:t xml:space="preserve">No claim in this document should be interpreted as experimentally demonstrated unless explicitly tagged ESTABLISHED. The architecture described herein is a design proposal grounded in individually established physics, connected through theoretically motivated bridges, terminating in speculative predictions.</w:t>
      </w:r>
    </w:p>
    <w:p>
      <w:r>
        <w:br w:type="page"/>
      </w:r>
    </w:p>
    <w:p>
      <w:pPr>
        <w:pStyle w:val="Heading1"/>
      </w:pPr>
      <w:r>
        <w:t xml:space="preserve">1. System Overview</w:t>
      </w:r>
    </w:p>
    <w:p>
      <w:pPr>
        <w:spacing w:after="160" w:before="0" w:line="276"/>
        <w:jc w:val="left"/>
      </w:pPr>
      <w:r>
        <w:rPr>
          <w:rFonts w:ascii="Arial" w:cs="Arial" w:eastAsia="Arial" w:hAnsi="Arial"/>
          <w:color w:val="333333"/>
          <w:sz w:val="22"/>
          <w:szCs w:val="22"/>
        </w:rPr>
        <w:t xml:space="preserve">This document specifies the engineering architecture for a novel condensed matter device designed to realize a Fractonic Weyl Semimetal phase whose ground state constitutes a condensed matter analog of the Kodama state from quantum gravity. The system is constructed as a vertical heterostructure stack, where each layer performs a distinct physical function, from noise suppression through curvature engineering to active Hamiltonian control.</w:t>
      </w:r>
    </w:p>
    <w:p>
      <w:pPr>
        <w:spacing w:after="160" w:before="0" w:line="276"/>
        <w:jc w:val="left"/>
      </w:pPr>
      <w:r>
        <w:rPr>
          <w:rFonts w:ascii="Arial" w:cs="Arial" w:eastAsia="Arial" w:hAnsi="Arial"/>
          <w:color w:val="333333"/>
          <w:sz w:val="22"/>
          <w:szCs w:val="22"/>
        </w:rPr>
        <w:t xml:space="preserve">The architecture integrates five established domains of physics into a single device concept: isotopic purification for quantum coherence, quasicrystalline geometry for aperiodic curvature fields, topological superconductivity via proximity effect, fracton physics from tensor gauge theory, and Chern-Simons topological field theory.</w:t>
      </w:r>
    </w:p>
    <w:p>
      <w:pPr>
        <w:spacing w:after="200" w:before="200"/>
      </w:pPr>
    </w:p>
    <w:p>
      <w:pPr>
        <w:pStyle w:val="Heading2"/>
      </w:pPr>
      <w:r>
        <w:t xml:space="preserve">1.1 Design Philosophy</w:t>
      </w:r>
    </w:p>
    <w:p>
      <w:pPr>
        <w:spacing w:after="160" w:before="0" w:line="276"/>
        <w:jc w:val="left"/>
      </w:pPr>
      <w:r>
        <w:rPr>
          <w:rFonts w:ascii="Arial" w:cs="Arial" w:eastAsia="Arial" w:hAnsi="Arial"/>
          <w:color w:val="333333"/>
          <w:sz w:val="22"/>
          <w:szCs w:val="22"/>
        </w:rPr>
        <w:t xml:space="preserve">The central principle is separation of concerns across the material stack. Each layer addresses one physical requirement independently, enabling modular optimization without disturbing the function of adjacent layers:</w:t>
      </w:r>
    </w:p>
    <w:p>
      <w:pPr>
        <w:pStyle w:val="ListParagraph"/>
        <w:numPr>
          <w:ilvl w:val="0"/>
          <w:numId w:val="2"/>
        </w:numPr>
        <w:spacing w:after="80" w:line="276"/>
      </w:pPr>
      <w:r>
        <w:rPr>
          <w:rFonts w:ascii="Arial" w:cs="Arial" w:eastAsia="Arial" w:hAnsi="Arial"/>
          <w:color w:val="333333"/>
          <w:sz w:val="22"/>
          <w:szCs w:val="22"/>
        </w:rPr>
        <w:t xml:space="preserve">Substrate layers suppress decoherence from nuclear spin noise.</w:t>
      </w:r>
    </w:p>
    <w:p>
      <w:pPr>
        <w:pStyle w:val="ListParagraph"/>
        <w:numPr>
          <w:ilvl w:val="0"/>
          <w:numId w:val="2"/>
        </w:numPr>
        <w:spacing w:after="80" w:line="276"/>
      </w:pPr>
      <w:r>
        <w:rPr>
          <w:rFonts w:ascii="Arial" w:cs="Arial" w:eastAsia="Arial" w:hAnsi="Arial"/>
          <w:color w:val="333333"/>
          <w:sz w:val="22"/>
          <w:szCs w:val="22"/>
        </w:rPr>
        <w:t xml:space="preserve">The active layer engineers the geometric and topological content of the effective Hamiltonian.</w:t>
      </w:r>
    </w:p>
    <w:p>
      <w:pPr>
        <w:pStyle w:val="ListParagraph"/>
        <w:numPr>
          <w:ilvl w:val="0"/>
          <w:numId w:val="2"/>
        </w:numPr>
        <w:spacing w:after="80" w:line="276"/>
      </w:pPr>
      <w:r>
        <w:rPr>
          <w:rFonts w:ascii="Arial" w:cs="Arial" w:eastAsia="Arial" w:hAnsi="Arial"/>
          <w:color w:val="333333"/>
          <w:sz w:val="22"/>
          <w:szCs w:val="22"/>
        </w:rPr>
        <w:t xml:space="preserve">The superconducting interface activates topological pairing channels.</w:t>
      </w:r>
    </w:p>
    <w:p>
      <w:pPr>
        <w:pStyle w:val="ListParagraph"/>
        <w:numPr>
          <w:ilvl w:val="0"/>
          <w:numId w:val="2"/>
        </w:numPr>
        <w:spacing w:after="80" w:line="276"/>
      </w:pPr>
      <w:r>
        <w:rPr>
          <w:rFonts w:ascii="Arial" w:cs="Arial" w:eastAsia="Arial" w:hAnsi="Arial"/>
          <w:color w:val="333333"/>
          <w:sz w:val="22"/>
          <w:szCs w:val="22"/>
        </w:rPr>
        <w:t xml:space="preserve">The cryogenic environment provides continuous, non-destructive Hamiltonian tuning.</w:t>
      </w:r>
    </w:p>
    <w:p>
      <w:pPr>
        <w:spacing w:after="200" w:before="200"/>
      </w:pPr>
    </w:p>
    <w:p>
      <w:pPr>
        <w:pStyle w:val="Heading2"/>
      </w:pPr>
      <w:r>
        <w:t xml:space="preserve">1.2 Target Emergent Phase</w:t>
      </w:r>
    </w:p>
    <w:p>
      <w:pPr>
        <w:spacing w:after="160" w:before="0" w:line="276"/>
        <w:jc w:val="left"/>
      </w:pPr>
      <w:r>
        <w:rPr>
          <w:rFonts w:ascii="Arial" w:cs="Arial" w:eastAsia="Arial" w:hAnsi="Arial"/>
          <w:color w:val="333333"/>
          <w:sz w:val="22"/>
          <w:szCs w:val="22"/>
        </w:rPr>
        <w:t xml:space="preserve">The target phase is a Fractonic Weyl Semimetal: a state of matter hosting quasiparticle excitations (fractons) with restricted mobility enforced by higher-moment conservation laws, coexisting with Weyl-type chiral band structure at topologically protected nodal points. The ground state of this phase is proposed to take the form of an analog Chern-Simons functional, constituting a condensed matter realization of the Kodama wavefunction from canonical quantum gravity with positive cosmological constant.</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The individual components (Weyl semimetal physics, fracton theory, Kodama state) are ESTABLISHED. Their coexistence in a single engineered phase is MOTIVATED by known theoretical bridges. The specific claim that the ground state is a Kodama analog is SPECULATIVE.</w:t>
      </w:r>
    </w:p>
    <w:p>
      <w:r>
        <w:br w:type="page"/>
      </w:r>
    </w:p>
    <w:p>
      <w:pPr>
        <w:pStyle w:val="Heading1"/>
      </w:pPr>
      <w:r>
        <w:t xml:space="preserve">2. Layer 1 — Foundation Substrate: Silicon-28</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ESTABLISHED</w:t>
      </w:r>
    </w:p>
    <w:p>
      <w:pPr>
        <w:spacing w:after="200" w:before="200"/>
      </w:pPr>
    </w:p>
    <w:p>
      <w:pPr>
        <w:pStyle w:val="Heading2"/>
      </w:pPr>
      <w:r>
        <w:t xml:space="preserve">2.1 Material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 / Rationale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Material</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Silicon-28 (²⁸Si)</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Isotopically enriched single crystal</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Isotopic purity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99.995% ²⁸Si</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Eliminates ²⁹Si (spin-½) nuclear spin bath</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Crystal orientation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or (111)</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(111) preferred for diamond epitaxy</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Wafer diameter</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50–100 mm</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semiconductor processing compatible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Resistivity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&gt; 10 kΩ·cm</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High-resistivity float-zone growth</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Surface roughness</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0.2 nm RMS</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Atomic-layer polished for epitaxial growth</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Dislocation density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100 cm⁻²</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Float-zone or Czochralski refined</w:t>
            </w:r>
          </w:p>
        </w:tc>
      </w:tr>
    </w:tbl>
    <w:p>
      <w:pPr>
        <w:spacing w:after="200" w:before="200"/>
      </w:pPr>
    </w:p>
    <w:p>
      <w:pPr>
        <w:pStyle w:val="Heading2"/>
      </w:pPr>
      <w:r>
        <w:t xml:space="preserve">2.2 Physical Function</w:t>
      </w:r>
    </w:p>
    <w:p>
      <w:pPr>
        <w:spacing w:after="160" w:before="0" w:line="276"/>
        <w:jc w:val="left"/>
      </w:pPr>
      <w:r>
        <w:rPr>
          <w:rFonts w:ascii="Arial" w:cs="Arial" w:eastAsia="Arial" w:hAnsi="Arial"/>
          <w:color w:val="333333"/>
          <w:sz w:val="22"/>
          <w:szCs w:val="22"/>
        </w:rPr>
        <w:t xml:space="preserve">Natural silicon contains approximately 4.7% Silicon-29, which carries a nuclear spin of ½. Each ²⁹Si nucleus acts as a fluctuating magnetic dipole, generating a stochastic noise field that couples to charge carriers and spin states through hyperfine interaction. In isotopically enriched ²⁸Si, this decoherence channel is suppressed by three to four orders of magnitude. Demonstrated electron spin coherence times in enriched ²⁸Si exceed 30 seconds, compared to microsecond-scale coherence in natural silicon.</w:t>
      </w:r>
    </w:p>
    <w:p>
      <w:pPr>
        <w:spacing w:after="160" w:before="0" w:line="276"/>
        <w:jc w:val="left"/>
      </w:pPr>
      <w:r>
        <w:rPr>
          <w:rFonts w:ascii="Arial" w:cs="Arial" w:eastAsia="Arial" w:hAnsi="Arial"/>
          <w:color w:val="333333"/>
          <w:sz w:val="22"/>
          <w:szCs w:val="22"/>
        </w:rPr>
        <w:t xml:space="preserve">The substrate provides the structural and electronic foundation for all subsequent layers while establishing the lowest achievable nuclear-spin noise floor in a Group IV semiconductor.</w:t>
      </w:r>
    </w:p>
    <w:p>
      <w:pPr>
        <w:pStyle w:val="Heading2"/>
      </w:pPr>
      <w:r>
        <w:t xml:space="preserve">2.3 Key References</w:t>
      </w:r>
    </w:p>
    <w:p>
      <w:pPr>
        <w:pStyle w:val="ListParagraph"/>
        <w:numPr>
          <w:ilvl w:val="0"/>
          <w:numId w:val="2"/>
        </w:numPr>
        <w:spacing w:after="80" w:line="276"/>
      </w:pPr>
      <w:r>
        <w:rPr>
          <w:rFonts w:ascii="Arial" w:cs="Arial" w:eastAsia="Arial" w:hAnsi="Arial"/>
          <w:color w:val="333333"/>
          <w:sz w:val="22"/>
          <w:szCs w:val="22"/>
        </w:rPr>
        <w:t xml:space="preserve">Itoh et al. — Isotope engineering of silicon and diamond for quantum computing and sensing.</w:t>
      </w:r>
    </w:p>
    <w:p>
      <w:pPr>
        <w:pStyle w:val="ListParagraph"/>
        <w:numPr>
          <w:ilvl w:val="0"/>
          <w:numId w:val="2"/>
        </w:numPr>
        <w:spacing w:after="80" w:line="276"/>
      </w:pPr>
      <w:r>
        <w:rPr>
          <w:rFonts w:ascii="Arial" w:cs="Arial" w:eastAsia="Arial" w:hAnsi="Arial"/>
          <w:color w:val="333333"/>
          <w:sz w:val="22"/>
          <w:szCs w:val="22"/>
        </w:rPr>
        <w:t xml:space="preserve">Muhonen et al. (2014) — Storing quantum information for 30 seconds in a nanoelectronic device (²⁸Si).</w:t>
      </w:r>
    </w:p>
    <w:p>
      <w:pPr>
        <w:pStyle w:val="ListParagraph"/>
        <w:numPr>
          <w:ilvl w:val="0"/>
          <w:numId w:val="2"/>
        </w:numPr>
        <w:spacing w:after="80" w:line="276"/>
      </w:pPr>
      <w:r>
        <w:rPr>
          <w:rFonts w:ascii="Arial" w:cs="Arial" w:eastAsia="Arial" w:hAnsi="Arial"/>
          <w:color w:val="333333"/>
          <w:sz w:val="22"/>
          <w:szCs w:val="22"/>
        </w:rPr>
        <w:t xml:space="preserve">Tyryshkin et al. (2012) — Electron spin coherence exceeding seconds in high-purity ²⁸Si.</w:t>
      </w:r>
    </w:p>
    <w:p>
      <w:r>
        <w:br w:type="page"/>
      </w:r>
    </w:p>
    <w:p>
      <w:pPr>
        <w:pStyle w:val="Heading1"/>
      </w:pPr>
      <w:r>
        <w:t xml:space="preserve">3. Layer 2 — Buffer Layer: Carbon-12 Diamond</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ESTABLISHED</w:t>
      </w:r>
    </w:p>
    <w:p>
      <w:pPr>
        <w:spacing w:after="200" w:before="200"/>
      </w:pPr>
    </w:p>
    <w:p>
      <w:pPr>
        <w:pStyle w:val="Heading2"/>
      </w:pPr>
      <w:r>
        <w:t xml:space="preserve">3.1 Material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 / Rationale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Material</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Carbon-12 (¹²C) single-crystal diamond</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CVD-grown, isotopically enriched</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Isotopic purity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99.99% ¹²C</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Eliminates ¹³C (spin-½) noise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Growth method</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Microwave plasma CVD</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 Si-28 substrate or transferred</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Crystal face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(111)</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Hexagonal surface symmetry matches graphene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Thickness</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50–500 nm</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Sufficient for phonon decoupling</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Nitrogen content</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5 ppb</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Electronic-grade; suppresses NV⁻ noise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Surface termination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Hydrogen or oxygen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Tailored for graphene adhesion</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C–C bond length</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1.54 Å</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Near-match to graphene (1.42 Å)</w:t>
            </w:r>
          </w:p>
        </w:tc>
      </w:tr>
    </w:tbl>
    <w:p>
      <w:pPr>
        <w:spacing w:after="200" w:before="200"/>
      </w:pPr>
    </w:p>
    <w:p>
      <w:pPr>
        <w:pStyle w:val="Heading2"/>
      </w:pPr>
      <w:r>
        <w:t xml:space="preserve">3.2 Physical Function</w:t>
      </w:r>
    </w:p>
    <w:p>
      <w:pPr>
        <w:spacing w:after="160" w:before="0" w:line="276"/>
        <w:jc w:val="left"/>
      </w:pPr>
      <w:r>
        <w:rPr>
          <w:rFonts w:ascii="Arial" w:cs="Arial" w:eastAsia="Arial" w:hAnsi="Arial"/>
          <w:color w:val="333333"/>
          <w:sz w:val="22"/>
          <w:szCs w:val="22"/>
        </w:rPr>
        <w:t xml:space="preserve">The diamond buffer layer performs three simultaneous functions. First, it extends the nuclear-spin-silent environment from the substrate into the immediate vicinity of the active graphene layer. Natural carbon’s 1.1% ¹³C content would reintroduce spin noise at the most critical interface; isotopic enrichment eliminates this. Second, the diamond (111) surface presents a hexagonal carbon lattice with symmetry compatible with graphene, enabling epitaxial or van der Waals bonding with minimal strain. Third, diamond’s wide bandgap (5.47 eV) and high thermal conductivity (&gt; 2000 W/m·K) provide electrical isolation and efficient heat extraction from the active layer.</w:t>
      </w:r>
    </w:p>
    <w:p>
      <w:pPr>
        <w:spacing w:after="160" w:before="0" w:line="276"/>
        <w:jc w:val="left"/>
      </w:pPr>
      <w:r>
        <w:rPr>
          <w:rFonts w:ascii="Arial" w:cs="Arial" w:eastAsia="Arial" w:hAnsi="Arial"/>
          <w:color w:val="333333"/>
          <w:sz w:val="22"/>
          <w:szCs w:val="22"/>
        </w:rPr>
        <w:t xml:space="preserve">The combination of ²⁸Si and ¹²C diamond produces what may be characterized as the quietest solid-state platform achievable with current materials science: a substrate with effectively zero nuclear magnetic moment at every atomic site.</w:t>
      </w:r>
    </w:p>
    <w:p>
      <w:pPr>
        <w:pStyle w:val="Heading2"/>
      </w:pPr>
      <w:r>
        <w:t xml:space="preserve">3.3 Key References</w:t>
      </w:r>
    </w:p>
    <w:p>
      <w:pPr>
        <w:pStyle w:val="ListParagraph"/>
        <w:numPr>
          <w:ilvl w:val="0"/>
          <w:numId w:val="2"/>
        </w:numPr>
        <w:spacing w:after="80" w:line="276"/>
      </w:pPr>
      <w:r>
        <w:rPr>
          <w:rFonts w:ascii="Arial" w:cs="Arial" w:eastAsia="Arial" w:hAnsi="Arial"/>
          <w:color w:val="333333"/>
          <w:sz w:val="22"/>
          <w:szCs w:val="22"/>
        </w:rPr>
        <w:t xml:space="preserve">Balasubramanian et al. (2009) — Ultralong spin coherence in isotopically engineered diamond.</w:t>
      </w:r>
    </w:p>
    <w:p>
      <w:pPr>
        <w:pStyle w:val="ListParagraph"/>
        <w:numPr>
          <w:ilvl w:val="0"/>
          <w:numId w:val="2"/>
        </w:numPr>
        <w:spacing w:after="80" w:line="276"/>
      </w:pPr>
      <w:r>
        <w:rPr>
          <w:rFonts w:ascii="Arial" w:cs="Arial" w:eastAsia="Arial" w:hAnsi="Arial"/>
          <w:color w:val="333333"/>
          <w:sz w:val="22"/>
          <w:szCs w:val="22"/>
        </w:rPr>
        <w:t xml:space="preserve">Teraji et al. — Homoepitaxial ¹²C diamond growth by CVD.</w:t>
      </w:r>
    </w:p>
    <w:p>
      <w:pPr>
        <w:pStyle w:val="ListParagraph"/>
        <w:numPr>
          <w:ilvl w:val="0"/>
          <w:numId w:val="2"/>
        </w:numPr>
        <w:spacing w:after="80" w:line="276"/>
      </w:pPr>
      <w:r>
        <w:rPr>
          <w:rFonts w:ascii="Arial" w:cs="Arial" w:eastAsia="Arial" w:hAnsi="Arial"/>
          <w:color w:val="333333"/>
          <w:sz w:val="22"/>
          <w:szCs w:val="22"/>
        </w:rPr>
        <w:t xml:space="preserve">Garcia et al. — Graphene on diamond (111): structural and electronic properties.</w:t>
      </w:r>
    </w:p>
    <w:p>
      <w:r>
        <w:br w:type="page"/>
      </w:r>
    </w:p>
    <w:p>
      <w:pPr>
        <w:pStyle w:val="Heading1"/>
      </w:pPr>
      <w:r>
        <w:t xml:space="preserve">4. Layer 3 — Active Layer: Penrose-Patterned Graphene ZGNR</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ESTABLISHED (components) / MOTIVATED (integration) / SPECULATIVE (emergent phase)</w:t>
      </w:r>
    </w:p>
    <w:p>
      <w:pPr>
        <w:spacing w:after="200" w:before="200"/>
      </w:pPr>
    </w:p>
    <w:p>
      <w:pPr>
        <w:pStyle w:val="Heading2"/>
      </w:pPr>
      <w:r>
        <w:t xml:space="preserve">4.1 Material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 / Rationale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Material</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Monolayer graphene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Mechanically exfoliated or CVD-grown</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Edge geometry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Zigzag nanoribbon (ZGNR)</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Preserves edge-localized flat bands</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Ribbon width</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5–50 nm</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Width-tunable bandgap; edge state prominence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Carbon isotope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¹²C (≥ 99.99%)</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Consistent with substrate spin silence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Defect pattern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Penrose (P3) tiling</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5-fold aperiodic; quasicrystalline order</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Defect types</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Pentagons (5-ring) and Heptagons (7-ring)</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Replace hexagons at Penrose vertices</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Pentagon effect</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+60° disclination → positive Gaussian curvature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Conical / spherical local geometry</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Heptagon effect</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−60° disclination → negative Gaussian curvature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Saddle-point / hyperbolic local geometry</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Defect density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parameter (variable)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Controls effective curvature field strength</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Long-range order</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Aperiodic, deterministic, self-similar</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 translational symmetry; 5-fold rotational</w:t>
            </w:r>
          </w:p>
        </w:tc>
      </w:tr>
    </w:tbl>
    <w:p>
      <w:pPr>
        <w:spacing w:after="200" w:before="200"/>
      </w:pPr>
    </w:p>
    <w:p>
      <w:pPr>
        <w:pStyle w:val="Heading2"/>
      </w:pPr>
      <w:r>
        <w:t xml:space="preserve">4.2 Geometric Engineering Principle</w:t>
      </w:r>
    </w:p>
    <w:p>
      <w:pPr>
        <w:spacing w:after="160" w:before="0" w:line="276"/>
        <w:jc w:val="left"/>
      </w:pPr>
      <w:r>
        <w:rPr>
          <w:rFonts w:ascii="Arial" w:cs="Arial" w:eastAsia="Arial" w:hAnsi="Arial"/>
          <w:color w:val="333333"/>
          <w:sz w:val="22"/>
          <w:szCs w:val="22"/>
        </w:rPr>
        <w:t xml:space="preserve">The pristine graphene hexagonal lattice has zero Gaussian curvature everywhere. Substituting a hexagonal ring with a pentagonal ring removes a 60° wedge of material, generating a positive-curvature conical defect (disclination). Conversely, substituting a heptagonal ring inserts a 60° wedge, generating a negative-curvature saddle defect. These are the elementary geometric operations on the graphene lattice. Their spatial distribution defines an effective Riemannian metric experienced by quasiparticles propagating through the sheet.</w:t>
      </w:r>
    </w:p>
    <w:p>
      <w:pPr>
        <w:spacing w:after="160" w:before="0" w:line="276"/>
        <w:jc w:val="left"/>
      </w:pPr>
      <w:r>
        <w:rPr>
          <w:rFonts w:ascii="Arial" w:cs="Arial" w:eastAsia="Arial" w:hAnsi="Arial"/>
          <w:color w:val="333333"/>
          <w:sz w:val="22"/>
          <w:szCs w:val="22"/>
        </w:rPr>
        <w:t xml:space="preserve">By distributing 5-ring and 7-ring defects according to a Penrose P3 tiling pattern, the curvature field inherits the properties of quasicrystalline order: deterministic but aperiodic, self-similar across scales, and possessing 5-fold rotational symmetry without translational periodicity. This produces an effective metric that varies at every scale without repeating, a property shared with realistic gravitational fields and absent from any periodic lattice analog.</w:t>
      </w:r>
    </w:p>
    <w:p>
      <w:pPr>
        <w:pStyle w:val="Heading2"/>
      </w:pPr>
      <w:r>
        <w:t xml:space="preserve">4.3 Zigzag Edge States</w:t>
      </w:r>
    </w:p>
    <w:p>
      <w:pPr>
        <w:spacing w:after="160" w:before="0" w:line="276"/>
        <w:jc w:val="left"/>
      </w:pPr>
      <w:r>
        <w:rPr>
          <w:rFonts w:ascii="Arial" w:cs="Arial" w:eastAsia="Arial" w:hAnsi="Arial"/>
          <w:color w:val="333333"/>
          <w:sz w:val="22"/>
          <w:szCs w:val="22"/>
        </w:rPr>
        <w:t xml:space="preserve">The zigzag nanoribbon edge termination is selected because ZGNR edges host localized electronic states with flat-band dispersion near the Fermi level. These states exhibit the most Dirac-like (massless, chiral) behavior of any graphene edge configuration and are maximally sensitive to the bulk curvature field. Armchair edges, by contrast, open a width-dependent gap and do not support these flat-band edge modes. The ZGNR geometry thus selects for the quasiparticles best suited to serve as analog relativistic test particles in the engineered curvature field.</w:t>
      </w:r>
    </w:p>
    <w:p>
      <w:pPr>
        <w:pStyle w:val="Heading2"/>
      </w:pPr>
      <w:r>
        <w:t xml:space="preserve">4.4 Quasicrystalline Curvature Field Properties</w:t>
      </w:r>
    </w:p>
    <w:p>
      <w:pPr>
        <w:pStyle w:val="ListParagraph"/>
        <w:numPr>
          <w:ilvl w:val="0"/>
          <w:numId w:val="2"/>
        </w:numPr>
        <w:spacing w:after="80" w:line="276"/>
      </w:pPr>
      <w:r>
        <w:rPr>
          <w:rFonts w:ascii="Arial" w:cs="Arial" w:eastAsia="Arial" w:hAnsi="Arial"/>
          <w:color w:val="333333"/>
          <w:sz w:val="22"/>
          <w:szCs w:val="22"/>
        </w:rPr>
        <w:t xml:space="preserve">No Bragg backscattering: The absence of translational periodicity eliminates coherent backscattering channels present in periodic defect arrays, reducing lattice artifacts in the effective metric.</w:t>
      </w:r>
    </w:p>
    <w:p>
      <w:pPr>
        <w:pStyle w:val="ListParagraph"/>
        <w:numPr>
          <w:ilvl w:val="0"/>
          <w:numId w:val="2"/>
        </w:numPr>
        <w:spacing w:after="80" w:line="276"/>
      </w:pPr>
      <w:r>
        <w:rPr>
          <w:rFonts w:ascii="Arial" w:cs="Arial" w:eastAsia="Arial" w:hAnsi="Arial"/>
          <w:color w:val="333333"/>
          <w:sz w:val="22"/>
          <w:szCs w:val="22"/>
        </w:rPr>
        <w:t xml:space="preserve">Scale-free structure: Self-similarity ensures the curvature field has structure at every length scale, from individual defects (atomic) to the Penrose tile patches (mesoscopic).</w:t>
      </w:r>
    </w:p>
    <w:p>
      <w:pPr>
        <w:pStyle w:val="ListParagraph"/>
        <w:numPr>
          <w:ilvl w:val="0"/>
          <w:numId w:val="2"/>
        </w:numPr>
        <w:spacing w:after="80" w:line="276"/>
      </w:pPr>
      <w:r>
        <w:rPr>
          <w:rFonts w:ascii="Arial" w:cs="Arial" w:eastAsia="Arial" w:hAnsi="Arial"/>
          <w:color w:val="333333"/>
          <w:sz w:val="22"/>
          <w:szCs w:val="22"/>
        </w:rPr>
        <w:t xml:space="preserve">Tunable cosmological analog: The net integrated curvature (balance of pentagons to heptagons) sets an effective cosmological constant Λ. Equal numbers produce Λ = 0 (flat on average); pentagon excess produces Λ &gt; 0 (de Sitter analog); heptagon excess produces Λ &lt; 0 (anti-de Sitter analog).</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Pentagon/heptagon curvature in graphene is ESTABLISHED. Penrose-patterned defect distributions are MOTIVATED by quasicrystal theory. The specific claim of analog gravitational metric emergence is SPECULATIVE.</w:t>
      </w:r>
    </w:p>
    <w:p>
      <w:r>
        <w:br w:type="page"/>
      </w:r>
    </w:p>
    <w:p>
      <w:pPr>
        <w:pStyle w:val="Heading1"/>
      </w:pPr>
      <w:r>
        <w:t xml:space="preserve">5. Layer 4 — Superconducting Interface: Niobium</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ESTABLISHED (Nb-graphene proximity effect) / MOTIVATED (topological SC in this geometry)</w:t>
      </w:r>
    </w:p>
    <w:p>
      <w:pPr>
        <w:spacing w:after="200" w:before="200"/>
      </w:pPr>
    </w:p>
    <w:p>
      <w:pPr>
        <w:pStyle w:val="Heading2"/>
      </w:pPr>
      <w:r>
        <w:t xml:space="preserve">5.1 Material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 / Rationale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Material</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Niobium (Nb)</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Elemental type-II superconductor</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Critical temperature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T_c = 9.3 K</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Highest T_c of any element</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Deposition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DC magnetron sputtering or e-beam evaporation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 graphene or as patterned contacts</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Thickness</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50–200 nm</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Sufficient for bulk superconducting properties</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Interface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Nb/graphene or Nb/Ti/graphene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Ti adhesion layer (2–5 nm) if needed</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Geometry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Patterned contacts, edge contacts, or full overlay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Configuration determines proximity coupling geometry</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Coherence length</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ξ_Nb ≈ 38 nm</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Sets induced pairing penetration depth</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Gap energy</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Δ ≈ 1.5 meV</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Proximity-induced gap in graphene</w:t>
            </w:r>
          </w:p>
        </w:tc>
      </w:tr>
    </w:tbl>
    <w:p>
      <w:pPr>
        <w:spacing w:after="200" w:before="200"/>
      </w:pPr>
    </w:p>
    <w:p>
      <w:pPr>
        <w:pStyle w:val="Heading2"/>
      </w:pPr>
      <w:r>
        <w:t xml:space="preserve">5.2 Physical Function: Proximity Effect</w:t>
      </w:r>
    </w:p>
    <w:p>
      <w:pPr>
        <w:spacing w:after="160" w:before="0" w:line="276"/>
        <w:jc w:val="left"/>
      </w:pPr>
      <w:r>
        <w:rPr>
          <w:rFonts w:ascii="Arial" w:cs="Arial" w:eastAsia="Arial" w:hAnsi="Arial"/>
          <w:color w:val="333333"/>
          <w:sz w:val="22"/>
          <w:szCs w:val="22"/>
        </w:rPr>
        <w:t xml:space="preserve">When niobium is placed in electrical contact with graphene, Cooper pairs from the superconductor tunnel or diffuse into the graphene layer, inducing superconducting correlations over a characteristic length scale set by the coherence length. In clean graphene at low temperature, this induced superconductivity preserves the topological character of the underlying band structure. At Weyl nodes, the induced pairing produces topological superconductivity, the regime in which Majorana zero modes are predicted to appear at vortex cores, edges, and topological defects.</w:t>
      </w:r>
    </w:p>
    <w:p>
      <w:pPr>
        <w:spacing w:after="160" w:before="0" w:line="276"/>
        <w:jc w:val="left"/>
      </w:pPr>
      <w:r>
        <w:rPr>
          <w:rFonts w:ascii="Arial" w:cs="Arial" w:eastAsia="Arial" w:hAnsi="Arial"/>
          <w:color w:val="333333"/>
          <w:sz w:val="22"/>
          <w:szCs w:val="22"/>
        </w:rPr>
        <w:t xml:space="preserve">In the context of this architecture, the niobium activates a specific physical channel: it gaps out bulk excitations while protecting topologically non-trivial boundary modes. The Majorana modes that emerge are localized at the pentagon and heptagon defect sites of the Penrose lattice, inheriting the fracton-like mobility restrictions of the underlying tensor gauge structure.</w:t>
      </w:r>
    </w:p>
    <w:p>
      <w:pPr>
        <w:pStyle w:val="Heading2"/>
      </w:pPr>
      <w:r>
        <w:t xml:space="preserve">5.3 Design Considerations</w:t>
      </w:r>
    </w:p>
    <w:p>
      <w:pPr>
        <w:pStyle w:val="ListParagraph"/>
        <w:numPr>
          <w:ilvl w:val="0"/>
          <w:numId w:val="2"/>
        </w:numPr>
        <w:spacing w:after="80" w:line="276"/>
      </w:pPr>
      <w:r>
        <w:rPr>
          <w:rFonts w:ascii="Arial" w:cs="Arial" w:eastAsia="Arial" w:hAnsi="Arial"/>
          <w:color w:val="333333"/>
          <w:sz w:val="22"/>
          <w:szCs w:val="22"/>
        </w:rPr>
        <w:t xml:space="preserve">Contact transparency: The Nb-graphene interface must be highly transparent to Cooper pair tunneling. Residual oxide on Nb degrades proximity coupling; fabrication under UHV or with in-situ cleaning is required.</w:t>
      </w:r>
    </w:p>
    <w:p>
      <w:pPr>
        <w:pStyle w:val="ListParagraph"/>
        <w:numPr>
          <w:ilvl w:val="0"/>
          <w:numId w:val="2"/>
        </w:numPr>
        <w:spacing w:after="80" w:line="276"/>
      </w:pPr>
      <w:r>
        <w:rPr>
          <w:rFonts w:ascii="Arial" w:cs="Arial" w:eastAsia="Arial" w:hAnsi="Arial"/>
          <w:color w:val="333333"/>
          <w:sz w:val="22"/>
          <w:szCs w:val="22"/>
        </w:rPr>
        <w:t xml:space="preserve">Magnetic field compatibility: As a type-II superconductor, Nb supports vortex states in applied fields up to H_c2 ≈ 0.4 T, enabling vortex-based probing of topological modes without destroying superconductivity.</w:t>
      </w:r>
    </w:p>
    <w:p>
      <w:pPr>
        <w:pStyle w:val="ListParagraph"/>
        <w:numPr>
          <w:ilvl w:val="0"/>
          <w:numId w:val="2"/>
        </w:numPr>
        <w:spacing w:after="80" w:line="276"/>
      </w:pPr>
      <w:r>
        <w:rPr>
          <w:rFonts w:ascii="Arial" w:cs="Arial" w:eastAsia="Arial" w:hAnsi="Arial"/>
          <w:color w:val="333333"/>
          <w:sz w:val="22"/>
          <w:szCs w:val="22"/>
        </w:rPr>
        <w:t xml:space="preserve">Patterning: Lithographically defined Nb contact geometry allows spatial modulation of the proximity-induced gap, adding another control parameter to the effective Hamiltonian.</w:t>
      </w:r>
    </w:p>
    <w:p>
      <w:r>
        <w:br w:type="page"/>
      </w:r>
    </w:p>
    <w:p>
      <w:pPr>
        <w:pStyle w:val="Heading1"/>
      </w:pPr>
      <w:r>
        <w:t xml:space="preserve">6. Layer 5 — Hamiltonian Tuning: Helium-3 / Helium-4 Environment</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ESTABLISHED (He-3/He-4 superfluid physics) / SPECULATIVE (as active Hamiltonian tuning medium)</w:t>
      </w:r>
    </w:p>
    <w:p>
      <w:pPr>
        <w:spacing w:after="200" w:before="200"/>
      </w:pPr>
    </w:p>
    <w:p>
      <w:pPr>
        <w:pStyle w:val="Heading2"/>
      </w:pPr>
      <w:r>
        <w:t xml:space="preserve">6.1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2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 / Rationale</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Coolant / environment</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He-3, He-4, or He-3/He-4 mixture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Serves as both cryostat and active medium</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He-4 superfluid T_c</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2.17 K (λ-point)</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Bose–Einstein condensate, topologically trivial</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He-3 superfluid T_c</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2.5 mK (bulk)</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Fermionic p-wave superfluid, topologically nontrivial</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He-3 B-phase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Time-reversal invariant</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Topological superfluid with Majorana surface modes</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He-3 A-phase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Chiral, breaks TRS</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Analog of p_x + ip_y superconductor</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Mixture ratio</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Continuously variable (0–100% He-3)</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Hamiltonian tuning parameter</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Refrigeration</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Dilution refrigerator (standard)</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He-3/He-4 phase separation is the cooling mechanism</w:t>
            </w:r>
          </w:p>
        </w:tc>
      </w:tr>
      <w:tr>
        <w:tc>
          <w:tcPr>
            <w:tcW w:type="dxa" w:w="2800"/>
            <w:tcBorders>
              <w:top w:val="single" w:color="BBBBBB" w:sz="1"/>
              <w:left w:val="single" w:color="BBBBBB" w:sz="1"/>
              <w:bottom w:val="single" w:color="BBBBBB" w:sz="1"/>
              <w:right w:val="single" w:color="BBBBBB" w:sz="1"/>
            </w:tcBorders>
            <w:shd w:fill="E8EFF7" w:val="clear"/>
            <w:tcMar>
              <w:top w:type="dxa" w:w="60"/>
              <w:left w:type="dxa" w:w="100"/>
              <w:bottom w:type="dxa" w:w="60"/>
              <w:right w:type="dxa" w:w="100"/>
            </w:tcMar>
          </w:tcPr>
          <w:p>
            <w:r>
              <w:rPr>
                <w:rFonts w:ascii="Arial" w:cs="Arial" w:eastAsia="Arial" w:hAnsi="Arial"/>
                <w:b w:val="false"/>
                <w:bCs w:val="false"/>
                <w:color w:val="1B2A4A"/>
                <w:sz w:val="20"/>
                <w:szCs w:val="20"/>
              </w:rPr>
              <w:t xml:space="preserve">Base temperature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10 mK achievable</w:t>
            </w:r>
          </w:p>
        </w:tc>
        <w:tc>
          <w:tcPr>
            <w:tcW w:type="dxa" w:w="3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Required for He-3 superfluidity and device operation</w:t>
            </w:r>
          </w:p>
        </w:tc>
      </w:tr>
    </w:tbl>
    <w:p>
      <w:pPr>
        <w:spacing w:after="200" w:before="200"/>
      </w:pPr>
    </w:p>
    <w:p>
      <w:pPr>
        <w:pStyle w:val="Heading2"/>
      </w:pPr>
      <w:r>
        <w:t xml:space="preserve">6.2 Physical Function: Active Quantum Environment</w:t>
      </w:r>
    </w:p>
    <w:p>
      <w:pPr>
        <w:spacing w:after="160" w:before="0" w:line="276"/>
        <w:jc w:val="left"/>
      </w:pPr>
      <w:r>
        <w:rPr>
          <w:rFonts w:ascii="Arial" w:cs="Arial" w:eastAsia="Arial" w:hAnsi="Arial"/>
          <w:color w:val="333333"/>
          <w:sz w:val="22"/>
          <w:szCs w:val="22"/>
        </w:rPr>
        <w:t xml:space="preserve">The helium environment serves a dual role: cryogenic cooling to the millikelvin temperatures required for superconductivity and fractonic phase stability, and active Hamiltonian tuning through coupling between the device and the quantum state of the surrounding fluid.</w:t>
      </w:r>
    </w:p>
    <w:p>
      <w:pPr>
        <w:spacing w:after="160" w:before="0" w:line="276"/>
        <w:jc w:val="left"/>
      </w:pPr>
      <w:r>
        <w:rPr>
          <w:rFonts w:ascii="Arial" w:cs="Arial" w:eastAsia="Arial" w:hAnsi="Arial"/>
          <w:color w:val="333333"/>
          <w:sz w:val="22"/>
          <w:szCs w:val="22"/>
        </w:rPr>
        <w:t xml:space="preserve">In a pure He-4 superfluid environment, the device is immersed in a bosonic, topologically trivial condensate. This is the baseline configuration: maximum thermal transport, no competing topological order, and the device’s intrinsic Hamiltonian dominates unperturbed.</w:t>
      </w:r>
    </w:p>
    <w:p>
      <w:pPr>
        <w:spacing w:after="160" w:before="0" w:line="276"/>
        <w:jc w:val="left"/>
      </w:pPr>
      <w:r>
        <w:rPr>
          <w:rFonts w:ascii="Arial" w:cs="Arial" w:eastAsia="Arial" w:hAnsi="Arial"/>
          <w:color w:val="333333"/>
          <w:sz w:val="22"/>
          <w:szCs w:val="22"/>
        </w:rPr>
        <w:t xml:space="preserve">In a pure He-3 superfluid environment, the device is immersed in a fermionic, topologically nontrivial medium. The He-3 B-phase hosts its own Majorana surface modes, and these couple to the Majorana modes at the graphene-niobium interface, hybridizing the topological sectors of the device and the environment. The effective Hamiltonian of the combined system acquires terms absent in either component alone.</w:t>
      </w:r>
    </w:p>
    <w:p>
      <w:pPr>
        <w:spacing w:after="160" w:before="0" w:line="276"/>
        <w:jc w:val="left"/>
      </w:pPr>
      <w:r>
        <w:rPr>
          <w:rFonts w:ascii="Arial" w:cs="Arial" w:eastAsia="Arial" w:hAnsi="Arial"/>
          <w:color w:val="333333"/>
          <w:sz w:val="22"/>
          <w:szCs w:val="22"/>
        </w:rPr>
        <w:t xml:space="preserve">He-3/He-4 mixtures provide continuous interpolation between these regimes. The He-3 concentration becomes a dial that tunes the effective coupling between the device’s fracton-Majorana sector and the environment’s topological order. In the analog gravity interpretation, this tunes the effective cosmological constant of the Kodama ground state.</w:t>
      </w:r>
    </w:p>
    <w:p>
      <w:pPr>
        <w:pStyle w:val="Heading2"/>
      </w:pPr>
      <w:r>
        <w:t xml:space="preserve">6.3 Operational Advantage</w:t>
      </w:r>
    </w:p>
    <w:p>
      <w:pPr>
        <w:spacing w:after="160" w:before="0" w:line="276"/>
        <w:jc w:val="left"/>
      </w:pPr>
      <w:r>
        <w:rPr>
          <w:rFonts w:ascii="Arial" w:cs="Arial" w:eastAsia="Arial" w:hAnsi="Arial"/>
          <w:color w:val="333333"/>
          <w:sz w:val="22"/>
          <w:szCs w:val="22"/>
        </w:rPr>
        <w:t xml:space="preserve">The dilution refrigerator infrastructure required to reach base temperature is already engineered around He-3/He-4 thermodynamics. This architecture repurposes the cooling medium as an experimental control parameter, eliminating the need for additional tuning hardware. The He-3 concentration is adjustable in situ without modifying the device, enabling sweeps across the phase diagram in a single cooldown.</w:t>
      </w:r>
    </w:p>
    <w:p>
      <w:r>
        <w:br w:type="page"/>
      </w:r>
    </w:p>
    <w:p>
      <w:pPr>
        <w:pStyle w:val="Heading1"/>
      </w:pPr>
      <w:r>
        <w:t xml:space="preserve">7. Emergent Phase: Fractonic Weyl Semimetal</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MOTIVATED (fracton-gravity correspondence) / SPECULATIVE (realization in this architecture)</w:t>
      </w:r>
    </w:p>
    <w:p>
      <w:pPr>
        <w:spacing w:after="200" w:before="200"/>
      </w:pPr>
    </w:p>
    <w:p>
      <w:pPr>
        <w:pStyle w:val="Heading2"/>
      </w:pPr>
      <w:r>
        <w:t xml:space="preserve">7.1 Fracton Physics</w:t>
      </w:r>
    </w:p>
    <w:p>
      <w:pPr>
        <w:spacing w:after="160" w:before="0" w:line="276"/>
        <w:jc w:val="left"/>
      </w:pPr>
      <w:r>
        <w:rPr>
          <w:rFonts w:ascii="Arial" w:cs="Arial" w:eastAsia="Arial" w:hAnsi="Arial"/>
          <w:color w:val="333333"/>
          <w:sz w:val="22"/>
          <w:szCs w:val="22"/>
        </w:rPr>
        <w:t xml:space="preserve">Fractons are quasiparticle excitations characterized by restricted mobility: an isolated fracton cannot move freely through the lattice. Depending on the specific model, fractons may be completely immobile (type-I) or confined to move along lines or planes (type-II lineons and planons). Only bound multipole combinations of fractons (dipoles, quadrupoles) can propagate without constraint. This restricted mobility is not a dynamical effect but a consequence of conservation laws beyond ordinary charge conservation, specifically conservation of dipole moment and higher multipole moments.</w:t>
      </w:r>
    </w:p>
    <w:p>
      <w:pPr>
        <w:pStyle w:val="Heading2"/>
      </w:pPr>
      <w:r>
        <w:t xml:space="preserve">7.2 The Fracton-Gravity Correspondence</w:t>
      </w:r>
    </w:p>
    <w:p>
      <w:pPr>
        <w:spacing w:after="160" w:before="0" w:line="276"/>
        <w:jc w:val="left"/>
      </w:pPr>
      <w:r>
        <w:rPr>
          <w:rFonts w:ascii="Arial" w:cs="Arial" w:eastAsia="Arial" w:hAnsi="Arial"/>
          <w:color w:val="333333"/>
          <w:sz w:val="22"/>
          <w:szCs w:val="22"/>
        </w:rPr>
        <w:t xml:space="preserve">Pretko and collaborators (2017–2020) demonstrated that the symmetric tensor gauge theories governing fracton phases share the mathematical structure of linearized general relativity. The gauge field is a symmetric rank-2 tensor (analogous to the metric perturbation), the conservation of dipole moment mirrors conservation of stress-energy, and the restricted mobility of charges in the gauge theory corresponds to the equivalence principle in gravity. This is not a qualitative analogy but a structural isomorphism at the level of equations of motion and gauge constraints.</w:t>
      </w:r>
    </w:p>
    <w:p>
      <w:pPr>
        <w:spacing w:after="160" w:before="0" w:line="276"/>
        <w:jc w:val="left"/>
      </w:pPr>
      <w:r>
        <w:rPr>
          <w:rFonts w:ascii="Arial" w:cs="Arial" w:eastAsia="Arial" w:hAnsi="Arial"/>
          <w:color w:val="333333"/>
          <w:sz w:val="22"/>
          <w:szCs w:val="22"/>
        </w:rPr>
        <w:t xml:space="preserve">This correspondence provides the theoretical foundation for the central claim of this architecture: that an engineered curvature field (from the Penrose defect pattern) naturally gives rise to fracton quasiparticles, because the geometric content of the curvature field is equivalent to the tensor gauge content that defines fracton phases.</w:t>
      </w:r>
    </w:p>
    <w:p>
      <w:pPr>
        <w:pStyle w:val="Heading2"/>
      </w:pPr>
      <w:r>
        <w:t xml:space="preserve">7.3 Weyl Component</w:t>
      </w:r>
    </w:p>
    <w:p>
      <w:pPr>
        <w:spacing w:after="160" w:before="0" w:line="276"/>
        <w:jc w:val="left"/>
      </w:pPr>
      <w:r>
        <w:rPr>
          <w:rFonts w:ascii="Arial" w:cs="Arial" w:eastAsia="Arial" w:hAnsi="Arial"/>
          <w:color w:val="333333"/>
          <w:sz w:val="22"/>
          <w:szCs w:val="22"/>
        </w:rPr>
        <w:t xml:space="preserve">Graphene’s Dirac cones at the K and K’ points provide the starting point. The Penrose defect pattern modifies the band structure through two mechanisms: (1) the aperiodic potential from the quasicrystalline lattice distortion lifts certain degeneracies and shifts the Dirac nodes in momentum space, and (2) the out-of-plane curvature, combined with interlayer coupling through the diamond substrate, can promote the 2D Dirac points toward 3D Weyl nodes with definite chirality. The aperiodic potential stabilizes these nodes against gapping by preventing the formation of commensurate backscattering vectors.</w:t>
      </w:r>
    </w:p>
    <w:p>
      <w:pPr>
        <w:pStyle w:val="Heading2"/>
      </w:pPr>
      <w:r>
        <w:t xml:space="preserve">7.4 Fracton-Weyl Coexistence</w:t>
      </w:r>
    </w:p>
    <w:p>
      <w:pPr>
        <w:spacing w:after="160" w:before="0" w:line="276"/>
        <w:jc w:val="left"/>
      </w:pPr>
      <w:r>
        <w:rPr>
          <w:rFonts w:ascii="Arial" w:cs="Arial" w:eastAsia="Arial" w:hAnsi="Arial"/>
          <w:color w:val="333333"/>
          <w:sz w:val="22"/>
          <w:szCs w:val="22"/>
        </w:rPr>
        <w:t xml:space="preserve">The proposed phase unifies both characters: the low-energy quasiparticles near Weyl nodes exhibit chiral, relativistic-like dispersion, while their mobility is constrained by the higher-moment conservation laws inherited from the tensor gauge structure of the curvature field. The Weyl nodes become the sites of fracton excitations, with the chirality providing an additional topological quantum number that enriches the fracton sector beyond what is found in conventional lattice models.</w:t>
      </w:r>
    </w:p>
    <w:p>
      <w:r>
        <w:br w:type="page"/>
      </w:r>
    </w:p>
    <w:p>
      <w:pPr>
        <w:pStyle w:val="Heading1"/>
      </w:pPr>
      <w:r>
        <w:t xml:space="preserve">8. Ground State: The Kodama State</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ESTABLISHED (as mathematical object in quantum gravity) / SPECULATIVE (as condensed matter ground state)</w:t>
      </w:r>
    </w:p>
    <w:p>
      <w:pPr>
        <w:spacing w:after="200" w:before="200"/>
      </w:pPr>
    </w:p>
    <w:p>
      <w:pPr>
        <w:pStyle w:val="Heading2"/>
      </w:pPr>
      <w:r>
        <w:t xml:space="preserve">8.1 Definition</w:t>
      </w:r>
    </w:p>
    <w:p>
      <w:pPr>
        <w:spacing w:after="160" w:before="0" w:line="276"/>
        <w:jc w:val="left"/>
      </w:pPr>
      <w:r>
        <w:rPr>
          <w:rFonts w:ascii="Arial" w:cs="Arial" w:eastAsia="Arial" w:hAnsi="Arial"/>
          <w:color w:val="333333"/>
          <w:sz w:val="22"/>
          <w:szCs w:val="22"/>
        </w:rPr>
        <w:t xml:space="preserve">The Kodama state, proposed by Hideo Kodama (1990), is an exact solution to all three constraint equations of canonical quantum gravity (Gauss, diffeomorphism, Hamiltonian) in Ashtekar connection variables with a positive cosmological constant Λ. It takes the form of the exponential of the Chern-Simons functional of the Ashtekar connection:</w:t>
      </w:r>
    </w:p>
    <w:p>
      <w:pPr>
        <w:spacing w:before="200" w:after="200"/>
        <w:jc w:val="center"/>
      </w:pPr>
      <w:r>
        <w:rPr>
          <w:rFonts w:ascii="Courier New" w:cs="Courier New" w:eastAsia="Courier New" w:hAnsi="Courier New"/>
          <w:b/>
          <w:bCs/>
          <w:color w:val="1B2A4A"/>
          <w:sz w:val="24"/>
          <w:szCs w:val="24"/>
        </w:rPr>
        <w:t xml:space="preserve">Ψ[A] ∝ exp(−(6/Λ) ∫ Y_CS[A])</w:t>
      </w:r>
    </w:p>
    <w:p>
      <w:pPr>
        <w:spacing w:after="160" w:before="0" w:line="276"/>
        <w:jc w:val="left"/>
      </w:pPr>
      <w:r>
        <w:rPr>
          <w:rFonts w:ascii="Arial" w:cs="Arial" w:eastAsia="Arial" w:hAnsi="Arial"/>
          <w:color w:val="333333"/>
          <w:sz w:val="22"/>
          <w:szCs w:val="22"/>
        </w:rPr>
        <w:t xml:space="preserve">where Y_CS is the Chern-Simons 3-form. The state is peaked on de Sitter spacetime and is self-dual: the curvature equals its own Hodge dual, representing maximum geometric symmetry.</w:t>
      </w:r>
    </w:p>
    <w:p>
      <w:pPr>
        <w:pStyle w:val="Heading2"/>
      </w:pPr>
      <w:r>
        <w:t xml:space="preserve">8.2 Condensed Matter Analog</w:t>
      </w:r>
    </w:p>
    <w:p>
      <w:pPr>
        <w:spacing w:after="160" w:before="0" w:line="276"/>
        <w:jc w:val="left"/>
      </w:pPr>
      <w:r>
        <w:rPr>
          <w:rFonts w:ascii="Arial" w:cs="Arial" w:eastAsia="Arial" w:hAnsi="Arial"/>
          <w:color w:val="333333"/>
          <w:sz w:val="22"/>
          <w:szCs w:val="22"/>
        </w:rPr>
        <w:t xml:space="preserve">The Chern-Simons functional is not unique to quantum gravity. It appears throughout condensed matter physics as the effective field theory of the fractional quantum Hall effect, as the topological term in time-reversal-breaking topological insulators, and in the generalized tensor Chern-Simons theories that describe fracton phases. The proposal is that the ground state of the engineered fractonic Weyl phase naturally takes the form of (an analog of) the Kodama state, with the Chern-Simons functional evaluated over the tensor gauge field governing the fracton sector.</w:t>
      </w:r>
    </w:p>
    <w:p>
      <w:pPr>
        <w:spacing w:after="160" w:before="0" w:line="276"/>
        <w:jc w:val="left"/>
      </w:pPr>
      <w:r>
        <w:rPr>
          <w:rFonts w:ascii="Arial" w:cs="Arial" w:eastAsia="Arial" w:hAnsi="Arial"/>
          <w:color w:val="333333"/>
          <w:sz w:val="22"/>
          <w:szCs w:val="22"/>
        </w:rPr>
        <w:t xml:space="preserve">The self-duality condition maps onto the balance between positive-curvature (pentagon) and negative-curvature (heptagon) defects in the Penrose lattice. When the integrated curvature field satisfies the self-duality condition, the ground state wavefunction is peaked on the maximally symmetric configuration, exactly as the gravitational Kodama state is peaked on de Sitter space.</w:t>
      </w:r>
    </w:p>
    <w:p>
      <w:pPr>
        <w:pStyle w:val="Heading2"/>
      </w:pPr>
      <w:r>
        <w:t xml:space="preserve">8.3 Normalizability and the Condensed Matter Advantage</w:t>
      </w:r>
    </w:p>
    <w:p>
      <w:pPr>
        <w:spacing w:after="160" w:before="0" w:line="276"/>
        <w:jc w:val="left"/>
      </w:pPr>
      <w:r>
        <w:rPr>
          <w:rFonts w:ascii="Arial" w:cs="Arial" w:eastAsia="Arial" w:hAnsi="Arial"/>
          <w:color w:val="333333"/>
          <w:sz w:val="22"/>
          <w:szCs w:val="22"/>
        </w:rPr>
        <w:t xml:space="preserve">In quantum gravity, the Kodama state faces a serious objection: it may not be normalizable in the physical Hilbert space of the Lorentzian theory. This has left its status as a legitimate physical state unresolved for over three decades. However, the condensed matter analog operates with a finite number of degrees of freedom (set by the number of lattice sites), a natural ultraviolet cutoff (the lattice spacing), and a well-defined Hilbert space. In this context, the analog Kodama state may be normalizable, resolving in the analog system what remains open in the fundamental theory. If confirmed, this would constitute a significant result in its own right.</w:t>
      </w:r>
    </w:p>
    <w:p>
      <w:pPr>
        <w:pStyle w:val="Heading2"/>
      </w:pPr>
      <w:r>
        <w:t xml:space="preserve">8.4 Tunability via Helium Environment</w:t>
      </w:r>
    </w:p>
    <w:p>
      <w:pPr>
        <w:spacing w:after="160" w:before="0" w:line="276"/>
        <w:jc w:val="left"/>
      </w:pPr>
      <w:r>
        <w:rPr>
          <w:rFonts w:ascii="Arial" w:cs="Arial" w:eastAsia="Arial" w:hAnsi="Arial"/>
          <w:color w:val="333333"/>
          <w:sz w:val="22"/>
          <w:szCs w:val="22"/>
        </w:rPr>
        <w:t xml:space="preserve">The effective cosmological constant Λ in the analog Kodama state is set by the net curvature of the Penrose defect pattern (a static, fabrication-time parameter) modulated by the quantum environment (the He-3/He-4 ratio, a dynamic, runtime parameter). Sweeping the helium mixture ratio scans Λ continuously, mapping out a family of analog de Sitter vacua and probing the response of the Kodama ground state across a range of cosmological constants. This would constitute a tabletop realization of landscape-scanning in quantum gravity.</w:t>
      </w:r>
    </w:p>
    <w:p>
      <w:r>
        <w:br w:type="page"/>
      </w:r>
    </w:p>
    <w:p>
      <w:pPr>
        <w:pStyle w:val="Heading1"/>
      </w:pPr>
      <w:r>
        <w:t xml:space="preserve">9. Integrated Stack Summary</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BBBBBB" w:sz="1"/>
              <w:left w:val="single" w:color="BBBBBB" w:sz="1"/>
              <w:bottom w:val="single" w:color="BBBBBB" w:sz="1"/>
              <w:right w:val="single" w:color="BBBBBB"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Layer</w:t>
            </w:r>
          </w:p>
        </w:tc>
        <w:tc>
          <w:tcPr>
            <w:tcW w:type="dxa" w:w="2200"/>
            <w:tcBorders>
              <w:top w:val="single" w:color="BBBBBB" w:sz="1"/>
              <w:left w:val="single" w:color="BBBBBB" w:sz="1"/>
              <w:bottom w:val="single" w:color="BBBBBB" w:sz="1"/>
              <w:right w:val="single" w:color="BBBBBB"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Material</w:t>
            </w:r>
          </w:p>
        </w:tc>
        <w:tc>
          <w:tcPr>
            <w:tcW w:type="dxa" w:w="2880"/>
            <w:tcBorders>
              <w:top w:val="single" w:color="BBBBBB" w:sz="1"/>
              <w:left w:val="single" w:color="BBBBBB" w:sz="1"/>
              <w:bottom w:val="single" w:color="BBBBBB" w:sz="1"/>
              <w:right w:val="single" w:color="BBBBBB"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Physical Role</w:t>
            </w:r>
          </w:p>
        </w:tc>
        <w:tc>
          <w:tcPr>
            <w:tcW w:type="dxa" w:w="2880"/>
            <w:tcBorders>
              <w:top w:val="single" w:color="BBBBBB" w:sz="1"/>
              <w:left w:val="single" w:color="BBBBBB" w:sz="1"/>
              <w:bottom w:val="single" w:color="BBBBBB" w:sz="1"/>
              <w:right w:val="single" w:color="BBBBBB"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Epistemic Status</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1 — Foundation</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²⁸Si wafer</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Nuclear spin silence; structural base</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2D8B4E"/>
                <w:sz w:val="18"/>
                <w:szCs w:val="18"/>
              </w:rPr>
              <w:t xml:space="preserve">ESTABLISHED</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2 — Buffer</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¹²C diamond</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Spin silence; lattice-compatible insulator</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2D8B4E"/>
                <w:sz w:val="18"/>
                <w:szCs w:val="18"/>
              </w:rPr>
              <w:t xml:space="preserve">ESTABLISHED</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3 — Active</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Penrose ZGNR</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Quasicrystalline curvature field</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2E75B6"/>
                <w:sz w:val="18"/>
                <w:szCs w:val="18"/>
              </w:rPr>
              <w:t xml:space="preserve">MOTIVATED</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4 — SC Interface</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Niobium</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Proximity-induced topological SC</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2E75B6"/>
                <w:sz w:val="18"/>
                <w:szCs w:val="18"/>
              </w:rPr>
              <w:t xml:space="preserve">ESTABLISHED / MOTIVATED</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5 — Environment</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He-3/He-4</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Continuous Hamiltonian tuning</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D4760A"/>
                <w:sz w:val="18"/>
                <w:szCs w:val="18"/>
              </w:rPr>
              <w:t xml:space="preserve">SPECULATIVE</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Emergent</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Fractonic Weyl SM</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Restricted-mobility chiral quasiparticles</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D4760A"/>
                <w:sz w:val="18"/>
                <w:szCs w:val="18"/>
              </w:rPr>
              <w:t xml:space="preserve">SPECULATIVE</w:t>
            </w:r>
          </w:p>
        </w:tc>
      </w:tr>
      <w:tr>
        <w:tc>
          <w:tcPr>
            <w:tcW w:type="dxa" w:w="14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Ground state</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Kodama analog</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333333"/>
                <w:sz w:val="18"/>
                <w:szCs w:val="18"/>
              </w:rPr>
              <w:t xml:space="preserve">Self-dual Chern-Simons wavefunction</w:t>
            </w:r>
          </w:p>
        </w:tc>
        <w:tc>
          <w:tcPr>
            <w:tcW w:type="dxa" w:w="288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color w:val="D4760A"/>
                <w:sz w:val="18"/>
                <w:szCs w:val="18"/>
              </w:rPr>
              <w:t xml:space="preserve">SPECULATIVE</w:t>
            </w:r>
          </w:p>
        </w:tc>
      </w:tr>
    </w:tbl>
    <w:p>
      <w:r>
        <w:br w:type="page"/>
      </w:r>
    </w:p>
    <w:p>
      <w:pPr>
        <w:pStyle w:val="Heading1"/>
      </w:pPr>
      <w:r>
        <w:t xml:space="preserve">10. Predicted Observables and Experimental Signatures</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SPECULATIVE — Predictions derived from the proposed architecture, subject to experimental validation.</w:t>
      </w:r>
    </w:p>
    <w:p>
      <w:pPr>
        <w:spacing w:after="200" w:before="200"/>
      </w:pPr>
    </w:p>
    <w:p>
      <w:pPr>
        <w:pStyle w:val="Heading2"/>
      </w:pPr>
      <w:r>
        <w:t xml:space="preserve">10.1 Fracton Signatures</w:t>
      </w:r>
    </w:p>
    <w:p>
      <w:pPr>
        <w:pStyle w:val="ListParagraph"/>
        <w:numPr>
          <w:ilvl w:val="0"/>
          <w:numId w:val="2"/>
        </w:numPr>
        <w:spacing w:after="80" w:line="276"/>
      </w:pPr>
      <w:r>
        <w:rPr>
          <w:rFonts w:ascii="Arial" w:cs="Arial" w:eastAsia="Arial" w:hAnsi="Arial"/>
          <w:color w:val="333333"/>
          <w:sz w:val="22"/>
          <w:szCs w:val="22"/>
        </w:rPr>
        <w:t xml:space="preserve">Restricted quasiparticle transport: Thermal conductivity measurements should show anomalous suppression consistent with immobile or partially mobile excitations, distinct from Anderson localization.</w:t>
      </w:r>
    </w:p>
    <w:p>
      <w:pPr>
        <w:pStyle w:val="ListParagraph"/>
        <w:numPr>
          <w:ilvl w:val="0"/>
          <w:numId w:val="2"/>
        </w:numPr>
        <w:spacing w:after="80" w:line="276"/>
      </w:pPr>
      <w:r>
        <w:rPr>
          <w:rFonts w:ascii="Arial" w:cs="Arial" w:eastAsia="Arial" w:hAnsi="Arial"/>
          <w:color w:val="333333"/>
          <w:sz w:val="22"/>
          <w:szCs w:val="22"/>
        </w:rPr>
        <w:t xml:space="preserve">Sub-extensive ground state degeneracy: The ground state degeneracy should scale sub-extensively with system size, distinguishable from conventional topological order (which shows constant degeneracy on a torus).</w:t>
      </w:r>
    </w:p>
    <w:p>
      <w:pPr>
        <w:pStyle w:val="ListParagraph"/>
        <w:numPr>
          <w:ilvl w:val="0"/>
          <w:numId w:val="2"/>
        </w:numPr>
        <w:spacing w:after="80" w:line="276"/>
      </w:pPr>
      <w:r>
        <w:rPr>
          <w:rFonts w:ascii="Arial" w:cs="Arial" w:eastAsia="Arial" w:hAnsi="Arial"/>
          <w:color w:val="333333"/>
          <w:sz w:val="22"/>
          <w:szCs w:val="22"/>
        </w:rPr>
        <w:t xml:space="preserve">Glassy dynamics without disorder: Relaxation measurements should show slow, glassy behavior arising not from random disorder but from mobility constraints, with characteristic fracton timescales.</w:t>
      </w:r>
    </w:p>
    <w:p>
      <w:pPr>
        <w:pStyle w:val="Heading2"/>
      </w:pPr>
      <w:r>
        <w:t xml:space="preserve">10.2 Weyl Signatures</w:t>
      </w:r>
    </w:p>
    <w:p>
      <w:pPr>
        <w:pStyle w:val="ListParagraph"/>
        <w:numPr>
          <w:ilvl w:val="0"/>
          <w:numId w:val="2"/>
        </w:numPr>
        <w:spacing w:after="80" w:line="276"/>
      </w:pPr>
      <w:r>
        <w:rPr>
          <w:rFonts w:ascii="Arial" w:cs="Arial" w:eastAsia="Arial" w:hAnsi="Arial"/>
          <w:color w:val="333333"/>
          <w:sz w:val="22"/>
          <w:szCs w:val="22"/>
        </w:rPr>
        <w:t xml:space="preserve">Chiral anomaly in magnetotransport: Negative longitudinal magnetoresistance when magnetic field is parallel to current, indicating chiral charge pumping between Weyl nodes.</w:t>
      </w:r>
    </w:p>
    <w:p>
      <w:pPr>
        <w:pStyle w:val="ListParagraph"/>
        <w:numPr>
          <w:ilvl w:val="0"/>
          <w:numId w:val="2"/>
        </w:numPr>
        <w:spacing w:after="80" w:line="276"/>
      </w:pPr>
      <w:r>
        <w:rPr>
          <w:rFonts w:ascii="Arial" w:cs="Arial" w:eastAsia="Arial" w:hAnsi="Arial"/>
          <w:color w:val="333333"/>
          <w:sz w:val="22"/>
          <w:szCs w:val="22"/>
        </w:rPr>
        <w:t xml:space="preserve">Surface Fermi arcs: Angle-resolved photoemission (ARPES) or quasiparticle interference (STM) should reveal arc-like surface states connecting projected Weyl node pairs.</w:t>
      </w:r>
    </w:p>
    <w:p>
      <w:pPr>
        <w:pStyle w:val="Heading2"/>
      </w:pPr>
      <w:r>
        <w:t xml:space="preserve">10.3 Kodama State Signatures</w:t>
      </w:r>
    </w:p>
    <w:p>
      <w:pPr>
        <w:pStyle w:val="ListParagraph"/>
        <w:numPr>
          <w:ilvl w:val="0"/>
          <w:numId w:val="2"/>
        </w:numPr>
        <w:spacing w:after="80" w:line="276"/>
      </w:pPr>
      <w:r>
        <w:rPr>
          <w:rFonts w:ascii="Arial" w:cs="Arial" w:eastAsia="Arial" w:hAnsi="Arial"/>
          <w:color w:val="333333"/>
          <w:sz w:val="22"/>
          <w:szCs w:val="22"/>
        </w:rPr>
        <w:t xml:space="preserve">Self-dual curvature response: Local probe measurements (STM spectroscopy) across the Penrose pattern should reveal a ground state density of states consistent with self-dual field configurations at balanced pentagon/heptagon sites.</w:t>
      </w:r>
    </w:p>
    <w:p>
      <w:pPr>
        <w:pStyle w:val="ListParagraph"/>
        <w:numPr>
          <w:ilvl w:val="0"/>
          <w:numId w:val="2"/>
        </w:numPr>
        <w:spacing w:after="80" w:line="276"/>
      </w:pPr>
      <w:r>
        <w:rPr>
          <w:rFonts w:ascii="Arial" w:cs="Arial" w:eastAsia="Arial" w:hAnsi="Arial"/>
          <w:color w:val="333333"/>
          <w:sz w:val="22"/>
          <w:szCs w:val="22"/>
        </w:rPr>
        <w:t xml:space="preserve">Cosmological constant tuning: The ground state properties should vary continuously with He-3/He-4 ratio, with a critical point or crossover corresponding to the self-duality condition.</w:t>
      </w:r>
    </w:p>
    <w:p>
      <w:pPr>
        <w:pStyle w:val="ListParagraph"/>
        <w:numPr>
          <w:ilvl w:val="0"/>
          <w:numId w:val="2"/>
        </w:numPr>
        <w:spacing w:after="80" w:line="276"/>
      </w:pPr>
      <w:r>
        <w:rPr>
          <w:rFonts w:ascii="Arial" w:cs="Arial" w:eastAsia="Arial" w:hAnsi="Arial"/>
          <w:color w:val="333333"/>
          <w:sz w:val="22"/>
          <w:szCs w:val="22"/>
        </w:rPr>
        <w:t xml:space="preserve">Analog Hawking signatures: Near isolated curvature defects (single pentagons or heptagons acting as analog black/white holes), tunneling spectroscopy may detect thermal quasiparticle spectra consistent with analog Hawking-Unruh radiation at temperatures set by the local curvature.</w:t>
      </w:r>
    </w:p>
    <w:p>
      <w:r>
        <w:br w:type="page"/>
      </w:r>
    </w:p>
    <w:p>
      <w:pPr>
        <w:pStyle w:val="Heading1"/>
      </w:pPr>
      <w:r>
        <w:t xml:space="preserve">11. Fabrication Pathway (Outline)</w:t>
      </w:r>
    </w:p>
    <w:p>
      <w:pPr>
        <w:spacing w:after="160" w:line="276"/>
      </w:pPr>
      <w:r>
        <w:rPr>
          <w:rFonts w:ascii="Arial" w:cs="Arial" w:eastAsia="Arial" w:hAnsi="Arial"/>
          <w:b/>
          <w:bCs/>
          <w:color w:val="1B2A4A"/>
          <w:sz w:val="22"/>
          <w:szCs w:val="22"/>
        </w:rPr>
        <w:t xml:space="preserve">Epistemic status:</w:t>
      </w:r>
      <w:r>
        <w:rPr>
          <w:rFonts w:ascii="Arial" w:cs="Arial" w:eastAsia="Arial" w:hAnsi="Arial"/>
          <w:color w:val="333333"/>
          <w:sz w:val="22"/>
          <w:szCs w:val="22"/>
        </w:rPr>
        <w:t xml:space="preserve"> MOTIVATED — Individual steps use established techniques; full integration is untested.</w:t>
      </w:r>
    </w:p>
    <w:p>
      <w:pPr>
        <w:spacing w:after="200" w:before="200"/>
      </w:pPr>
    </w:p>
    <w:p>
      <w:pPr>
        <w:pStyle w:val="ListParagraph"/>
        <w:numPr>
          <w:ilvl w:val="0"/>
          <w:numId w:val="3"/>
        </w:numPr>
        <w:spacing w:after="120" w:line="276"/>
      </w:pPr>
      <w:r>
        <w:rPr>
          <w:rFonts w:ascii="Arial" w:cs="Arial" w:eastAsia="Arial" w:hAnsi="Arial"/>
          <w:b/>
          <w:bCs/>
          <w:color w:val="1B2A4A"/>
          <w:sz w:val="22"/>
          <w:szCs w:val="22"/>
        </w:rPr>
        <w:t xml:space="preserve">Substrate preparation: </w:t>
      </w:r>
      <w:r>
        <w:rPr>
          <w:rFonts w:ascii="Arial" w:cs="Arial" w:eastAsia="Arial" w:hAnsi="Arial"/>
          <w:color w:val="333333"/>
          <w:sz w:val="22"/>
          <w:szCs w:val="22"/>
        </w:rPr>
        <w:t xml:space="preserve">Acquire isotopically enriched ²⁸Si wafer (commercial: Isonics, Avo28). Chemical-mechanical polish to &lt; 0.2 nm RMS.</w:t>
      </w:r>
    </w:p>
    <w:p>
      <w:pPr>
        <w:pStyle w:val="ListParagraph"/>
        <w:numPr>
          <w:ilvl w:val="0"/>
          <w:numId w:val="3"/>
        </w:numPr>
        <w:spacing w:after="120" w:line="276"/>
      </w:pPr>
      <w:r>
        <w:rPr>
          <w:rFonts w:ascii="Arial" w:cs="Arial" w:eastAsia="Arial" w:hAnsi="Arial"/>
          <w:b/>
          <w:bCs/>
          <w:color w:val="1B2A4A"/>
          <w:sz w:val="22"/>
          <w:szCs w:val="22"/>
        </w:rPr>
        <w:t xml:space="preserve">Diamond growth: </w:t>
      </w:r>
      <w:r>
        <w:rPr>
          <w:rFonts w:ascii="Arial" w:cs="Arial" w:eastAsia="Arial" w:hAnsi="Arial"/>
          <w:color w:val="333333"/>
          <w:sz w:val="22"/>
          <w:szCs w:val="22"/>
        </w:rPr>
        <w:t xml:space="preserve">Deposit ¹²C diamond thin film by MPCVD using isotopically enriched methane (¹²CH₄). Target (111) orientation, &lt; 5 ppb nitrogen.</w:t>
      </w:r>
    </w:p>
    <w:p>
      <w:pPr>
        <w:pStyle w:val="ListParagraph"/>
        <w:numPr>
          <w:ilvl w:val="0"/>
          <w:numId w:val="3"/>
        </w:numPr>
        <w:spacing w:after="120" w:line="276"/>
      </w:pPr>
      <w:r>
        <w:rPr>
          <w:rFonts w:ascii="Arial" w:cs="Arial" w:eastAsia="Arial" w:hAnsi="Arial"/>
          <w:b/>
          <w:bCs/>
          <w:color w:val="1B2A4A"/>
          <w:sz w:val="22"/>
          <w:szCs w:val="22"/>
        </w:rPr>
        <w:t xml:space="preserve">Graphene transfer or growth: </w:t>
      </w:r>
      <w:r>
        <w:rPr>
          <w:rFonts w:ascii="Arial" w:cs="Arial" w:eastAsia="Arial" w:hAnsi="Arial"/>
          <w:color w:val="333333"/>
          <w:sz w:val="22"/>
          <w:szCs w:val="22"/>
        </w:rPr>
        <w:t xml:space="preserve">Grow ¹²C graphene by CVD on Cu catalyst and transfer to diamond surface, or attempt direct epitaxial growth on diamond (111).</w:t>
      </w:r>
    </w:p>
    <w:p>
      <w:pPr>
        <w:pStyle w:val="ListParagraph"/>
        <w:numPr>
          <w:ilvl w:val="0"/>
          <w:numId w:val="3"/>
        </w:numPr>
        <w:spacing w:after="120" w:line="276"/>
      </w:pPr>
      <w:r>
        <w:rPr>
          <w:rFonts w:ascii="Arial" w:cs="Arial" w:eastAsia="Arial" w:hAnsi="Arial"/>
          <w:b/>
          <w:bCs/>
          <w:color w:val="1B2A4A"/>
          <w:sz w:val="22"/>
          <w:szCs w:val="22"/>
        </w:rPr>
        <w:t xml:space="preserve">Penrose patterning: </w:t>
      </w:r>
      <w:r>
        <w:rPr>
          <w:rFonts w:ascii="Arial" w:cs="Arial" w:eastAsia="Arial" w:hAnsi="Arial"/>
          <w:color w:val="333333"/>
          <w:sz w:val="22"/>
          <w:szCs w:val="22"/>
        </w:rPr>
        <w:t xml:space="preserve">Use focused helium ion beam (HIM) or electron beam lithography to selectively remove/reform carbon atoms at Penrose-tile vertices, converting hexagons to pentagons and heptagons. This is the most technically challenging step.</w:t>
      </w:r>
    </w:p>
    <w:p>
      <w:pPr>
        <w:pStyle w:val="ListParagraph"/>
        <w:numPr>
          <w:ilvl w:val="0"/>
          <w:numId w:val="3"/>
        </w:numPr>
        <w:spacing w:after="120" w:line="276"/>
      </w:pPr>
      <w:r>
        <w:rPr>
          <w:rFonts w:ascii="Arial" w:cs="Arial" w:eastAsia="Arial" w:hAnsi="Arial"/>
          <w:b/>
          <w:bCs/>
          <w:color w:val="1B2A4A"/>
          <w:sz w:val="22"/>
          <w:szCs w:val="22"/>
        </w:rPr>
        <w:t xml:space="preserve">Nanoribbon definition: </w:t>
      </w:r>
      <w:r>
        <w:rPr>
          <w:rFonts w:ascii="Arial" w:cs="Arial" w:eastAsia="Arial" w:hAnsi="Arial"/>
          <w:color w:val="333333"/>
          <w:sz w:val="22"/>
          <w:szCs w:val="22"/>
        </w:rPr>
        <w:t xml:space="preserve">Etch ribbon geometry with zigzag edge orientation using HIM or reactive ion etching with hydrogen plasma for edge refinement.</w:t>
      </w:r>
    </w:p>
    <w:p>
      <w:pPr>
        <w:pStyle w:val="ListParagraph"/>
        <w:numPr>
          <w:ilvl w:val="0"/>
          <w:numId w:val="3"/>
        </w:numPr>
        <w:spacing w:after="120" w:line="276"/>
      </w:pPr>
      <w:r>
        <w:rPr>
          <w:rFonts w:ascii="Arial" w:cs="Arial" w:eastAsia="Arial" w:hAnsi="Arial"/>
          <w:b/>
          <w:bCs/>
          <w:color w:val="1B2A4A"/>
          <w:sz w:val="22"/>
          <w:szCs w:val="22"/>
        </w:rPr>
        <w:t xml:space="preserve">Niobium deposition: </w:t>
      </w:r>
      <w:r>
        <w:rPr>
          <w:rFonts w:ascii="Arial" w:cs="Arial" w:eastAsia="Arial" w:hAnsi="Arial"/>
          <w:color w:val="333333"/>
          <w:sz w:val="22"/>
          <w:szCs w:val="22"/>
        </w:rPr>
        <w:t xml:space="preserve">DC magnetron sputter Nb contacts under UHV (&lt; 10⁻⁹ Torr) to prevent native oxide formation at the Nb/graphene interface. Pattern via lift-off or shadow mask.</w:t>
      </w:r>
    </w:p>
    <w:p>
      <w:pPr>
        <w:pStyle w:val="ListParagraph"/>
        <w:numPr>
          <w:ilvl w:val="0"/>
          <w:numId w:val="3"/>
        </w:numPr>
        <w:spacing w:after="120" w:line="276"/>
      </w:pPr>
      <w:r>
        <w:rPr>
          <w:rFonts w:ascii="Arial" w:cs="Arial" w:eastAsia="Arial" w:hAnsi="Arial"/>
          <w:b/>
          <w:bCs/>
          <w:color w:val="1B2A4A"/>
          <w:sz w:val="22"/>
          <w:szCs w:val="22"/>
        </w:rPr>
        <w:t xml:space="preserve">Device integration: </w:t>
      </w:r>
      <w:r>
        <w:rPr>
          <w:rFonts w:ascii="Arial" w:cs="Arial" w:eastAsia="Arial" w:hAnsi="Arial"/>
          <w:color w:val="333333"/>
          <w:sz w:val="22"/>
          <w:szCs w:val="22"/>
        </w:rPr>
        <w:t xml:space="preserve">Wire-bond or flip-chip mount to measurement PCB. Load into dilution refrigerator with He-3/He-4 mixture capability. Cool to base temperature (&lt; 10 mK).</w:t>
      </w:r>
    </w:p>
    <w:p>
      <w:r>
        <w:br w:type="page"/>
      </w:r>
    </w:p>
    <w:p>
      <w:pPr>
        <w:pStyle w:val="Heading1"/>
      </w:pPr>
      <w:r>
        <w:t xml:space="preserve">12. Open Questions and Risk Assessment</w:t>
      </w:r>
    </w:p>
    <w:p>
      <w:pPr>
        <w:spacing w:after="200" w:before="200"/>
      </w:pPr>
    </w:p>
    <w:p>
      <w:pPr>
        <w:pStyle w:val="Heading2"/>
      </w:pPr>
      <w:r>
        <w:t xml:space="preserve">12.1 Critical Unknowns</w:t>
      </w:r>
    </w:p>
    <w:p>
      <w:pPr>
        <w:pStyle w:val="ListParagraph"/>
        <w:numPr>
          <w:ilvl w:val="0"/>
          <w:numId w:val="2"/>
        </w:numPr>
        <w:spacing w:after="80" w:line="276"/>
      </w:pPr>
      <w:r>
        <w:rPr>
          <w:rFonts w:ascii="Arial" w:cs="Arial" w:eastAsia="Arial" w:hAnsi="Arial"/>
          <w:color w:val="333333"/>
          <w:sz w:val="22"/>
          <w:szCs w:val="22"/>
        </w:rPr>
        <w:t xml:space="preserve">Penrose defect fabrication fidelity: No demonstrated method exists for placing 5-ring and 7-ring defects at arbitrary predetermined positions in a graphene lattice with atomic precision at the density required for a Penrose tiling.</w:t>
      </w:r>
    </w:p>
    <w:p>
      <w:pPr>
        <w:pStyle w:val="ListParagraph"/>
        <w:numPr>
          <w:ilvl w:val="0"/>
          <w:numId w:val="2"/>
        </w:numPr>
        <w:spacing w:after="80" w:line="276"/>
      </w:pPr>
      <w:r>
        <w:rPr>
          <w:rFonts w:ascii="Arial" w:cs="Arial" w:eastAsia="Arial" w:hAnsi="Arial"/>
          <w:color w:val="333333"/>
          <w:sz w:val="22"/>
          <w:szCs w:val="22"/>
        </w:rPr>
        <w:t xml:space="preserve">Fracton phase stability: It is unknown whether the engineered curvature field produces a stable fracton phase or a disordered state with fracton-like but ultimately conventional localization physics.</w:t>
      </w:r>
    </w:p>
    <w:p>
      <w:pPr>
        <w:pStyle w:val="ListParagraph"/>
        <w:numPr>
          <w:ilvl w:val="0"/>
          <w:numId w:val="2"/>
        </w:numPr>
        <w:spacing w:after="80" w:line="276"/>
      </w:pPr>
      <w:r>
        <w:rPr>
          <w:rFonts w:ascii="Arial" w:cs="Arial" w:eastAsia="Arial" w:hAnsi="Arial"/>
          <w:color w:val="333333"/>
          <w:sz w:val="22"/>
          <w:szCs w:val="22"/>
        </w:rPr>
        <w:t xml:space="preserve">Kodama analog normalizability: While the finite Hilbert space argument is suggestive, no calculation confirms that the analog Kodama state is normalizable in this system.</w:t>
      </w:r>
    </w:p>
    <w:p>
      <w:pPr>
        <w:pStyle w:val="ListParagraph"/>
        <w:numPr>
          <w:ilvl w:val="0"/>
          <w:numId w:val="2"/>
        </w:numPr>
        <w:spacing w:after="80" w:line="276"/>
      </w:pPr>
      <w:r>
        <w:rPr>
          <w:rFonts w:ascii="Arial" w:cs="Arial" w:eastAsia="Arial" w:hAnsi="Arial"/>
          <w:color w:val="333333"/>
          <w:sz w:val="22"/>
          <w:szCs w:val="22"/>
        </w:rPr>
        <w:t xml:space="preserve">He-3 coupling mechanism: The precise Hamiltonian coupling between the device’s fracton sector and the He-3 superfluid’s topological order has not been derived.</w:t>
      </w:r>
    </w:p>
    <w:p>
      <w:pPr>
        <w:pStyle w:val="Heading2"/>
      </w:pPr>
      <w:r>
        <w:t xml:space="preserve">12.2 Falsification Criteria</w:t>
      </w:r>
    </w:p>
    <w:p>
      <w:pPr>
        <w:spacing w:after="160" w:before="0" w:line="276"/>
        <w:jc w:val="left"/>
      </w:pPr>
      <w:r>
        <w:rPr>
          <w:rFonts w:ascii="Arial" w:cs="Arial" w:eastAsia="Arial" w:hAnsi="Arial"/>
          <w:color w:val="333333"/>
          <w:sz w:val="22"/>
          <w:szCs w:val="22"/>
        </w:rPr>
        <w:t xml:space="preserve">The architecture makes falsifiable predictions. The following experimental outcomes would indicate failure of specific claims:</w:t>
      </w:r>
    </w:p>
    <w:p>
      <w:pPr>
        <w:pStyle w:val="ListParagraph"/>
        <w:numPr>
          <w:ilvl w:val="0"/>
          <w:numId w:val="2"/>
        </w:numPr>
        <w:spacing w:after="80" w:line="276"/>
      </w:pPr>
      <w:r>
        <w:rPr>
          <w:rFonts w:ascii="Arial" w:cs="Arial" w:eastAsia="Arial" w:hAnsi="Arial"/>
          <w:color w:val="333333"/>
          <w:sz w:val="22"/>
          <w:szCs w:val="22"/>
        </w:rPr>
        <w:t xml:space="preserve">If thermal transport shows standard Anderson localization rather than fracton-type restricted mobility, the fracton phase claim fails.</w:t>
      </w:r>
    </w:p>
    <w:p>
      <w:pPr>
        <w:pStyle w:val="ListParagraph"/>
        <w:numPr>
          <w:ilvl w:val="0"/>
          <w:numId w:val="2"/>
        </w:numPr>
        <w:spacing w:after="80" w:line="276"/>
      </w:pPr>
      <w:r>
        <w:rPr>
          <w:rFonts w:ascii="Arial" w:cs="Arial" w:eastAsia="Arial" w:hAnsi="Arial"/>
          <w:color w:val="333333"/>
          <w:sz w:val="22"/>
          <w:szCs w:val="22"/>
        </w:rPr>
        <w:t xml:space="preserve">If ground state degeneracy scales extensively (not sub-extensively) with system size, conventional rather than fracton topological order is realized.</w:t>
      </w:r>
    </w:p>
    <w:p>
      <w:pPr>
        <w:pStyle w:val="ListParagraph"/>
        <w:numPr>
          <w:ilvl w:val="0"/>
          <w:numId w:val="2"/>
        </w:numPr>
        <w:spacing w:after="80" w:line="276"/>
      </w:pPr>
      <w:r>
        <w:rPr>
          <w:rFonts w:ascii="Arial" w:cs="Arial" w:eastAsia="Arial" w:hAnsi="Arial"/>
          <w:color w:val="333333"/>
          <w:sz w:val="22"/>
          <w:szCs w:val="22"/>
        </w:rPr>
        <w:t xml:space="preserve">If He-3/He-4 ratio variation shows no effect on ground state properties, the Hamiltonian tuning claim fails.</w:t>
      </w:r>
    </w:p>
    <w:p>
      <w:pPr>
        <w:pStyle w:val="ListParagraph"/>
        <w:numPr>
          <w:ilvl w:val="0"/>
          <w:numId w:val="2"/>
        </w:numPr>
        <w:spacing w:after="80" w:line="276"/>
      </w:pPr>
      <w:r>
        <w:rPr>
          <w:rFonts w:ascii="Arial" w:cs="Arial" w:eastAsia="Arial" w:hAnsi="Arial"/>
          <w:color w:val="333333"/>
          <w:sz w:val="22"/>
          <w:szCs w:val="22"/>
        </w:rPr>
        <w:t xml:space="preserve">If STM spectroscopy at balanced pentagon/heptagon sites shows no signature distinguishable from generic disorder, the self-duality / Kodama claim fails.</w:t>
      </w:r>
    </w:p>
    <w:p>
      <w:r>
        <w:br w:type="page"/>
      </w:r>
    </w:p>
    <w:p>
      <w:pPr>
        <w:pStyle w:val="Heading1"/>
      </w:pPr>
      <w:r>
        <w:t xml:space="preserve">13. Conclusion</w:t>
      </w:r>
    </w:p>
    <w:p>
      <w:pPr>
        <w:spacing w:after="160" w:before="0" w:line="276"/>
        <w:jc w:val="left"/>
      </w:pPr>
      <w:r>
        <w:rPr>
          <w:rFonts w:ascii="Arial" w:cs="Arial" w:eastAsia="Arial" w:hAnsi="Arial"/>
          <w:color w:val="333333"/>
          <w:sz w:val="22"/>
          <w:szCs w:val="22"/>
        </w:rPr>
        <w:t xml:space="preserve">This specification describes a vertically integrated condensed matter architecture designed to realize a Fractonic Weyl Semimetal with a Kodama-type ground state. The design leverages established physics at every material layer, connected through theoretically motivated bridges, to arrive at speculative but falsifiable predictions about an emergent quantum phase that would constitute a tabletop analog of quantum gravity with a positive cosmological constant.</w:t>
      </w:r>
    </w:p>
    <w:p>
      <w:pPr>
        <w:spacing w:after="160" w:before="0" w:line="276"/>
        <w:jc w:val="left"/>
      </w:pPr>
      <w:r>
        <w:rPr>
          <w:rFonts w:ascii="Arial" w:cs="Arial" w:eastAsia="Arial" w:hAnsi="Arial"/>
          <w:color w:val="333333"/>
          <w:sz w:val="22"/>
          <w:szCs w:val="22"/>
        </w:rPr>
        <w:t xml:space="preserve">The architecture’s principal innovation is not any single layer but their composition: the recognition that isotopic purification, quasicrystalline geometry, topological superconductivity, and superfluid quantum environments can be stacked to address orthogonal physical requirements, converging on a target phase inaccessible to any single material platform.</w:t>
      </w:r>
    </w:p>
    <w:p>
      <w:pPr>
        <w:spacing w:after="160" w:before="0" w:line="276"/>
        <w:jc w:val="left"/>
      </w:pPr>
      <w:r>
        <w:rPr>
          <w:rFonts w:ascii="Arial" w:cs="Arial" w:eastAsia="Arial" w:hAnsi="Arial"/>
          <w:color w:val="333333"/>
          <w:sz w:val="22"/>
          <w:szCs w:val="22"/>
        </w:rPr>
        <w:t xml:space="preserve">All speculative claims are explicitly identified and accompanied by falsification criteria. The next step is detailed numerical simulation of the Penrose-patterned graphene band structure and its coupling to the niobium proximity effect, which would determine whether the fracton-Weyl coexistence is energetically favored before any fabrication is attempted.</w:t>
      </w:r>
    </w:p>
    <w:p>
      <w:pPr>
        <w:spacing w:after="200" w:before="200"/>
      </w:pPr>
    </w:p>
    <w:p>
      <w:pPr>
        <w:pBdr>
          <w:bottom w:val="single" w:color="2E75B6" w:sz="4" w:space="1"/>
        </w:pBdr>
        <w:spacing w:after="200" w:before="200"/>
      </w:pPr>
    </w:p>
    <w:p>
      <w:pPr>
        <w:spacing w:before="200"/>
        <w:jc w:val="center"/>
      </w:pPr>
      <w:r>
        <w:rPr>
          <w:rFonts w:ascii="Arial" w:cs="Arial" w:eastAsia="Arial" w:hAnsi="Arial"/>
          <w:color w:val="666666"/>
          <w:sz w:val="20"/>
          <w:szCs w:val="20"/>
        </w:rPr>
        <w:t xml:space="preserve">Geometry of State  |  GoS-Architect  |  github.com/GoS-Architect</w:t>
      </w:r>
    </w:p>
    <w:p>
      <w:pPr>
        <w:spacing w:after="0"/>
        <w:jc w:val="center"/>
      </w:pPr>
      <w:r>
        <w:rPr>
          <w:rFonts w:ascii="Arial" w:cs="Arial" w:eastAsia="Arial" w:hAnsi="Arial"/>
          <w:color w:val="666666"/>
          <w:sz w:val="20"/>
          <w:szCs w:val="20"/>
        </w:rPr>
        <w:t xml:space="preserve">Revision 1.0 — March 2026 — DRAFT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8"/>
        <w:szCs w:val="18"/>
      </w:rPr>
      <w:t xml:space="preserve">Fractonic Weyl Semimetal — Engineering Specification</w:t>
    </w:r>
    <w:r>
      <w:rPr>
        <w:rFonts w:ascii="Arial" w:cs="Arial" w:eastAsia="Arial" w:hAnsi="Arial"/>
        <w:color w:val="666666"/>
        <w:sz w:val="18"/>
        <w:szCs w:val="18"/>
      </w:rPr>
      <w:t xml:space="preserve">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2026-03-17T17:06:00.488Z</dcterms:created>
  <dcterms:modified xsi:type="dcterms:W3CDTF">2026-03-17T17:06:00.489Z</dcterms:modified>
</cp:coreProperties>
</file>

<file path=docProps/custom.xml><?xml version="1.0" encoding="utf-8"?>
<Properties xmlns="http://schemas.openxmlformats.org/officeDocument/2006/custom-properties" xmlns:vt="http://schemas.openxmlformats.org/officeDocument/2006/docPropsVTypes"/>
</file>