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before="0" w:line="276"/>
        <w:jc w:val="center"/>
      </w:pPr>
      <w:r>
        <w:rPr>
          <w:rFonts w:ascii="Arial" w:cs="Arial" w:eastAsia="Arial" w:hAnsi="Arial"/>
          <w:b/>
          <w:bCs/>
          <w:color w:val="2E75B6"/>
          <w:spacing w:val="200"/>
          <w:sz w:val="28"/>
          <w:szCs w:val="28"/>
        </w:rPr>
        <w:t xml:space="preserve">SIMULATION ROADMAP</w:t>
      </w:r>
    </w:p>
    <w:p>
      <w:pPr>
        <w:spacing w:after="80" w:before="0" w:line="276"/>
        <w:jc w:val="center"/>
      </w:pPr>
      <w:r>
        <w:rPr>
          <w:rFonts w:ascii="Arial" w:cs="Arial" w:eastAsia="Arial" w:hAnsi="Arial"/>
          <w:b/>
          <w:bCs/>
          <w:color w:val="1B2A4A"/>
          <w:sz w:val="52"/>
          <w:szCs w:val="52"/>
        </w:rPr>
        <w:t xml:space="preserve">Fractonic Weyl Semimetal</w:t>
      </w:r>
    </w:p>
    <w:p>
      <w:pPr>
        <w:spacing w:after="60" w:before="0" w:line="276"/>
        <w:jc w:val="center"/>
      </w:pPr>
      <w:r>
        <w:rPr>
          <w:rFonts w:ascii="Arial" w:cs="Arial" w:eastAsia="Arial" w:hAnsi="Arial"/>
          <w:color w:val="1B2A4A"/>
          <w:sz w:val="36"/>
          <w:szCs w:val="36"/>
        </w:rPr>
        <w:t xml:space="preserve">Computational Verification Program</w:t>
      </w:r>
    </w:p>
    <w:p>
      <w:pPr>
        <w:pBdr>
          <w:bottom w:val="single" w:color="2E75B6" w:sz="6" w:space="1"/>
        </w:pBdr>
        <w:spacing w:after="400"/>
        <w:jc w:val="center"/>
      </w:pPr>
    </w:p>
    <w:p>
      <w:pPr>
        <w:spacing w:after="80" w:before="0" w:line="276"/>
        <w:jc w:val="center"/>
      </w:pPr>
      <w:r>
        <w:rPr>
          <w:rFonts w:ascii="Arial" w:cs="Arial" w:eastAsia="Arial" w:hAnsi="Arial"/>
          <w:color w:val="666666"/>
          <w:sz w:val="24"/>
          <w:szCs w:val="24"/>
        </w:rPr>
        <w:t xml:space="preserve">From 1D Chain to Full Device Model</w:t>
      </w:r>
    </w:p>
    <w:p>
      <w:pPr>
        <w:spacing w:after="160" w:before="0" w:line="276"/>
        <w:jc w:val="center"/>
      </w:pPr>
      <w:r>
        <w:rPr>
          <w:rFonts w:ascii="Arial" w:cs="Arial" w:eastAsia="Arial" w:hAnsi="Arial"/>
          <w:color w:val="666666"/>
          <w:sz w:val="24"/>
          <w:szCs w:val="24"/>
        </w:rPr>
        <w:t xml:space="preserve">Seven Stages — Each a Gate Before the Next</w:t>
      </w:r>
    </w:p>
    <w:p>
      <w:pPr>
        <w:spacing w:before="1200"/>
      </w:pPr>
    </w:p>
    <w:p>
      <w:pPr>
        <w:spacing w:after="80" w:before="0" w:line="276"/>
        <w:jc w:val="center"/>
      </w:pPr>
      <w:r>
        <w:rPr>
          <w:rFonts w:ascii="Arial" w:cs="Arial" w:eastAsia="Arial" w:hAnsi="Arial"/>
          <w:b/>
          <w:bCs/>
          <w:color w:val="1B2A4A"/>
          <w:sz w:val="24"/>
          <w:szCs w:val="24"/>
        </w:rPr>
        <w:t xml:space="preserve">Geometry of State (GoS) Framework</w:t>
      </w:r>
    </w:p>
    <w:p>
      <w:pPr>
        <w:spacing w:after="40" w:before="0" w:line="276"/>
        <w:jc w:val="center"/>
      </w:pPr>
      <w:r>
        <w:rPr>
          <w:rFonts w:ascii="Arial" w:cs="Arial" w:eastAsia="Arial" w:hAnsi="Arial"/>
          <w:color w:val="333333"/>
          <w:sz w:val="22"/>
          <w:szCs w:val="22"/>
        </w:rPr>
        <w:t xml:space="preserve">Adrian — GoS-Architect</w:t>
      </w:r>
    </w:p>
    <w:p>
      <w:pPr>
        <w:spacing w:after="40" w:before="0" w:line="276"/>
        <w:jc w:val="center"/>
      </w:pPr>
      <w:r>
        <w:rPr>
          <w:rFonts w:ascii="Arial" w:cs="Arial" w:eastAsia="Arial" w:hAnsi="Arial"/>
          <w:color w:val="2E75B6"/>
          <w:sz w:val="20"/>
          <w:szCs w:val="20"/>
        </w:rPr>
        <w:t xml:space="preserve">github.com/GoS-Architect</w:t>
      </w:r>
    </w:p>
    <w:p>
      <w:pPr>
        <w:spacing w:after="160" w:before="0" w:line="276"/>
        <w:jc w:val="center"/>
      </w:pPr>
      <w:r>
        <w:rPr>
          <w:rFonts w:ascii="Arial" w:cs="Arial" w:eastAsia="Arial" w:hAnsi="Arial"/>
          <w:color w:val="666666"/>
          <w:sz w:val="20"/>
          <w:szCs w:val="20"/>
        </w:rPr>
        <w:t xml:space="preserve">March 2026  |  Revision 1.0  |  DRAFT</w:t>
      </w:r>
    </w:p>
    <w:p>
      <w:r>
        <w:br w:type="page"/>
      </w:r>
    </w:p>
    <w:p>
      <w:pPr>
        <w:pStyle w:val="Heading1"/>
      </w:pPr>
      <w:r>
        <w:t xml:space="preserve">Preamble: The Simulation-First Discipline</w:t>
      </w:r>
    </w:p>
    <w:p>
      <w:pPr>
        <w:spacing w:after="160" w:before="0" w:line="276"/>
        <w:jc w:val="left"/>
      </w:pPr>
      <w:r>
        <w:rPr>
          <w:rFonts w:ascii="Arial" w:cs="Arial" w:eastAsia="Arial" w:hAnsi="Arial"/>
          <w:color w:val="333333"/>
          <w:sz w:val="22"/>
          <w:szCs w:val="22"/>
        </w:rPr>
        <w:t xml:space="preserve">The engineering specification for the Fractonic Weyl Semimetal architecture describes a device concept grounded in individually established physics, connected through theoretically motivated bridges, terminating in speculative predictions. Before any atom is moved, every speculative bridge must be tested computationally. This document defines the simulation program that stands between the thesis and the cleanroom.</w:t>
      </w:r>
    </w:p>
    <w:p>
      <w:pPr>
        <w:spacing w:after="160" w:before="0" w:line="276"/>
        <w:jc w:val="left"/>
      </w:pPr>
      <w:r>
        <w:rPr>
          <w:rFonts w:ascii="Arial" w:cs="Arial" w:eastAsia="Arial" w:hAnsi="Arial"/>
          <w:color w:val="333333"/>
          <w:sz w:val="22"/>
          <w:szCs w:val="22"/>
        </w:rPr>
        <w:t xml:space="preserve">The program is organized as seven sequential stages, each gated: a stage must produce a defined pass/fail result before the next stage begins. If a stage fails, the architecture is revised or the program terminates. There is no skipping ahead. The cheapest place to discover that the physics doesn’t work is in a simulation, not in a $200,000 fabrication run.</w:t>
      </w:r>
    </w:p>
    <w:p>
      <w:pPr>
        <w:spacing w:after="200" w:before="200"/>
      </w:pPr>
    </w:p>
    <w:p>
      <w:pPr>
        <w:pStyle w:val="Heading2"/>
      </w:pPr>
      <w:r>
        <w:t xml:space="preserve">Gating Philosophy</w:t>
      </w:r>
    </w:p>
    <w:p>
      <w:pPr>
        <w:spacing w:after="160" w:before="0" w:line="276"/>
        <w:jc w:val="left"/>
      </w:pPr>
      <w:r>
        <w:rPr>
          <w:rFonts w:ascii="Arial" w:cs="Arial" w:eastAsia="Arial" w:hAnsi="Arial"/>
          <w:color w:val="333333"/>
          <w:sz w:val="22"/>
          <w:szCs w:val="22"/>
        </w:rPr>
        <w:t xml:space="preserve">Each stage has three components:</w:t>
      </w:r>
    </w:p>
    <w:p>
      <w:pPr>
        <w:pStyle w:val="ListParagraph"/>
        <w:numPr>
          <w:ilvl w:val="0"/>
          <w:numId w:val="2"/>
        </w:numPr>
        <w:spacing w:after="80" w:line="276"/>
      </w:pPr>
      <w:r>
        <w:rPr>
          <w:rFonts w:ascii="Arial" w:cs="Arial" w:eastAsia="Arial" w:hAnsi="Arial"/>
          <w:b/>
          <w:bCs/>
          <w:color w:val="1B2A4A"/>
          <w:sz w:val="22"/>
          <w:szCs w:val="22"/>
        </w:rPr>
        <w:t xml:space="preserve">Simulation objective: </w:t>
      </w:r>
      <w:r>
        <w:rPr>
          <w:rFonts w:ascii="Arial" w:cs="Arial" w:eastAsia="Arial" w:hAnsi="Arial"/>
          <w:color w:val="333333"/>
          <w:sz w:val="22"/>
          <w:szCs w:val="22"/>
        </w:rPr>
        <w:t xml:space="preserve">What specific physical question is being answered.</w:t>
      </w:r>
    </w:p>
    <w:p>
      <w:pPr>
        <w:pStyle w:val="ListParagraph"/>
        <w:numPr>
          <w:ilvl w:val="0"/>
          <w:numId w:val="2"/>
        </w:numPr>
        <w:spacing w:after="80" w:line="276"/>
      </w:pPr>
      <w:r>
        <w:rPr>
          <w:rFonts w:ascii="Arial" w:cs="Arial" w:eastAsia="Arial" w:hAnsi="Arial"/>
          <w:b/>
          <w:bCs/>
          <w:color w:val="1B2A4A"/>
          <w:sz w:val="22"/>
          <w:szCs w:val="22"/>
        </w:rPr>
        <w:t xml:space="preserve">Pass/fail criterion: </w:t>
      </w:r>
      <w:r>
        <w:rPr>
          <w:rFonts w:ascii="Arial" w:cs="Arial" w:eastAsia="Arial" w:hAnsi="Arial"/>
          <w:color w:val="333333"/>
          <w:sz w:val="22"/>
          <w:szCs w:val="22"/>
        </w:rPr>
        <w:t xml:space="preserve">A quantitative threshold that determines whether the result supports or falsifies the architecture. No ambiguity.</w:t>
      </w:r>
    </w:p>
    <w:p>
      <w:pPr>
        <w:pStyle w:val="ListParagraph"/>
        <w:numPr>
          <w:ilvl w:val="0"/>
          <w:numId w:val="2"/>
        </w:numPr>
        <w:spacing w:after="80" w:line="276"/>
      </w:pPr>
      <w:r>
        <w:rPr>
          <w:rFonts w:ascii="Arial" w:cs="Arial" w:eastAsia="Arial" w:hAnsi="Arial"/>
          <w:b/>
          <w:bCs/>
          <w:color w:val="1B2A4A"/>
          <w:sz w:val="22"/>
          <w:szCs w:val="22"/>
        </w:rPr>
        <w:t xml:space="preserve">Kill condition: </w:t>
      </w:r>
      <w:r>
        <w:rPr>
          <w:rFonts w:ascii="Arial" w:cs="Arial" w:eastAsia="Arial" w:hAnsi="Arial"/>
          <w:color w:val="333333"/>
          <w:sz w:val="22"/>
          <w:szCs w:val="22"/>
        </w:rPr>
        <w:t xml:space="preserve">The specific outcome that would terminate the program or force a major architectural revision. Named explicitly so we know what failure looks like before we run the code.</w:t>
      </w:r>
    </w:p>
    <w:p>
      <w:pPr>
        <w:spacing w:after="200" w:before="200"/>
      </w:pPr>
    </w:p>
    <w:p>
      <w:pPr>
        <w:spacing w:after="160" w:before="0" w:line="276"/>
        <w:jc w:val="left"/>
      </w:pPr>
      <w:r>
        <w:rPr>
          <w:rFonts w:ascii="Arial" w:cs="Arial" w:eastAsia="Arial" w:hAnsi="Arial"/>
          <w:color w:val="333333"/>
          <w:sz w:val="22"/>
          <w:szCs w:val="22"/>
        </w:rPr>
        <w:t xml:space="preserve">The stages are ordered by computational cost (cheapest first) and by logical dependency (each stage’s output feeds the next stage’s input). This means failures are discovered as early and as cheaply as possible.</w:t>
      </w:r>
    </w:p>
    <w:p>
      <w:r>
        <w:br w:type="page"/>
      </w:r>
    </w:p>
    <w:p>
      <w:pPr>
        <w:pStyle w:val="Heading1"/>
      </w:pPr>
      <w:r>
        <w:t xml:space="preserve">Stage Overview</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1800"/>
        <w:gridCol w:w="1500"/>
        <w:gridCol w:w="1560"/>
        <w:gridCol w:w="1800"/>
      </w:tblGrid>
      <w:tr>
        <w:tc>
          <w:tcPr>
            <w:tcW w:type="dxa" w:w="6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t>
            </w:r>
          </w:p>
        </w:tc>
        <w:tc>
          <w:tcPr>
            <w:tcW w:type="dxa" w:w="21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Stage</w:t>
            </w:r>
          </w:p>
        </w:tc>
        <w:tc>
          <w:tcPr>
            <w:tcW w:type="dxa" w:w="18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Key Question</w:t>
            </w:r>
          </w:p>
        </w:tc>
        <w:tc>
          <w:tcPr>
            <w:tcW w:type="dxa" w:w="15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Tool</w:t>
            </w:r>
          </w:p>
        </w:tc>
        <w:tc>
          <w:tcPr>
            <w:tcW w:type="dxa" w:w="156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Cost</w:t>
            </w:r>
          </w:p>
        </w:tc>
        <w:tc>
          <w:tcPr>
            <w:tcW w:type="dxa" w:w="18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Gate Output</w:t>
            </w:r>
          </w:p>
        </w:tc>
      </w:tr>
      <w:tr>
        <w:tc>
          <w:tcPr>
            <w:tcW w:type="dxa" w:w="6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1</w:t>
            </w:r>
          </w:p>
        </w:tc>
        <w:tc>
          <w:tcPr>
            <w:tcW w:type="dxa" w:w="2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2D BdG on Penrose Patch</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Do MZMs survive in 2D?</w:t>
            </w:r>
          </w:p>
        </w:tc>
        <w:tc>
          <w:tcPr>
            <w:tcW w:type="dxa" w:w="1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Python / NumPy</w:t>
            </w:r>
          </w:p>
        </w:tc>
        <w:tc>
          <w:tcPr>
            <w:tcW w:type="dxa" w:w="15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Laptop (hours)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 = 1 in 2D: yes/no</w:t>
            </w:r>
          </w:p>
        </w:tc>
      </w:tr>
      <w:tr>
        <w:tc>
          <w:tcPr>
            <w:tcW w:type="dxa" w:w="6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2</w:t>
            </w:r>
          </w:p>
        </w:tc>
        <w:tc>
          <w:tcPr>
            <w:tcW w:type="dxa" w:w="2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2D Phonon Transport</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Does PGTC scale to 2D?</w:t>
            </w:r>
          </w:p>
        </w:tc>
        <w:tc>
          <w:tcPr>
            <w:tcW w:type="dxa" w:w="1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Python / NumPy</w:t>
            </w:r>
          </w:p>
        </w:tc>
        <w:tc>
          <w:tcPr>
            <w:tcW w:type="dxa" w:w="15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Laptop (hours)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κ_QP/κ_ord &lt; 0.5</w:t>
            </w:r>
          </w:p>
        </w:tc>
      </w:tr>
      <w:tr>
        <w:tc>
          <w:tcPr>
            <w:tcW w:type="dxa" w:w="6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3</w:t>
            </w:r>
          </w:p>
        </w:tc>
        <w:tc>
          <w:tcPr>
            <w:tcW w:type="dxa" w:w="2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DFT Defect Validation</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Are TB parameters right?</w:t>
            </w:r>
          </w:p>
        </w:tc>
        <w:tc>
          <w:tcPr>
            <w:tcW w:type="dxa" w:w="1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VASP / QE</w:t>
            </w:r>
          </w:p>
        </w:tc>
        <w:tc>
          <w:tcPr>
            <w:tcW w:type="dxa" w:w="15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HPC (days)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t(x) within 20% of Harrison</w:t>
            </w:r>
          </w:p>
        </w:tc>
      </w:tr>
      <w:tr>
        <w:tc>
          <w:tcPr>
            <w:tcW w:type="dxa" w:w="6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4</w:t>
            </w:r>
          </w:p>
        </w:tc>
        <w:tc>
          <w:tcPr>
            <w:tcW w:type="dxa" w:w="2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DFT Band Structure</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Weyl nodes present?</w:t>
            </w:r>
          </w:p>
        </w:tc>
        <w:tc>
          <w:tcPr>
            <w:tcW w:type="dxa" w:w="1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VASP / QE</w:t>
            </w:r>
          </w:p>
        </w:tc>
        <w:tc>
          <w:tcPr>
            <w:tcW w:type="dxa" w:w="15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HPC (days)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Linear crossings at E_F</w:t>
            </w:r>
          </w:p>
        </w:tc>
      </w:tr>
      <w:tr>
        <w:tc>
          <w:tcPr>
            <w:tcW w:type="dxa" w:w="6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5</w:t>
            </w:r>
          </w:p>
        </w:tc>
        <w:tc>
          <w:tcPr>
            <w:tcW w:type="dxa" w:w="2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Nb Proximity Effect</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SC gap survives defects?</w:t>
            </w:r>
          </w:p>
        </w:tc>
        <w:tc>
          <w:tcPr>
            <w:tcW w:type="dxa" w:w="1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Kwant / NEGF</w:t>
            </w:r>
          </w:p>
        </w:tc>
        <w:tc>
          <w:tcPr>
            <w:tcW w:type="dxa" w:w="15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Workstation (days)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Induced Δ &gt; 0 at defects</w:t>
            </w:r>
          </w:p>
        </w:tc>
      </w:tr>
      <w:tr>
        <w:tc>
          <w:tcPr>
            <w:tcW w:type="dxa" w:w="6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6</w:t>
            </w:r>
          </w:p>
        </w:tc>
        <w:tc>
          <w:tcPr>
            <w:tcW w:type="dxa" w:w="2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Fracton Diagnostics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Restricted mobility?</w:t>
            </w:r>
          </w:p>
        </w:tc>
        <w:tc>
          <w:tcPr>
            <w:tcW w:type="dxa" w:w="1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ED / DMRG</w:t>
            </w:r>
          </w:p>
        </w:tc>
        <w:tc>
          <w:tcPr>
            <w:tcW w:type="dxa" w:w="15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HPC (weeks)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Sub-extensive GSD</w:t>
            </w:r>
          </w:p>
        </w:tc>
      </w:tr>
      <w:tr>
        <w:tc>
          <w:tcPr>
            <w:tcW w:type="dxa" w:w="6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1B2A4A"/>
                <w:sz w:val="18"/>
                <w:szCs w:val="18"/>
              </w:rPr>
              <w:t xml:space="preserve">7</w:t>
            </w:r>
          </w:p>
        </w:tc>
        <w:tc>
          <w:tcPr>
            <w:tcW w:type="dxa" w:w="21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Full Stack Thermal</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Device-level coherence?</w:t>
            </w:r>
          </w:p>
        </w:tc>
        <w:tc>
          <w:tcPr>
            <w:tcW w:type="dxa" w:w="15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NEGF + MD</w:t>
            </w:r>
          </w:p>
        </w:tc>
        <w:tc>
          <w:tcPr>
            <w:tcW w:type="dxa" w:w="15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HPC (weeks)</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T_coh &gt; T_measurement</w:t>
            </w:r>
          </w:p>
        </w:tc>
      </w:tr>
    </w:tbl>
    <w:p>
      <w:pPr>
        <w:spacing w:after="200" w:before="200"/>
      </w:pPr>
    </w:p>
    <w:p>
      <w:pPr>
        <w:spacing w:after="160" w:before="0" w:line="276"/>
        <w:jc w:val="left"/>
      </w:pPr>
      <w:r>
        <w:rPr>
          <w:rFonts w:ascii="Arial" w:cs="Arial" w:eastAsia="Arial" w:hAnsi="Arial"/>
          <w:color w:val="333333"/>
          <w:sz w:val="22"/>
          <w:szCs w:val="22"/>
        </w:rPr>
        <w:t xml:space="preserve">Total estimated computational cost: approximately 50,000–200,000 CPU-hours across all stages, depending on system sizes. Stages 1–2 are executable immediately on a personal workstation. Stages 3–7 require HPC access (university cluster, XSEDE/ACCESS allocation, or cloud compute).</w:t>
      </w:r>
    </w:p>
    <w:p>
      <w:r>
        <w:br w:type="page"/>
      </w:r>
    </w:p>
    <w:p>
      <w:pPr>
        <w:pStyle w:val="Heading1"/>
      </w:pPr>
      <w:r>
        <w:t xml:space="preserve">Stage 1: 2D BdG on Penrose Patch</w:t>
      </w:r>
    </w:p>
    <w:p>
      <w:pPr>
        <w:spacing w:after="200" w:before="0" w:line="276"/>
        <w:jc w:val="left"/>
      </w:pPr>
      <w:r>
        <w:rPr>
          <w:rFonts w:ascii="Arial" w:cs="Arial" w:eastAsia="Arial" w:hAnsi="Arial"/>
          <w:b/>
          <w:bCs/>
          <w:color w:val="C0392B"/>
          <w:sz w:val="20"/>
          <w:szCs w:val="20"/>
        </w:rPr>
        <w:t xml:space="preserve">PRIORITY: CRITICAL  |  </w:t>
      </w:r>
      <w:r>
        <w:rPr>
          <w:rFonts w:ascii="Arial" w:cs="Arial" w:eastAsia="Arial" w:hAnsi="Arial"/>
          <w:color w:val="333333"/>
          <w:sz w:val="20"/>
          <w:szCs w:val="20"/>
        </w:rPr>
        <w:t xml:space="preserve">This is the single most important simulation. Everything else is contingent on this result.</w:t>
      </w:r>
    </w:p>
    <w:p>
      <w:pPr>
        <w:pStyle w:val="Heading2"/>
      </w:pPr>
      <w:r>
        <w:t xml:space="preserve">1.1 Objective</w:t>
      </w:r>
    </w:p>
    <w:p>
      <w:pPr>
        <w:spacing w:after="160" w:before="0" w:line="276"/>
        <w:jc w:val="left"/>
      </w:pPr>
      <w:r>
        <w:rPr>
          <w:rFonts w:ascii="Arial" w:cs="Arial" w:eastAsia="Arial" w:hAnsi="Arial"/>
          <w:color w:val="333333"/>
          <w:sz w:val="22"/>
          <w:szCs w:val="22"/>
        </w:rPr>
        <w:t xml:space="preserve">Extend the 1D BdG Hamiltonian computation from the thesis (100-site golden-angle chain, w = 1, two MZMs) to a 2D Penrose-tiled graphene patch with explicit 5-ring and 7-ring defects. Determine whether Majorana zero modes survive the transition from a 1D slice to the full 2D geometry.</w:t>
      </w:r>
    </w:p>
    <w:p>
      <w:pPr>
        <w:pStyle w:val="Heading2"/>
      </w:pPr>
      <w:r>
        <w:t xml:space="preserve">1.2 Method</w:t>
      </w:r>
    </w:p>
    <w:p>
      <w:pPr>
        <w:pStyle w:val="ListParagraph"/>
        <w:numPr>
          <w:ilvl w:val="0"/>
          <w:numId w:val="3"/>
        </w:numPr>
        <w:spacing w:after="100" w:line="276"/>
      </w:pPr>
      <w:r>
        <w:rPr>
          <w:rFonts w:ascii="Arial" w:cs="Arial" w:eastAsia="Arial" w:hAnsi="Arial"/>
          <w:color w:val="333333"/>
          <w:sz w:val="22"/>
          <w:szCs w:val="22"/>
        </w:rPr>
        <w:t xml:space="preserve">Generate a Penrose P3 tiling patch </w:t>
      </w:r>
      <w:r>
        <w:rPr>
          <w:rFonts w:ascii="Arial" w:cs="Arial" w:eastAsia="Arial" w:hAnsi="Arial"/>
          <w:b/>
          <w:bCs/>
          <w:color w:val="1B2A4A"/>
          <w:sz w:val="22"/>
          <w:szCs w:val="22"/>
        </w:rPr>
        <w:t xml:space="preserve">(N = 500–5,000 sites)</w:t>
      </w:r>
      <w:r>
        <w:rPr>
          <w:rFonts w:ascii="Arial" w:cs="Arial" w:eastAsia="Arial" w:hAnsi="Arial"/>
          <w:color w:val="333333"/>
          <w:sz w:val="22"/>
          <w:szCs w:val="22"/>
        </w:rPr>
        <w:t xml:space="preserve"> using the de Bruijn dual method or Penrose substitution rules. Convert to a graphene-like tight-binding lattice by placing atoms at tile vertices and edges.</w:t>
      </w:r>
    </w:p>
    <w:p>
      <w:pPr>
        <w:pStyle w:val="ListParagraph"/>
        <w:numPr>
          <w:ilvl w:val="0"/>
          <w:numId w:val="3"/>
        </w:numPr>
        <w:spacing w:after="100" w:line="276"/>
      </w:pPr>
      <w:r>
        <w:rPr>
          <w:rFonts w:ascii="Arial" w:cs="Arial" w:eastAsia="Arial" w:hAnsi="Arial"/>
          <w:color w:val="333333"/>
          <w:sz w:val="22"/>
          <w:szCs w:val="22"/>
        </w:rPr>
        <w:t xml:space="preserve">Assign pentagon and heptagon defects at the appropriate Penrose vertices. </w:t>
      </w:r>
      <w:r>
        <w:rPr>
          <w:rFonts w:ascii="Arial" w:cs="Arial" w:eastAsia="Arial" w:hAnsi="Arial"/>
          <w:color w:val="333333"/>
          <w:sz w:val="22"/>
          <w:szCs w:val="22"/>
        </w:rPr>
        <w:t xml:space="preserve">Compute bond lengths using a Keating-type relaxation</w:t>
      </w:r>
      <w:r>
        <w:rPr>
          <w:rFonts w:ascii="Arial" w:cs="Arial" w:eastAsia="Arial" w:hAnsi="Arial"/>
          <w:color w:val="333333"/>
          <w:sz w:val="22"/>
          <w:szCs w:val="22"/>
        </w:rPr>
        <w:t xml:space="preserve"> (minimize elastic energy to get equilibrium positions).</w:t>
      </w:r>
    </w:p>
    <w:p>
      <w:pPr>
        <w:pStyle w:val="ListParagraph"/>
        <w:numPr>
          <w:ilvl w:val="0"/>
          <w:numId w:val="3"/>
        </w:numPr>
        <w:spacing w:after="100" w:line="276"/>
      </w:pPr>
      <w:r>
        <w:rPr>
          <w:rFonts w:ascii="Arial" w:cs="Arial" w:eastAsia="Arial" w:hAnsi="Arial"/>
          <w:color w:val="333333"/>
          <w:sz w:val="22"/>
          <w:szCs w:val="22"/>
        </w:rPr>
        <w:t xml:space="preserve">Apply Harrison scaling to compute site-dependent hopping: t_ij = t₀(d₀/d_ij)² for each bond. Assign superconducting pairing Δ uniformly (modeling proximity from Nb).</w:t>
      </w:r>
    </w:p>
    <w:p>
      <w:pPr>
        <w:pStyle w:val="ListParagraph"/>
        <w:numPr>
          <w:ilvl w:val="0"/>
          <w:numId w:val="3"/>
        </w:numPr>
        <w:spacing w:after="100" w:line="276"/>
      </w:pPr>
      <w:r>
        <w:rPr>
          <w:rFonts w:ascii="Arial" w:cs="Arial" w:eastAsia="Arial" w:hAnsi="Arial"/>
          <w:color w:val="333333"/>
          <w:sz w:val="22"/>
          <w:szCs w:val="22"/>
        </w:rPr>
        <w:t xml:space="preserve">Construct the 2N × 2N BdG Hamiltonian in Nambu space. Diagonalize using sparse eigensolvers (ARPACK via scipy.sparse.linalg.eigsh) targeting eigenvalues near E = 0.</w:t>
      </w:r>
    </w:p>
    <w:p>
      <w:pPr>
        <w:pStyle w:val="ListParagraph"/>
        <w:numPr>
          <w:ilvl w:val="0"/>
          <w:numId w:val="3"/>
        </w:numPr>
        <w:spacing w:after="100" w:line="276"/>
      </w:pPr>
      <w:r>
        <w:rPr>
          <w:rFonts w:ascii="Arial" w:cs="Arial" w:eastAsia="Arial" w:hAnsi="Arial"/>
          <w:color w:val="333333"/>
          <w:sz w:val="22"/>
          <w:szCs w:val="22"/>
        </w:rPr>
        <w:t xml:space="preserve">Compute: number of near-zero modes (|E| &lt; 10⁻⁸), spatial localization of zero-mode wavefunctions, local winding number / Bott index (the 2D generalization of the 1D winding number).</w:t>
      </w:r>
    </w:p>
    <w:p>
      <w:pPr>
        <w:pStyle w:val="Heading2"/>
      </w:pPr>
      <w:r>
        <w:t xml:space="preserve">1.3 Specific Numerical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Observable</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Pass</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Fail</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Zero modes |E| &lt; 10⁻⁸</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 2 modes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0 modes</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Edge localization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90% weight on boundary</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50% weight on boundary</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Bott index</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B = 1 (±0.05)</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|B| &lt; 0.5 or undefined</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Robustness to patch size</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Stable from N = 500 to N = 5000</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Vanishes with increasing N</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Defect density sweep</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MZM survives ±30% density variation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MZM requires fine-tuning</w:t>
            </w:r>
          </w:p>
        </w:tc>
      </w:tr>
    </w:tbl>
    <w:p>
      <w:pPr>
        <w:spacing w:after="200" w:before="200"/>
      </w:pPr>
    </w:p>
    <w:p>
      <w:pPr>
        <w:pStyle w:val="Heading2"/>
      </w:pPr>
      <w:r>
        <w:t xml:space="preserve">1.4 Kill Condition</w:t>
      </w:r>
    </w:p>
    <w:p>
      <w:pPr>
        <w:spacing w:after="160" w:before="0" w:line="276"/>
        <w:jc w:val="left"/>
      </w:pPr>
      <w:r>
        <w:rPr>
          <w:rFonts w:ascii="Arial" w:cs="Arial" w:eastAsia="Arial" w:hAnsi="Arial"/>
          <w:color w:val="333333"/>
          <w:sz w:val="22"/>
          <w:szCs w:val="22"/>
        </w:rPr>
        <w:t xml:space="preserve">If the 2D Penrose patch produces zero near-zero-energy modes at any tested system size, or if the Bott index is trivial (B = 0), the architecture’s central claim—that Penrose 5/7 geometry hosts Majorana modes—is falsified. The program would need to either identify what additional ingredient is missing (e.g., spin-orbit coupling, specific pairing symmetry) or terminate the topological superconductor track entirely.</w:t>
      </w:r>
    </w:p>
    <w:p>
      <w:pPr>
        <w:pStyle w:val="Heading2"/>
      </w:pPr>
      <w:r>
        <w:t xml:space="preserve">1.5 Tools and Resources</w:t>
      </w:r>
    </w:p>
    <w:p>
      <w:pPr>
        <w:pStyle w:val="ListParagraph"/>
        <w:numPr>
          <w:ilvl w:val="0"/>
          <w:numId w:val="2"/>
        </w:numPr>
        <w:spacing w:after="80" w:line="276"/>
      </w:pPr>
      <w:r>
        <w:rPr>
          <w:rFonts w:ascii="Arial" w:cs="Arial" w:eastAsia="Arial" w:hAnsi="Arial"/>
          <w:color w:val="333333"/>
          <w:sz w:val="22"/>
          <w:szCs w:val="22"/>
        </w:rPr>
        <w:t xml:space="preserve">Language: Python with NumPy/SciPy. The thesis’s ratchet_full.py is the starting codebase.</w:t>
      </w:r>
    </w:p>
    <w:p>
      <w:pPr>
        <w:pStyle w:val="ListParagraph"/>
        <w:numPr>
          <w:ilvl w:val="0"/>
          <w:numId w:val="2"/>
        </w:numPr>
        <w:spacing w:after="80" w:line="276"/>
      </w:pPr>
      <w:r>
        <w:rPr>
          <w:rFonts w:ascii="Arial" w:cs="Arial" w:eastAsia="Arial" w:hAnsi="Arial"/>
          <w:color w:val="333333"/>
          <w:sz w:val="22"/>
          <w:szCs w:val="22"/>
        </w:rPr>
        <w:t xml:space="preserve">Sparse diagonalization: scipy.sparse.linalg.eigsh with shift-invert mode (sigma=0) to target near-zero eigenvalues. This avoids diagonalizing the full 2N × 2N matrix.</w:t>
      </w:r>
    </w:p>
    <w:p>
      <w:pPr>
        <w:pStyle w:val="ListParagraph"/>
        <w:numPr>
          <w:ilvl w:val="0"/>
          <w:numId w:val="2"/>
        </w:numPr>
        <w:spacing w:after="80" w:line="276"/>
      </w:pPr>
      <w:r>
        <w:rPr>
          <w:rFonts w:ascii="Arial" w:cs="Arial" w:eastAsia="Arial" w:hAnsi="Arial"/>
          <w:color w:val="333333"/>
          <w:sz w:val="22"/>
          <w:szCs w:val="22"/>
        </w:rPr>
        <w:t xml:space="preserve">Lattice generation: Custom Penrose tiling code or pykite/penrose libraries.</w:t>
      </w:r>
    </w:p>
    <w:p>
      <w:pPr>
        <w:pStyle w:val="ListParagraph"/>
        <w:numPr>
          <w:ilvl w:val="0"/>
          <w:numId w:val="2"/>
        </w:numPr>
        <w:spacing w:after="80" w:line="276"/>
      </w:pPr>
      <w:r>
        <w:rPr>
          <w:rFonts w:ascii="Arial" w:cs="Arial" w:eastAsia="Arial" w:hAnsi="Arial"/>
          <w:color w:val="333333"/>
          <w:sz w:val="22"/>
          <w:szCs w:val="22"/>
        </w:rPr>
        <w:t xml:space="preserve">Visualization: matplotlib for wavefunction density plots on the tiling.</w:t>
      </w:r>
    </w:p>
    <w:p>
      <w:pPr>
        <w:pStyle w:val="ListParagraph"/>
        <w:numPr>
          <w:ilvl w:val="0"/>
          <w:numId w:val="2"/>
        </w:numPr>
        <w:spacing w:after="80" w:line="276"/>
      </w:pPr>
      <w:r>
        <w:rPr>
          <w:rFonts w:ascii="Arial" w:cs="Arial" w:eastAsia="Arial" w:hAnsi="Arial"/>
          <w:color w:val="333333"/>
          <w:sz w:val="22"/>
          <w:szCs w:val="22"/>
        </w:rPr>
        <w:t xml:space="preserve">Hardware: Laptop or workstation. N = 5,000 sites gives a 10,000 × 10,000 sparse BdG matrix—tractable with shift-invert in under an hour on a modern machine.</w:t>
      </w:r>
    </w:p>
    <w:p>
      <w:pPr>
        <w:pStyle w:val="Heading2"/>
      </w:pPr>
      <w:r>
        <w:t xml:space="preserve">1.6 Estimated Timeline</w:t>
      </w:r>
    </w:p>
    <w:p>
      <w:pPr>
        <w:spacing w:after="160" w:before="0" w:line="276"/>
        <w:jc w:val="left"/>
      </w:pPr>
      <w:r>
        <w:rPr>
          <w:rFonts w:ascii="Arial" w:cs="Arial" w:eastAsia="Arial" w:hAnsi="Arial"/>
          <w:color w:val="333333"/>
          <w:sz w:val="22"/>
          <w:szCs w:val="22"/>
        </w:rPr>
        <w:t xml:space="preserve">Code development: 1–2 weeks. Production runs: 1–3 days. Analysis and write-up: 1 week. Total: 2–4 weeks.</w:t>
      </w:r>
    </w:p>
    <w:p>
      <w:r>
        <w:br w:type="page"/>
      </w:r>
    </w:p>
    <w:p>
      <w:pPr>
        <w:pStyle w:val="Heading1"/>
      </w:pPr>
      <w:r>
        <w:t xml:space="preserve">Stage 2: 2D Phonon Transport on Penrose Patch</w:t>
      </w:r>
    </w:p>
    <w:p>
      <w:pPr>
        <w:spacing w:after="200" w:before="0" w:line="276"/>
        <w:jc w:val="left"/>
      </w:pPr>
      <w:r>
        <w:rPr>
          <w:rFonts w:ascii="Arial" w:cs="Arial" w:eastAsia="Arial" w:hAnsi="Arial"/>
          <w:b/>
          <w:bCs/>
          <w:color w:val="D4760A"/>
          <w:sz w:val="20"/>
          <w:szCs w:val="20"/>
        </w:rPr>
        <w:t xml:space="preserve">PRIORITY: HIGH  |  </w:t>
      </w:r>
      <w:r>
        <w:rPr>
          <w:rFonts w:ascii="Arial" w:cs="Arial" w:eastAsia="Arial" w:hAnsi="Arial"/>
          <w:color w:val="333333"/>
          <w:sz w:val="20"/>
          <w:szCs w:val="20"/>
        </w:rPr>
        <w:t xml:space="preserve">Validates the PGTC self-protection principle in the target geometry.</w:t>
      </w:r>
    </w:p>
    <w:p>
      <w:pPr>
        <w:pStyle w:val="Heading2"/>
      </w:pPr>
      <w:r>
        <w:t xml:space="preserve">2.1 Objective</w:t>
      </w:r>
    </w:p>
    <w:p>
      <w:pPr>
        <w:spacing w:after="160" w:before="0" w:line="276"/>
        <w:jc w:val="left"/>
      </w:pPr>
      <w:r>
        <w:rPr>
          <w:rFonts w:ascii="Arial" w:cs="Arial" w:eastAsia="Arial" w:hAnsi="Arial"/>
          <w:color w:val="333333"/>
          <w:sz w:val="22"/>
          <w:szCs w:val="22"/>
        </w:rPr>
        <w:t xml:space="preserve">Compute the phonon spectrum and thermal transport properties of the same 2D Penrose-tiled lattice used in Stage 1. Determine whether the 1D thesis result (κ_QP/κ_ord ≈ 0.84–0.86) strengthens in 2D as the scaling argument predicts, and whether phonon localization lengths become shorter than MZM coherence lengths.</w:t>
      </w:r>
    </w:p>
    <w:p>
      <w:pPr>
        <w:pStyle w:val="Heading2"/>
      </w:pPr>
      <w:r>
        <w:t xml:space="preserve">2.2 Method</w:t>
      </w:r>
    </w:p>
    <w:p>
      <w:pPr>
        <w:pStyle w:val="ListParagraph"/>
        <w:numPr>
          <w:ilvl w:val="0"/>
          <w:numId w:val="3"/>
        </w:numPr>
        <w:spacing w:after="100" w:line="276"/>
      </w:pPr>
      <w:r>
        <w:rPr>
          <w:rFonts w:ascii="Arial" w:cs="Arial" w:eastAsia="Arial" w:hAnsi="Arial"/>
          <w:color w:val="333333"/>
          <w:sz w:val="22"/>
          <w:szCs w:val="22"/>
        </w:rPr>
        <w:t xml:space="preserve">Use the relaxed 2D Penrose lattice from Stage 1 (same atomic positions).</w:t>
      </w:r>
    </w:p>
    <w:p>
      <w:pPr>
        <w:pStyle w:val="ListParagraph"/>
        <w:numPr>
          <w:ilvl w:val="0"/>
          <w:numId w:val="3"/>
        </w:numPr>
        <w:spacing w:after="100" w:line="276"/>
      </w:pPr>
      <w:r>
        <w:rPr>
          <w:rFonts w:ascii="Arial" w:cs="Arial" w:eastAsia="Arial" w:hAnsi="Arial"/>
          <w:color w:val="333333"/>
          <w:sz w:val="22"/>
          <w:szCs w:val="22"/>
        </w:rPr>
        <w:t xml:space="preserve">Construct the dynamical matrix D with spring constants k_ij = k₀(d₀/d_ij)⁴ (the steeper d⁻⁴ scaling that gives 19.3% modulation vs. 9.7% for electrons).</w:t>
      </w:r>
    </w:p>
    <w:p>
      <w:pPr>
        <w:pStyle w:val="ListParagraph"/>
        <w:numPr>
          <w:ilvl w:val="0"/>
          <w:numId w:val="3"/>
        </w:numPr>
        <w:spacing w:after="100" w:line="276"/>
      </w:pPr>
      <w:r>
        <w:rPr>
          <w:rFonts w:ascii="Arial" w:cs="Arial" w:eastAsia="Arial" w:hAnsi="Arial"/>
          <w:color w:val="333333"/>
          <w:sz w:val="22"/>
          <w:szCs w:val="22"/>
        </w:rPr>
        <w:t xml:space="preserve">Diagonalize D to obtain phonon eigenfrequencies ωₙ and eigenvectors.</w:t>
      </w:r>
    </w:p>
    <w:p>
      <w:pPr>
        <w:pStyle w:val="ListParagraph"/>
        <w:numPr>
          <w:ilvl w:val="0"/>
          <w:numId w:val="3"/>
        </w:numPr>
        <w:spacing w:after="100" w:line="276"/>
      </w:pPr>
      <w:r>
        <w:rPr>
          <w:rFonts w:ascii="Arial" w:cs="Arial" w:eastAsia="Arial" w:hAnsi="Arial"/>
          <w:color w:val="333333"/>
          <w:sz w:val="22"/>
          <w:szCs w:val="22"/>
        </w:rPr>
        <w:t xml:space="preserve">Compute: participation ratios for each mode (localized vs. extended), mode-resolved localization lengths ξ(ω), thermal conductivity via the Kubo-Greenwood formula or the Allen-Feldman method for disordered systems.</w:t>
      </w:r>
    </w:p>
    <w:p>
      <w:pPr>
        <w:pStyle w:val="ListParagraph"/>
        <w:numPr>
          <w:ilvl w:val="0"/>
          <w:numId w:val="3"/>
        </w:numPr>
        <w:spacing w:after="100" w:line="276"/>
      </w:pPr>
      <w:r>
        <w:rPr>
          <w:rFonts w:ascii="Arial" w:cs="Arial" w:eastAsia="Arial" w:hAnsi="Arial"/>
          <w:color w:val="333333"/>
          <w:sz w:val="22"/>
          <w:szCs w:val="22"/>
        </w:rPr>
        <w:t xml:space="preserve">Construct the same-sized periodic hexagonal lattice as the ordered comparison. Compute identical quantities. Take the ratio.</w:t>
      </w:r>
    </w:p>
    <w:p>
      <w:pPr>
        <w:pStyle w:val="Heading2"/>
      </w:pPr>
      <w:r>
        <w:t xml:space="preserve">2.3 Specific Numerical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Observable</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Pass</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Fail</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κ_QP / κ_ordered</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0.5 (strong suppression)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0.8 (no improvement over 1D)</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Min phonon ξ / L</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0.05 (strong localization)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0.3 (weak scattering)</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ξ_phonon vs ξ_MZM</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ξ_phonon &lt; ξ_MZM by ≥ 2×</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ξ_phonon &gt; ξ_MZM</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Spectral gaps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Hierarchical gap structure visible</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Continuous DOS like ordered</w:t>
            </w:r>
          </w:p>
        </w:tc>
      </w:tr>
    </w:tbl>
    <w:p>
      <w:pPr>
        <w:spacing w:after="200" w:before="200"/>
      </w:pPr>
    </w:p>
    <w:p>
      <w:pPr>
        <w:pStyle w:val="Heading2"/>
      </w:pPr>
      <w:r>
        <w:t xml:space="preserve">2.4 Kill Condition</w:t>
      </w:r>
    </w:p>
    <w:p>
      <w:pPr>
        <w:spacing w:after="160" w:before="0" w:line="276"/>
        <w:jc w:val="left"/>
      </w:pPr>
      <w:r>
        <w:rPr>
          <w:rFonts w:ascii="Arial" w:cs="Arial" w:eastAsia="Arial" w:hAnsi="Arial"/>
          <w:color w:val="333333"/>
          <w:sz w:val="22"/>
          <w:szCs w:val="22"/>
        </w:rPr>
        <w:t xml:space="preserve">If κ_QP/κ_ordered remains above 0.8 in 2D (no significant improvement over the 1D result), the PGTC self-protection mechanism is too weak to matter. The architecture still works if the isotopic substrate handles decoherence, but the PGTC claim—the thesis’s most publishable idea—would need to be substantially qualified or withdrawn.</w:t>
      </w:r>
    </w:p>
    <w:p>
      <w:pPr>
        <w:pStyle w:val="Heading2"/>
      </w:pPr>
      <w:r>
        <w:t xml:space="preserve">2.5 The Critical Comparison</w:t>
      </w:r>
    </w:p>
    <w:p>
      <w:pPr>
        <w:spacing w:after="160" w:before="0" w:line="276"/>
        <w:jc w:val="left"/>
      </w:pPr>
      <w:r>
        <w:rPr>
          <w:rFonts w:ascii="Arial" w:cs="Arial" w:eastAsia="Arial" w:hAnsi="Arial"/>
          <w:color w:val="333333"/>
          <w:sz w:val="22"/>
          <w:szCs w:val="22"/>
        </w:rPr>
        <w:t xml:space="preserve">The key output of this stage is not just κ_QP/κ_ordered but the direct comparison of phonon localization length to MZM coherence length on the same lattice. If ξ_phonon ≪ ξ_MZM, then phonons cannot coherently deliver energy to the sites where Majorana modes live—the self-protection is real. If ξ_phonon ≳ ξ_MZM, both see roughly the same effective lattice and there is no differential protection.</w:t>
      </w:r>
    </w:p>
    <w:p>
      <w:pPr>
        <w:pStyle w:val="Heading2"/>
      </w:pPr>
      <w:r>
        <w:t xml:space="preserve">2.6 Estimated Timeline</w:t>
      </w:r>
    </w:p>
    <w:p>
      <w:pPr>
        <w:spacing w:after="160" w:before="0" w:line="276"/>
        <w:jc w:val="left"/>
      </w:pPr>
      <w:r>
        <w:rPr>
          <w:rFonts w:ascii="Arial" w:cs="Arial" w:eastAsia="Arial" w:hAnsi="Arial"/>
          <w:color w:val="333333"/>
          <w:sz w:val="22"/>
          <w:szCs w:val="22"/>
        </w:rPr>
        <w:t xml:space="preserve">Code development: 1 week (dynamical matrix construction reuses Stage 1 lattice). Production runs: 1–2 days. Analysis: 1 week. Can run in parallel with Stage 1 analysis. Total: 2–3 weeks.</w:t>
      </w:r>
    </w:p>
    <w:p>
      <w:r>
        <w:br w:type="page"/>
      </w:r>
    </w:p>
    <w:p>
      <w:pPr>
        <w:pStyle w:val="Heading1"/>
      </w:pPr>
      <w:r>
        <w:t xml:space="preserve">Stage 3: DFT Validation of Tight-Binding Parameters</w:t>
      </w:r>
    </w:p>
    <w:p>
      <w:pPr>
        <w:spacing w:after="200" w:before="0" w:line="276"/>
        <w:jc w:val="left"/>
      </w:pPr>
      <w:r>
        <w:rPr>
          <w:rFonts w:ascii="Arial" w:cs="Arial" w:eastAsia="Arial" w:hAnsi="Arial"/>
          <w:b/>
          <w:bCs/>
          <w:color w:val="D4760A"/>
          <w:sz w:val="20"/>
          <w:szCs w:val="20"/>
        </w:rPr>
        <w:t xml:space="preserve">PRIORITY: HIGH  |  </w:t>
      </w:r>
      <w:r>
        <w:rPr>
          <w:rFonts w:ascii="Arial" w:cs="Arial" w:eastAsia="Arial" w:hAnsi="Arial"/>
          <w:color w:val="333333"/>
          <w:sz w:val="20"/>
          <w:szCs w:val="20"/>
        </w:rPr>
        <w:t xml:space="preserve">First-principles check on the Harrison scaling assumption underlying everything.</w:t>
      </w:r>
    </w:p>
    <w:p>
      <w:pPr>
        <w:pStyle w:val="Heading2"/>
      </w:pPr>
      <w:r>
        <w:t xml:space="preserve">3.1 Objective</w:t>
      </w:r>
    </w:p>
    <w:p>
      <w:pPr>
        <w:spacing w:after="160" w:before="0" w:line="276"/>
        <w:jc w:val="left"/>
      </w:pPr>
      <w:r>
        <w:rPr>
          <w:rFonts w:ascii="Arial" w:cs="Arial" w:eastAsia="Arial" w:hAnsi="Arial"/>
          <w:color w:val="333333"/>
          <w:sz w:val="22"/>
          <w:szCs w:val="22"/>
        </w:rPr>
        <w:t xml:space="preserve">The entire thesis rests on Harrison scaling: t(x) = t₀(d₀/d(x))². This is a well-known approximation, but it is an approximation. Around 5-ring and 7-ring defects in graphene, the local bonding environment may deviate from the simple distance-scaling model due to rehybridization (sp² → partial sp³ at curved sites), angular distortion, and charge redistribution. DFT provides ground truth.</w:t>
      </w:r>
    </w:p>
    <w:p>
      <w:pPr>
        <w:pStyle w:val="Heading2"/>
      </w:pPr>
      <w:r>
        <w:t xml:space="preserve">3.2 Method</w:t>
      </w:r>
    </w:p>
    <w:p>
      <w:pPr>
        <w:pStyle w:val="ListParagraph"/>
        <w:numPr>
          <w:ilvl w:val="0"/>
          <w:numId w:val="3"/>
        </w:numPr>
        <w:spacing w:after="100" w:line="276"/>
      </w:pPr>
      <w:r>
        <w:rPr>
          <w:rFonts w:ascii="Arial" w:cs="Arial" w:eastAsia="Arial" w:hAnsi="Arial"/>
          <w:color w:val="333333"/>
          <w:sz w:val="22"/>
          <w:szCs w:val="22"/>
        </w:rPr>
        <w:t xml:space="preserve">Set up a supercell containing: (a) pristine graphene (reference), (b) an isolated Stone-Wales 5-7-7-5 defect, (c) a 5-7 pair (single pentagon adjacent to single heptagon), (d) a small Penrose-like patch with multiple 5/7 defects (∼100–200 atoms).</w:t>
      </w:r>
    </w:p>
    <w:p>
      <w:pPr>
        <w:pStyle w:val="ListParagraph"/>
        <w:numPr>
          <w:ilvl w:val="0"/>
          <w:numId w:val="3"/>
        </w:numPr>
        <w:spacing w:after="100" w:line="276"/>
      </w:pPr>
      <w:r>
        <w:rPr>
          <w:rFonts w:ascii="Arial" w:cs="Arial" w:eastAsia="Arial" w:hAnsi="Arial"/>
          <w:color w:val="333333"/>
          <w:sz w:val="22"/>
          <w:szCs w:val="22"/>
        </w:rPr>
        <w:t xml:space="preserve">Relax all structures using DFT (VASP or Quantum ESPRESSO) with PBE functional and sufficient k-point sampling.</w:t>
      </w:r>
    </w:p>
    <w:p>
      <w:pPr>
        <w:pStyle w:val="ListParagraph"/>
        <w:numPr>
          <w:ilvl w:val="0"/>
          <w:numId w:val="3"/>
        </w:numPr>
        <w:spacing w:after="100" w:line="276"/>
      </w:pPr>
      <w:r>
        <w:rPr>
          <w:rFonts w:ascii="Arial" w:cs="Arial" w:eastAsia="Arial" w:hAnsi="Arial"/>
          <w:color w:val="333333"/>
          <w:sz w:val="22"/>
          <w:szCs w:val="22"/>
        </w:rPr>
        <w:t xml:space="preserve">Extract: relaxed bond lengths around each defect type, Wannier-interpolated hopping parameters from the converged DFT band structure, local density of states at defect sites vs. bulk sites.</w:t>
      </w:r>
    </w:p>
    <w:p>
      <w:pPr>
        <w:pStyle w:val="ListParagraph"/>
        <w:numPr>
          <w:ilvl w:val="0"/>
          <w:numId w:val="3"/>
        </w:numPr>
        <w:spacing w:after="100" w:line="276"/>
      </w:pPr>
      <w:r>
        <w:rPr>
          <w:rFonts w:ascii="Arial" w:cs="Arial" w:eastAsia="Arial" w:hAnsi="Arial"/>
          <w:color w:val="333333"/>
          <w:sz w:val="22"/>
          <w:szCs w:val="22"/>
        </w:rPr>
        <w:t xml:space="preserve">Compare DFT hopping parameters to Harrison-scaled values. Compute the deviation: ε = |t_DFT − t_Harrison| / t_Harrison for each bond.</w:t>
      </w:r>
    </w:p>
    <w:p>
      <w:pPr>
        <w:pStyle w:val="Heading2"/>
      </w:pPr>
      <w:r>
        <w:t xml:space="preserve">3.3 Specific Numerical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Observable</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Pass</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Fail</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Hopping deviation ε</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ε &lt; 20% for all bonds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ε &gt; 50% at defect sites</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Modulation δt/t₀ (DFT)</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Within factor 2 of 9.7%</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30% or &lt; 2%</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Rehybridization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sp² character &gt; 80% at defects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Significant sp³ (&gt; 30%)</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Charge redistribution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0.1e per atom at defects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0.3e per atom</w:t>
            </w:r>
          </w:p>
        </w:tc>
      </w:tr>
    </w:tbl>
    <w:p>
      <w:pPr>
        <w:spacing w:after="200" w:before="200"/>
      </w:pPr>
    </w:p>
    <w:p>
      <w:pPr>
        <w:pStyle w:val="Heading2"/>
      </w:pPr>
      <w:r>
        <w:t xml:space="preserve">3.4 Kill Condition</w:t>
      </w:r>
    </w:p>
    <w:p>
      <w:pPr>
        <w:spacing w:after="160" w:before="0" w:line="276"/>
        <w:jc w:val="left"/>
      </w:pPr>
      <w:r>
        <w:rPr>
          <w:rFonts w:ascii="Arial" w:cs="Arial" w:eastAsia="Arial" w:hAnsi="Arial"/>
          <w:color w:val="333333"/>
          <w:sz w:val="22"/>
          <w:szCs w:val="22"/>
        </w:rPr>
        <w:t xml:space="preserve">If DFT shows that the hopping parameters around 5/7 defects deviate by more than 50% from Harrison scaling, the tight-binding model used in Stages 1–2 is unreliable and those results must be recomputed with DFT-derived parameters. This doesn’t kill the program—it forces a parameter update and re-run—but if the DFT-corrected modulation falls outside the topological window identified in Stage 1, then the geometry-topology bridge breaks.</w:t>
      </w:r>
    </w:p>
    <w:p>
      <w:pPr>
        <w:pStyle w:val="Heading2"/>
      </w:pPr>
      <w:r>
        <w:t xml:space="preserve">3.5 Software and Resources</w:t>
      </w:r>
    </w:p>
    <w:p>
      <w:pPr>
        <w:pStyle w:val="ListParagraph"/>
        <w:numPr>
          <w:ilvl w:val="0"/>
          <w:numId w:val="2"/>
        </w:numPr>
        <w:spacing w:after="80" w:line="276"/>
      </w:pPr>
      <w:r>
        <w:rPr>
          <w:rFonts w:ascii="Arial" w:cs="Arial" w:eastAsia="Arial" w:hAnsi="Arial"/>
          <w:color w:val="333333"/>
          <w:sz w:val="22"/>
          <w:szCs w:val="22"/>
        </w:rPr>
        <w:t xml:space="preserve">VASP (commercial) or Quantum ESPRESSO (open-source). Both are standard for graphene DFT.</w:t>
      </w:r>
    </w:p>
    <w:p>
      <w:pPr>
        <w:pStyle w:val="ListParagraph"/>
        <w:numPr>
          <w:ilvl w:val="0"/>
          <w:numId w:val="2"/>
        </w:numPr>
        <w:spacing w:after="80" w:line="276"/>
      </w:pPr>
      <w:r>
        <w:rPr>
          <w:rFonts w:ascii="Arial" w:cs="Arial" w:eastAsia="Arial" w:hAnsi="Arial"/>
          <w:color w:val="333333"/>
          <w:sz w:val="22"/>
          <w:szCs w:val="22"/>
        </w:rPr>
        <w:t xml:space="preserve">Wannier90 for Wannier interpolation of hopping parameters.</w:t>
      </w:r>
    </w:p>
    <w:p>
      <w:pPr>
        <w:pStyle w:val="ListParagraph"/>
        <w:numPr>
          <w:ilvl w:val="0"/>
          <w:numId w:val="2"/>
        </w:numPr>
        <w:spacing w:after="80" w:line="276"/>
      </w:pPr>
      <w:r>
        <w:rPr>
          <w:rFonts w:ascii="Arial" w:cs="Arial" w:eastAsia="Arial" w:hAnsi="Arial"/>
          <w:color w:val="333333"/>
          <w:sz w:val="22"/>
          <w:szCs w:val="22"/>
        </w:rPr>
        <w:t xml:space="preserve">Supercell sizes: 72–200 atoms. Manageable on a university HPC cluster.</w:t>
      </w:r>
    </w:p>
    <w:p>
      <w:pPr>
        <w:pStyle w:val="ListParagraph"/>
        <w:numPr>
          <w:ilvl w:val="0"/>
          <w:numId w:val="2"/>
        </w:numPr>
        <w:spacing w:after="80" w:line="276"/>
      </w:pPr>
      <w:r>
        <w:rPr>
          <w:rFonts w:ascii="Arial" w:cs="Arial" w:eastAsia="Arial" w:hAnsi="Arial"/>
          <w:color w:val="333333"/>
          <w:sz w:val="22"/>
          <w:szCs w:val="22"/>
        </w:rPr>
        <w:t xml:space="preserve">Estimated compute: 1,000–5,000 CPU-hours depending on convergence.</w:t>
      </w:r>
    </w:p>
    <w:p>
      <w:pPr>
        <w:pStyle w:val="Heading2"/>
      </w:pPr>
      <w:r>
        <w:t xml:space="preserve">3.6 Estimated Timeline</w:t>
      </w:r>
    </w:p>
    <w:p>
      <w:pPr>
        <w:spacing w:after="160" w:before="0" w:line="276"/>
        <w:jc w:val="left"/>
      </w:pPr>
      <w:r>
        <w:rPr>
          <w:rFonts w:ascii="Arial" w:cs="Arial" w:eastAsia="Arial" w:hAnsi="Arial"/>
          <w:color w:val="333333"/>
          <w:sz w:val="22"/>
          <w:szCs w:val="22"/>
        </w:rPr>
        <w:t xml:space="preserve">Setup and convergence testing: 1–2 weeks. Production DFT runs: 1 week (wall-clock with HPC queue). Wannier extraction and comparison: 1 week. Total: 3–4 weeks. Can begin as soon as HPC access is secured; does not depend on Stages 1–2 results (though it informs their interpretation).</w:t>
      </w:r>
    </w:p>
    <w:p>
      <w:r>
        <w:br w:type="page"/>
      </w:r>
    </w:p>
    <w:p>
      <w:pPr>
        <w:pStyle w:val="Heading1"/>
      </w:pPr>
      <w:r>
        <w:t xml:space="preserve">Stage 4: Band Structure of Penrose Graphene</w:t>
      </w:r>
    </w:p>
    <w:p>
      <w:pPr>
        <w:spacing w:after="200" w:before="0" w:line="276"/>
        <w:jc w:val="left"/>
      </w:pPr>
      <w:r>
        <w:rPr>
          <w:rFonts w:ascii="Arial" w:cs="Arial" w:eastAsia="Arial" w:hAnsi="Arial"/>
          <w:b/>
          <w:bCs/>
          <w:color w:val="2E75B6"/>
          <w:sz w:val="20"/>
          <w:szCs w:val="20"/>
        </w:rPr>
        <w:t xml:space="preserve">PRIORITY: MEDIUM  |  </w:t>
      </w:r>
      <w:r>
        <w:rPr>
          <w:rFonts w:ascii="Arial" w:cs="Arial" w:eastAsia="Arial" w:hAnsi="Arial"/>
          <w:color w:val="333333"/>
          <w:sz w:val="20"/>
          <w:szCs w:val="20"/>
        </w:rPr>
        <w:t xml:space="preserve">Tests whether the quasiperiodic lattice produces Weyl-like band topology.</w:t>
      </w:r>
    </w:p>
    <w:p>
      <w:pPr>
        <w:pStyle w:val="Heading2"/>
      </w:pPr>
      <w:r>
        <w:t xml:space="preserve">4.1 Objective</w:t>
      </w:r>
    </w:p>
    <w:p>
      <w:pPr>
        <w:spacing w:after="160" w:before="0" w:line="276"/>
        <w:jc w:val="left"/>
      </w:pPr>
      <w:r>
        <w:rPr>
          <w:rFonts w:ascii="Arial" w:cs="Arial" w:eastAsia="Arial" w:hAnsi="Arial"/>
          <w:color w:val="333333"/>
          <w:sz w:val="22"/>
          <w:szCs w:val="22"/>
        </w:rPr>
        <w:t xml:space="preserve">Compute the electronic band structure (or more precisely, the spectral function, since there is no Brillouin zone for a quasiperiodic system) of the 2D Penrose graphene lattice. Determine whether the Dirac cones of pristine graphene evolve into Weyl-like linear crossings in the presence of the quasiperiodic 5/7 defect pattern, or whether they gap out, merge, or otherwise disappear.</w:t>
      </w:r>
    </w:p>
    <w:p>
      <w:pPr>
        <w:pStyle w:val="Heading2"/>
      </w:pPr>
      <w:r>
        <w:t xml:space="preserve">4.2 Method</w:t>
      </w:r>
    </w:p>
    <w:p>
      <w:pPr>
        <w:pStyle w:val="ListParagraph"/>
        <w:numPr>
          <w:ilvl w:val="0"/>
          <w:numId w:val="3"/>
        </w:numPr>
        <w:spacing w:after="100" w:line="276"/>
      </w:pPr>
      <w:r>
        <w:rPr>
          <w:rFonts w:ascii="Arial" w:cs="Arial" w:eastAsia="Arial" w:hAnsi="Arial"/>
          <w:color w:val="333333"/>
          <w:sz w:val="22"/>
          <w:szCs w:val="22"/>
        </w:rPr>
        <w:t xml:space="preserve">Use the tight-binding Hamiltonian from Stage 1 (or DFT-corrected parameters from Stage 3 if available).</w:t>
      </w:r>
    </w:p>
    <w:p>
      <w:pPr>
        <w:pStyle w:val="ListParagraph"/>
        <w:numPr>
          <w:ilvl w:val="0"/>
          <w:numId w:val="3"/>
        </w:numPr>
        <w:spacing w:after="100" w:line="276"/>
      </w:pPr>
      <w:r>
        <w:rPr>
          <w:rFonts w:ascii="Arial" w:cs="Arial" w:eastAsia="Arial" w:hAnsi="Arial"/>
          <w:color w:val="333333"/>
          <w:sz w:val="22"/>
          <w:szCs w:val="22"/>
        </w:rPr>
        <w:t xml:space="preserve">Compute the density of states (DOS) via the kernel polynomial method (KPM), which scales linearly with system size and does not require diagonalization. Systems of N = 10,000–50,000 sites are tractable.</w:t>
      </w:r>
    </w:p>
    <w:p>
      <w:pPr>
        <w:pStyle w:val="ListParagraph"/>
        <w:numPr>
          <w:ilvl w:val="0"/>
          <w:numId w:val="3"/>
        </w:numPr>
        <w:spacing w:after="100" w:line="276"/>
      </w:pPr>
      <w:r>
        <w:rPr>
          <w:rFonts w:ascii="Arial" w:cs="Arial" w:eastAsia="Arial" w:hAnsi="Arial"/>
          <w:color w:val="333333"/>
          <w:sz w:val="22"/>
          <w:szCs w:val="22"/>
        </w:rPr>
        <w:t xml:space="preserve">Compute the spectral function A(E, r) using local Green’s functions to identify where in real space the Dirac/Weyl-like states live.</w:t>
      </w:r>
    </w:p>
    <w:p>
      <w:pPr>
        <w:pStyle w:val="ListParagraph"/>
        <w:numPr>
          <w:ilvl w:val="0"/>
          <w:numId w:val="3"/>
        </w:numPr>
        <w:spacing w:after="100" w:line="276"/>
      </w:pPr>
      <w:r>
        <w:rPr>
          <w:rFonts w:ascii="Arial" w:cs="Arial" w:eastAsia="Arial" w:hAnsi="Arial"/>
          <w:color w:val="333333"/>
          <w:sz w:val="22"/>
          <w:szCs w:val="22"/>
        </w:rPr>
        <w:t xml:space="preserve">If approximate translational symmetry exists on large scales (as in Penrose approximants), compute the band structure of periodic Penrose approximants at successive orders and track the convergence of band features.</w:t>
      </w:r>
    </w:p>
    <w:p>
      <w:pPr>
        <w:pStyle w:val="Heading2"/>
      </w:pPr>
      <w:r>
        <w:t xml:space="preserve">4.3 Specific Numerical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Observable</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Pass</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Fail</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DOS at E_F</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Finite, V-shaped (Dirac-like)</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Hard gap at E_F</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Linear crossings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Present in spectral function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No linear features</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Localization at E_F</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States extended (IPR ∼ 1/N)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States localized (IPR ∼ 1)</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Defect resonances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Narrow, away from E_F</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Broad resonance at E_F destroying topology</w:t>
            </w:r>
          </w:p>
        </w:tc>
      </w:tr>
    </w:tbl>
    <w:p>
      <w:pPr>
        <w:spacing w:after="200" w:before="200"/>
      </w:pPr>
    </w:p>
    <w:p>
      <w:pPr>
        <w:pStyle w:val="Heading2"/>
      </w:pPr>
      <w:r>
        <w:t xml:space="preserve">4.4 Kill Condition</w:t>
      </w:r>
    </w:p>
    <w:p>
      <w:pPr>
        <w:spacing w:after="160" w:before="0" w:line="276"/>
        <w:jc w:val="left"/>
      </w:pPr>
      <w:r>
        <w:rPr>
          <w:rFonts w:ascii="Arial" w:cs="Arial" w:eastAsia="Arial" w:hAnsi="Arial"/>
          <w:color w:val="333333"/>
          <w:sz w:val="22"/>
          <w:szCs w:val="22"/>
        </w:rPr>
        <w:t xml:space="preserve">If the 5/7 defect pattern opens a hard gap at the Fermi level or localizes all states near E_F (Anderson localization from the quasiperiodic potential), the Weyl semimetal component of the architecture is dead. The system would be an insulator or an Anderson insulator, not a semimetal. Majorana modes might still exist at domain walls (Stage 1), but the bulk Weyl physics claimed in the engineering spec would be falsified.</w:t>
      </w:r>
    </w:p>
    <w:p>
      <w:pPr>
        <w:pStyle w:val="Heading2"/>
      </w:pPr>
      <w:r>
        <w:t xml:space="preserve">4.5 Estimated Timeline</w:t>
      </w:r>
    </w:p>
    <w:p>
      <w:pPr>
        <w:spacing w:after="160" w:before="0" w:line="276"/>
        <w:jc w:val="left"/>
      </w:pPr>
      <w:r>
        <w:rPr>
          <w:rFonts w:ascii="Arial" w:cs="Arial" w:eastAsia="Arial" w:hAnsi="Arial"/>
          <w:color w:val="333333"/>
          <w:sz w:val="22"/>
          <w:szCs w:val="22"/>
        </w:rPr>
        <w:t xml:space="preserve">KPM code development: 1 week (or use existing packages like KITE or pybinding). Production runs: 2–5 days on workstation. Analysis: 1 week. Total: 2–3 weeks. Depends on Stage 3 for validated parameters but can run with Harrison-scaled parameters first.</w:t>
      </w:r>
    </w:p>
    <w:p>
      <w:r>
        <w:br w:type="page"/>
      </w:r>
    </w:p>
    <w:p>
      <w:pPr>
        <w:pStyle w:val="Heading1"/>
      </w:pPr>
      <w:r>
        <w:t xml:space="preserve">Stage 5: Niobium Proximity Effect Simulation</w:t>
      </w:r>
    </w:p>
    <w:p>
      <w:pPr>
        <w:spacing w:after="200" w:before="0" w:line="276"/>
        <w:jc w:val="left"/>
      </w:pPr>
      <w:r>
        <w:rPr>
          <w:rFonts w:ascii="Arial" w:cs="Arial" w:eastAsia="Arial" w:hAnsi="Arial"/>
          <w:b/>
          <w:bCs/>
          <w:color w:val="2E75B6"/>
          <w:sz w:val="20"/>
          <w:szCs w:val="20"/>
        </w:rPr>
        <w:t xml:space="preserve">PRIORITY: MEDIUM  |  </w:t>
      </w:r>
      <w:r>
        <w:rPr>
          <w:rFonts w:ascii="Arial" w:cs="Arial" w:eastAsia="Arial" w:hAnsi="Arial"/>
          <w:color w:val="333333"/>
          <w:sz w:val="20"/>
          <w:szCs w:val="20"/>
        </w:rPr>
        <w:t xml:space="preserve">Tests the superconducting interface—does the proximity-induced gap survive the defect pattern?</w:t>
      </w:r>
    </w:p>
    <w:p>
      <w:pPr>
        <w:pStyle w:val="Heading2"/>
      </w:pPr>
      <w:r>
        <w:t xml:space="preserve">5.1 Objective</w:t>
      </w:r>
    </w:p>
    <w:p>
      <w:pPr>
        <w:spacing w:after="160" w:before="0" w:line="276"/>
        <w:jc w:val="left"/>
      </w:pPr>
      <w:r>
        <w:rPr>
          <w:rFonts w:ascii="Arial" w:cs="Arial" w:eastAsia="Arial" w:hAnsi="Arial"/>
          <w:color w:val="333333"/>
          <w:sz w:val="22"/>
          <w:szCs w:val="22"/>
        </w:rPr>
        <w:t xml:space="preserve">Model the Nb/graphene interface explicitly. Stages 1–2 assumed a uniform pairing amplitude Δ across the graphene lattice. In reality, the proximity-induced gap depends on the interface transparency, the distance from the Nb contact, and the local electronic structure (which is modified by defects). This stage asks: does a realistic Nb contact geometry induce a sufficient pairing gap at the 5/7 defect sites where MZMs are supposed to localize?</w:t>
      </w:r>
    </w:p>
    <w:p>
      <w:pPr>
        <w:pStyle w:val="Heading2"/>
      </w:pPr>
      <w:r>
        <w:t xml:space="preserve">5.2 Method</w:t>
      </w:r>
    </w:p>
    <w:p>
      <w:pPr>
        <w:pStyle w:val="ListParagraph"/>
        <w:numPr>
          <w:ilvl w:val="0"/>
          <w:numId w:val="3"/>
        </w:numPr>
        <w:spacing w:after="100" w:line="276"/>
      </w:pPr>
      <w:r>
        <w:rPr>
          <w:rFonts w:ascii="Arial" w:cs="Arial" w:eastAsia="Arial" w:hAnsi="Arial"/>
          <w:color w:val="333333"/>
          <w:sz w:val="22"/>
          <w:szCs w:val="22"/>
        </w:rPr>
        <w:t xml:space="preserve">Use the Kwant package (Python) to construct a scattering region: 2D Penrose graphene patch connected to semi-infinite Nb leads with self-energies computed via Kwant’s lead system.</w:t>
      </w:r>
    </w:p>
    <w:p>
      <w:pPr>
        <w:pStyle w:val="ListParagraph"/>
        <w:numPr>
          <w:ilvl w:val="0"/>
          <w:numId w:val="3"/>
        </w:numPr>
        <w:spacing w:after="100" w:line="276"/>
      </w:pPr>
      <w:r>
        <w:rPr>
          <w:rFonts w:ascii="Arial" w:cs="Arial" w:eastAsia="Arial" w:hAnsi="Arial"/>
          <w:color w:val="333333"/>
          <w:sz w:val="22"/>
          <w:szCs w:val="22"/>
        </w:rPr>
        <w:t xml:space="preserve">Model the Nb/graphene interface with a tunnel coupling parameter Γ calibrated to experimental junction transparencies (Heersche et al. 2007: T ≈ 0.5–0.8).</w:t>
      </w:r>
    </w:p>
    <w:p>
      <w:pPr>
        <w:pStyle w:val="ListParagraph"/>
        <w:numPr>
          <w:ilvl w:val="0"/>
          <w:numId w:val="3"/>
        </w:numPr>
        <w:spacing w:after="100" w:line="276"/>
      </w:pPr>
      <w:r>
        <w:rPr>
          <w:rFonts w:ascii="Arial" w:cs="Arial" w:eastAsia="Arial" w:hAnsi="Arial"/>
          <w:color w:val="333333"/>
          <w:sz w:val="22"/>
          <w:szCs w:val="22"/>
        </w:rPr>
        <w:t xml:space="preserve">Compute the local pairing amplitude Δ(r) induced in the graphene as a function of position. Specifically, extract Δ at pentagon sites, heptagon sites, hexagonal bulk sites, and ZGNR edge sites.</w:t>
      </w:r>
    </w:p>
    <w:p>
      <w:pPr>
        <w:pStyle w:val="ListParagraph"/>
        <w:numPr>
          <w:ilvl w:val="0"/>
          <w:numId w:val="3"/>
        </w:numPr>
        <w:spacing w:after="100" w:line="276"/>
      </w:pPr>
      <w:r>
        <w:rPr>
          <w:rFonts w:ascii="Arial" w:cs="Arial" w:eastAsia="Arial" w:hAnsi="Arial"/>
          <w:color w:val="333333"/>
          <w:sz w:val="22"/>
          <w:szCs w:val="22"/>
        </w:rPr>
        <w:t xml:space="preserve">Feed the position-dependent Δ(r) back into the BdG Hamiltonian from Stage 1. Re-check MZM existence with realistic (non-uniform) pairing.</w:t>
      </w:r>
    </w:p>
    <w:p>
      <w:pPr>
        <w:pStyle w:val="Heading2"/>
      </w:pPr>
      <w:r>
        <w:t xml:space="preserve">5.3 Specific Numerical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Observable</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Pass</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Fail</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Induced Δ at defect sites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0.1 meV</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0.01 meV (negligible pairing)</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Δ(defect) / Δ(bulk)</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0.3 (defects not dead spots)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0.1 (pairing suppressed at defects)</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MZMs with realistic Δ(r)</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Still present, |E| &lt; 10⁻⁶</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Destroyed by Δ inhomogeneity</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Coherence length vs defect spacing</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ξ_SC &gt; defect spacing</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ξ_SC ≪ defect spacing</w:t>
            </w:r>
          </w:p>
        </w:tc>
      </w:tr>
    </w:tbl>
    <w:p>
      <w:pPr>
        <w:spacing w:after="200" w:before="200"/>
      </w:pPr>
    </w:p>
    <w:p>
      <w:pPr>
        <w:pStyle w:val="Heading2"/>
      </w:pPr>
      <w:r>
        <w:t xml:space="preserve">5.4 Kill Condition</w:t>
      </w:r>
    </w:p>
    <w:p>
      <w:pPr>
        <w:spacing w:after="160" w:before="0" w:line="276"/>
        <w:jc w:val="left"/>
      </w:pPr>
      <w:r>
        <w:rPr>
          <w:rFonts w:ascii="Arial" w:cs="Arial" w:eastAsia="Arial" w:hAnsi="Arial"/>
          <w:color w:val="333333"/>
          <w:sz w:val="22"/>
          <w:szCs w:val="22"/>
        </w:rPr>
        <w:t xml:space="preserve">If the proximity-induced gap is suppressed at the 5/7 defect sites (the very sites where MZMs should localize), the architecture has a fatal mismatch: the topology lives where the pairing doesn’t. This would require redesigning the Nb contact geometry (e.g., full-coverage rather than edge contacts) or exploring alternative superconductors with longer coherence lengths.</w:t>
      </w:r>
    </w:p>
    <w:p>
      <w:pPr>
        <w:pStyle w:val="Heading2"/>
      </w:pPr>
      <w:r>
        <w:t xml:space="preserve">5.5 Estimated Timeline</w:t>
      </w:r>
    </w:p>
    <w:p>
      <w:pPr>
        <w:spacing w:after="160" w:before="0" w:line="276"/>
        <w:jc w:val="left"/>
      </w:pPr>
      <w:r>
        <w:rPr>
          <w:rFonts w:ascii="Arial" w:cs="Arial" w:eastAsia="Arial" w:hAnsi="Arial"/>
          <w:color w:val="333333"/>
          <w:sz w:val="22"/>
          <w:szCs w:val="22"/>
        </w:rPr>
        <w:t xml:space="preserve">Kwant setup and interface modeling: 2 weeks. Production runs: 3–5 days. BdG re-check with realistic Δ(r): 1 week. Total: 3–4 weeks. Depends on Stage 1 lattice and Stage 3 parameters.</w:t>
      </w:r>
    </w:p>
    <w:p>
      <w:r>
        <w:br w:type="page"/>
      </w:r>
    </w:p>
    <w:p>
      <w:pPr>
        <w:pStyle w:val="Heading1"/>
      </w:pPr>
      <w:r>
        <w:t xml:space="preserve">Stage 6: Fracton Phase Diagnostics</w:t>
      </w:r>
    </w:p>
    <w:p>
      <w:pPr>
        <w:spacing w:after="200" w:before="0" w:line="276"/>
        <w:jc w:val="left"/>
      </w:pPr>
      <w:r>
        <w:rPr>
          <w:rFonts w:ascii="Arial" w:cs="Arial" w:eastAsia="Arial" w:hAnsi="Arial"/>
          <w:b/>
          <w:bCs/>
          <w:color w:val="2E75B6"/>
          <w:sz w:val="20"/>
          <w:szCs w:val="20"/>
        </w:rPr>
        <w:t xml:space="preserve">PRIORITY: MEDIUM-HIGH  |  </w:t>
      </w:r>
      <w:r>
        <w:rPr>
          <w:rFonts w:ascii="Arial" w:cs="Arial" w:eastAsia="Arial" w:hAnsi="Arial"/>
          <w:color w:val="333333"/>
          <w:sz w:val="20"/>
          <w:szCs w:val="20"/>
        </w:rPr>
        <w:t xml:space="preserve">The most speculative claim in the architecture. Does a fracton phase actually emerge?</w:t>
      </w:r>
    </w:p>
    <w:p>
      <w:pPr>
        <w:pStyle w:val="Heading2"/>
      </w:pPr>
      <w:r>
        <w:t xml:space="preserve">6.1 Objective</w:t>
      </w:r>
    </w:p>
    <w:p>
      <w:pPr>
        <w:spacing w:after="160" w:before="0" w:line="276"/>
        <w:jc w:val="left"/>
      </w:pPr>
      <w:r>
        <w:rPr>
          <w:rFonts w:ascii="Arial" w:cs="Arial" w:eastAsia="Arial" w:hAnsi="Arial"/>
          <w:color w:val="333333"/>
          <w:sz w:val="22"/>
          <w:szCs w:val="22"/>
        </w:rPr>
        <w:t xml:space="preserve">Test whether the effective low-energy theory of the Penrose graphene system (with superconducting pairing) exhibits fracton-like physics: restricted quasiparticle mobility, sub-extensive ground state degeneracy, and/or higher-moment conservation laws. This is the hardest simulation in the program because fracton diagnostics require many-body techniques beyond single-particle BdG.</w:t>
      </w:r>
    </w:p>
    <w:p>
      <w:pPr>
        <w:pStyle w:val="Heading2"/>
      </w:pPr>
      <w:r>
        <w:t xml:space="preserve">6.2 Method</w:t>
      </w:r>
    </w:p>
    <w:p>
      <w:pPr>
        <w:spacing w:after="160" w:before="0" w:line="276"/>
        <w:jc w:val="left"/>
      </w:pPr>
      <w:r>
        <w:rPr>
          <w:rFonts w:ascii="Arial" w:cs="Arial" w:eastAsia="Arial" w:hAnsi="Arial"/>
          <w:color w:val="333333"/>
          <w:sz w:val="22"/>
          <w:szCs w:val="22"/>
        </w:rPr>
        <w:t xml:space="preserve">This stage requires a multi-pronged approach:</w:t>
      </w:r>
    </w:p>
    <w:p>
      <w:pPr>
        <w:pStyle w:val="ListParagraph"/>
        <w:numPr>
          <w:ilvl w:val="0"/>
          <w:numId w:val="4"/>
        </w:numPr>
        <w:spacing w:after="80" w:line="276"/>
      </w:pPr>
      <w:r>
        <w:rPr>
          <w:rFonts w:ascii="Arial" w:cs="Arial" w:eastAsia="Arial" w:hAnsi="Arial"/>
          <w:b/>
          <w:bCs/>
          <w:color w:val="1B2A4A"/>
          <w:sz w:val="22"/>
          <w:szCs w:val="22"/>
        </w:rPr>
        <w:t xml:space="preserve">Exact diagonalization (ED): </w:t>
      </w:r>
      <w:r>
        <w:rPr>
          <w:rFonts w:ascii="Arial" w:cs="Arial" w:eastAsia="Arial" w:hAnsi="Arial"/>
          <w:color w:val="333333"/>
          <w:sz w:val="22"/>
          <w:szCs w:val="22"/>
        </w:rPr>
        <w:t xml:space="preserve">Construct the many-body Hamiltonian for a small (∼20–30 site) Penrose patch with interactions. Compute full energy spectrum. Count ground state degeneracy as a function of system size. If degeneracy grows sub-extensively (slower than exponential in system size), this is a fracton signature.</w:t>
      </w:r>
    </w:p>
    <w:p>
      <w:pPr>
        <w:pStyle w:val="ListParagraph"/>
        <w:numPr>
          <w:ilvl w:val="0"/>
          <w:numId w:val="4"/>
        </w:numPr>
        <w:spacing w:after="80" w:line="276"/>
      </w:pPr>
      <w:r>
        <w:rPr>
          <w:rFonts w:ascii="Arial" w:cs="Arial" w:eastAsia="Arial" w:hAnsi="Arial"/>
          <w:b/>
          <w:bCs/>
          <w:color w:val="1B2A4A"/>
          <w:sz w:val="22"/>
          <w:szCs w:val="22"/>
        </w:rPr>
        <w:t xml:space="preserve">DMRG (for quasi-1D slices): </w:t>
      </w:r>
      <w:r>
        <w:rPr>
          <w:rFonts w:ascii="Arial" w:cs="Arial" w:eastAsia="Arial" w:hAnsi="Arial"/>
          <w:color w:val="333333"/>
          <w:sz w:val="22"/>
          <w:szCs w:val="22"/>
        </w:rPr>
        <w:t xml:space="preserve">Wrap the 2D Penrose patch onto a cylinder and use density matrix renormalization group to access larger system sizes (∼100–200 sites). Compute entanglement entropy scaling. Fracton phases show characteristic sub-volume-law entanglement.</w:t>
      </w:r>
    </w:p>
    <w:p>
      <w:pPr>
        <w:pStyle w:val="ListParagraph"/>
        <w:numPr>
          <w:ilvl w:val="0"/>
          <w:numId w:val="4"/>
        </w:numPr>
        <w:spacing w:after="80" w:line="276"/>
      </w:pPr>
      <w:r>
        <w:rPr>
          <w:rFonts w:ascii="Arial" w:cs="Arial" w:eastAsia="Arial" w:hAnsi="Arial"/>
          <w:b/>
          <w:bCs/>
          <w:color w:val="1B2A4A"/>
          <w:sz w:val="22"/>
          <w:szCs w:val="22"/>
        </w:rPr>
        <w:t xml:space="preserve">Quasiparticle transport: </w:t>
      </w:r>
      <w:r>
        <w:rPr>
          <w:rFonts w:ascii="Arial" w:cs="Arial" w:eastAsia="Arial" w:hAnsi="Arial"/>
          <w:color w:val="333333"/>
          <w:sz w:val="22"/>
          <w:szCs w:val="22"/>
        </w:rPr>
        <w:t xml:space="preserve">Prepare a localized excitation on the BdG Hamiltonian and time-evolve it (Chebyshev time propagation). Track the spreading. If the excitation remains pinned or spreads sub-ballistically along a line (lineon) or plane (planon) rather than isotropically, this is direct evidence of restricted mobility.</w:t>
      </w:r>
    </w:p>
    <w:p>
      <w:pPr>
        <w:pStyle w:val="Heading2"/>
      </w:pPr>
      <w:r>
        <w:t xml:space="preserve">6.3 Specific Numerical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Observable</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Pass (Fracton)</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Fail (Conventional)</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Ground state degeneracy</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Sub-extensive: log(GSD) ∼ Lᵈ⁻¹</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Constant (topological) or extensive (thermal)</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Entanglement entropy</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Sub-volume law with system-size-dependent correction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Area law (gapped) or volume law (metallic)</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Excitation spreading</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Pinned or sub-diffusive (x²(t) ∼ tᵅ, α &lt; 1)</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Ballistic (x² ∼ t²) or diffusive (x² ∼ t)</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Dipole conservation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Dipole moment conserved in dynamics</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Not conserved</w:t>
            </w:r>
          </w:p>
        </w:tc>
      </w:tr>
    </w:tbl>
    <w:p>
      <w:pPr>
        <w:spacing w:after="200" w:before="200"/>
      </w:pPr>
    </w:p>
    <w:p>
      <w:pPr>
        <w:pStyle w:val="Heading2"/>
      </w:pPr>
      <w:r>
        <w:t xml:space="preserve">6.4 Kill Condition</w:t>
      </w:r>
    </w:p>
    <w:p>
      <w:pPr>
        <w:spacing w:after="160" w:before="0" w:line="276"/>
        <w:jc w:val="left"/>
      </w:pPr>
      <w:r>
        <w:rPr>
          <w:rFonts w:ascii="Arial" w:cs="Arial" w:eastAsia="Arial" w:hAnsi="Arial"/>
          <w:color w:val="333333"/>
          <w:sz w:val="22"/>
          <w:szCs w:val="22"/>
        </w:rPr>
        <w:t xml:space="preserve">If all diagnostics show conventional behavior—standard topological order (constant GSD), ballistic quasiparticle transport, no higher-moment conservation—then the system is a topological superconductor but not a fracton phase. This doesn’t kill the architecture (a topological superconductor on a Penrose lattice is still interesting) but it kills the “fractonic” label and the fracton-gravity correspondence that motivates the Kodama state interpretation. The engineering spec would need to be revised to remove the fracton and Kodama claims, leaving a topological superconductor on a quasicrystalline substrate with PGTC self-protection.</w:t>
      </w:r>
    </w:p>
    <w:p>
      <w:pPr>
        <w:spacing w:after="160" w:before="0" w:line="276"/>
        <w:jc w:val="left"/>
      </w:pPr>
      <w:r>
        <w:rPr>
          <w:rFonts w:ascii="Arial" w:cs="Arial" w:eastAsia="Arial" w:hAnsi="Arial"/>
          <w:color w:val="333333"/>
          <w:sz w:val="22"/>
          <w:szCs w:val="22"/>
        </w:rPr>
        <w:t xml:space="preserve">This is the stage most likely to produce a “partial pass”: some fracton-like signatures (e.g., sub-diffusive transport) without the full fracton phase. Partial results would require careful interpretation and likely a revised theoretical framework.</w:t>
      </w:r>
    </w:p>
    <w:p>
      <w:pPr>
        <w:pStyle w:val="Heading2"/>
      </w:pPr>
      <w:r>
        <w:t xml:space="preserve">6.5 Estimated Timeline</w:t>
      </w:r>
    </w:p>
    <w:p>
      <w:pPr>
        <w:spacing w:after="160" w:before="0" w:line="276"/>
        <w:jc w:val="left"/>
      </w:pPr>
      <w:r>
        <w:rPr>
          <w:rFonts w:ascii="Arial" w:cs="Arial" w:eastAsia="Arial" w:hAnsi="Arial"/>
          <w:color w:val="333333"/>
          <w:sz w:val="22"/>
          <w:szCs w:val="22"/>
        </w:rPr>
        <w:t xml:space="preserve">ED implementation: 2–3 weeks. DMRG setup (using ITensor or TeNPy): 2–3 weeks. Time-evolution studies: 1–2 weeks. Total: 5–8 weeks. This is the longest stage and benefits from parallel execution of the three approaches. Requires HPC for DMRG; ED and time-evolution are workstation-tractable.</w:t>
      </w:r>
    </w:p>
    <w:p>
      <w:r>
        <w:br w:type="page"/>
      </w:r>
    </w:p>
    <w:p>
      <w:pPr>
        <w:pStyle w:val="Heading1"/>
      </w:pPr>
      <w:r>
        <w:t xml:space="preserve">Stage 7: Full Stack Thermal and Coherence Modeling</w:t>
      </w:r>
    </w:p>
    <w:p>
      <w:pPr>
        <w:spacing w:after="200" w:before="0" w:line="276"/>
        <w:jc w:val="left"/>
      </w:pPr>
      <w:r>
        <w:rPr>
          <w:rFonts w:ascii="Arial" w:cs="Arial" w:eastAsia="Arial" w:hAnsi="Arial"/>
          <w:b/>
          <w:bCs/>
          <w:color w:val="2D8B4E"/>
          <w:sz w:val="20"/>
          <w:szCs w:val="20"/>
        </w:rPr>
        <w:t xml:space="preserve">PRIORITY: FINAL GATE  |  </w:t>
      </w:r>
      <w:r>
        <w:rPr>
          <w:rFonts w:ascii="Arial" w:cs="Arial" w:eastAsia="Arial" w:hAnsi="Arial"/>
          <w:color w:val="333333"/>
          <w:sz w:val="20"/>
          <w:szCs w:val="20"/>
        </w:rPr>
        <w:t xml:space="preserve">Device-level feasibility check. Can the physics survive the thermal environment?</w:t>
      </w:r>
    </w:p>
    <w:p>
      <w:pPr>
        <w:pStyle w:val="Heading2"/>
      </w:pPr>
      <w:r>
        <w:t xml:space="preserve">7.1 Objective</w:t>
      </w:r>
    </w:p>
    <w:p>
      <w:pPr>
        <w:spacing w:after="160" w:before="0" w:line="276"/>
        <w:jc w:val="left"/>
      </w:pPr>
      <w:r>
        <w:rPr>
          <w:rFonts w:ascii="Arial" w:cs="Arial" w:eastAsia="Arial" w:hAnsi="Arial"/>
          <w:color w:val="333333"/>
          <w:sz w:val="22"/>
          <w:szCs w:val="22"/>
        </w:rPr>
        <w:t xml:space="preserve">Integrate all previous results into a device-level simulation that includes the full material stack: Si-28 substrate, C-12 diamond buffer, Penrose graphene with Nb contacts, and the He-3/He-4 cryogenic environment. Determine whether the topological (and possibly fractonic) phase survives at experimentally achievable temperatures and whether the predicted observables are measurable with existing instrumentation.</w:t>
      </w:r>
    </w:p>
    <w:p>
      <w:pPr>
        <w:pStyle w:val="Heading2"/>
      </w:pPr>
      <w:r>
        <w:t xml:space="preserve">7.2 Method</w:t>
      </w:r>
    </w:p>
    <w:p>
      <w:pPr>
        <w:pStyle w:val="ListParagraph"/>
        <w:numPr>
          <w:ilvl w:val="0"/>
          <w:numId w:val="3"/>
        </w:numPr>
        <w:spacing w:after="100" w:line="276"/>
      </w:pPr>
      <w:r>
        <w:rPr>
          <w:rFonts w:ascii="Arial" w:cs="Arial" w:eastAsia="Arial" w:hAnsi="Arial"/>
          <w:b/>
          <w:bCs/>
          <w:color w:val="1B2A4A"/>
          <w:sz w:val="22"/>
          <w:szCs w:val="22"/>
        </w:rPr>
        <w:t xml:space="preserve">Substrate phonon coupling: </w:t>
      </w:r>
      <w:r>
        <w:rPr>
          <w:rFonts w:ascii="Arial" w:cs="Arial" w:eastAsia="Arial" w:hAnsi="Arial"/>
          <w:color w:val="333333"/>
          <w:sz w:val="22"/>
          <w:szCs w:val="22"/>
        </w:rPr>
        <w:t xml:space="preserve">Model the graphene-diamond interface with a van der Waals coupling. Compute the phonon transmission coefficient across the interface using NEGF or atomistic Green’s function methods. Determine the thermal contact conductance.</w:t>
      </w:r>
    </w:p>
    <w:p>
      <w:pPr>
        <w:pStyle w:val="ListParagraph"/>
        <w:numPr>
          <w:ilvl w:val="0"/>
          <w:numId w:val="3"/>
        </w:numPr>
        <w:spacing w:after="100" w:line="276"/>
      </w:pPr>
      <w:r>
        <w:rPr>
          <w:rFonts w:ascii="Arial" w:cs="Arial" w:eastAsia="Arial" w:hAnsi="Arial"/>
          <w:b/>
          <w:bCs/>
          <w:color w:val="1B2A4A"/>
          <w:sz w:val="22"/>
          <w:szCs w:val="22"/>
        </w:rPr>
        <w:t xml:space="preserve">Nuclear spin decoherence budget: </w:t>
      </w:r>
      <w:r>
        <w:rPr>
          <w:rFonts w:ascii="Arial" w:cs="Arial" w:eastAsia="Arial" w:hAnsi="Arial"/>
          <w:color w:val="333333"/>
          <w:sz w:val="22"/>
          <w:szCs w:val="22"/>
        </w:rPr>
        <w:t xml:space="preserve">Compute the residual decoherence rate from the specified isotopic purities (²⁸Si at 99.995%, ¹²C at 99.99%). Use established models (de Sousa and Das Sarma) for hyperfine-mediated decoherence. Add the phonon decoherence rate from Stage 2. Sum all channels to get total decoherence rate Γ_total.</w:t>
      </w:r>
    </w:p>
    <w:p>
      <w:pPr>
        <w:pStyle w:val="ListParagraph"/>
        <w:numPr>
          <w:ilvl w:val="0"/>
          <w:numId w:val="3"/>
        </w:numPr>
        <w:spacing w:after="100" w:line="276"/>
      </w:pPr>
      <w:r>
        <w:rPr>
          <w:rFonts w:ascii="Arial" w:cs="Arial" w:eastAsia="Arial" w:hAnsi="Arial"/>
          <w:b/>
          <w:bCs/>
          <w:color w:val="1B2A4A"/>
          <w:sz w:val="22"/>
          <w:szCs w:val="22"/>
        </w:rPr>
        <w:t xml:space="preserve">Topological gap vs temperature: </w:t>
      </w:r>
      <w:r>
        <w:rPr>
          <w:rFonts w:ascii="Arial" w:cs="Arial" w:eastAsia="Arial" w:hAnsi="Arial"/>
          <w:color w:val="333333"/>
          <w:sz w:val="22"/>
          <w:szCs w:val="22"/>
        </w:rPr>
        <w:t xml:space="preserve">Compute the temperature at which thermal fluctuations (k_BT) exceed the topological gap from Stages 1 and 5. This sets the maximum operating temperature.</w:t>
      </w:r>
    </w:p>
    <w:p>
      <w:pPr>
        <w:pStyle w:val="ListParagraph"/>
        <w:numPr>
          <w:ilvl w:val="0"/>
          <w:numId w:val="3"/>
        </w:numPr>
        <w:spacing w:after="100" w:line="276"/>
      </w:pPr>
      <w:r>
        <w:rPr>
          <w:rFonts w:ascii="Arial" w:cs="Arial" w:eastAsia="Arial" w:hAnsi="Arial"/>
          <w:b/>
          <w:bCs/>
          <w:color w:val="1B2A4A"/>
          <w:sz w:val="22"/>
          <w:szCs w:val="22"/>
        </w:rPr>
        <w:t xml:space="preserve">He-3/He-4 environment coupling: </w:t>
      </w:r>
      <w:r>
        <w:rPr>
          <w:rFonts w:ascii="Arial" w:cs="Arial" w:eastAsia="Arial" w:hAnsi="Arial"/>
          <w:color w:val="333333"/>
          <w:sz w:val="22"/>
          <w:szCs w:val="22"/>
        </w:rPr>
        <w:t xml:space="preserve">Model the coupling between the device and the helium bath. For He-4: thermal contact only. For He-3: include the coupling between He-3 surface Majorana modes and device Majorana modes via a tunneling Hamiltonian. Sweep the He-3/He-4 ratio and compute the device’s ground state properties as a function of mixture concentration.</w:t>
      </w:r>
    </w:p>
    <w:p>
      <w:pPr>
        <w:pStyle w:val="Heading2"/>
      </w:pPr>
      <w:r>
        <w:t xml:space="preserve">7.3 Specific Numerical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Observable</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Pass</w:t>
            </w:r>
          </w:p>
        </w:tc>
        <w:tc>
          <w:tcPr>
            <w:tcW w:type="dxa" w:w="308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Fail</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T_coherence / T_base</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10 (wide operating margin)</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2 (barely accessible)</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Γ_total at 10 mK</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topological gap / ħ</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topological gap / ħ</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He-3 concentration effect</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Measurable shift in ground state</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No detectable effect</w:t>
            </w:r>
          </w:p>
        </w:tc>
      </w:tr>
      <w:tr>
        <w:tc>
          <w:tcPr>
            <w:tcW w:type="dxa" w:w="3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MZM splitting at finite T</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&lt; 0.01 Δ at T = 10 mK</w:t>
            </w:r>
          </w:p>
        </w:tc>
        <w:tc>
          <w:tcPr>
            <w:tcW w:type="dxa" w:w="308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&gt; 0.1 Δ (thermally destroyed)</w:t>
            </w:r>
          </w:p>
        </w:tc>
      </w:tr>
    </w:tbl>
    <w:p>
      <w:pPr>
        <w:spacing w:after="200" w:before="200"/>
      </w:pPr>
    </w:p>
    <w:p>
      <w:pPr>
        <w:pStyle w:val="Heading2"/>
      </w:pPr>
      <w:r>
        <w:t xml:space="preserve">7.4 Kill Condition</w:t>
      </w:r>
    </w:p>
    <w:p>
      <w:pPr>
        <w:spacing w:after="160" w:before="0" w:line="276"/>
        <w:jc w:val="left"/>
      </w:pPr>
      <w:r>
        <w:rPr>
          <w:rFonts w:ascii="Arial" w:cs="Arial" w:eastAsia="Arial" w:hAnsi="Arial"/>
          <w:color w:val="333333"/>
          <w:sz w:val="22"/>
          <w:szCs w:val="22"/>
        </w:rPr>
        <w:t xml:space="preserve">If the total decoherence rate exceeds the topological gap at temperatures above the base temperature of available dilution refrigerators (∼ 5–10 mK), the device cannot be operated. If the He-3 coupling produces no measurable effect on the ground state, the Hamiltonian tuning concept is unfounded and the helium environment is merely a coolant, not a control parameter.</w:t>
      </w:r>
    </w:p>
    <w:p>
      <w:pPr>
        <w:pStyle w:val="Heading2"/>
      </w:pPr>
      <w:r>
        <w:t xml:space="preserve">7.5 Estimated Timeline</w:t>
      </w:r>
    </w:p>
    <w:p>
      <w:pPr>
        <w:spacing w:after="160" w:before="0" w:line="276"/>
        <w:jc w:val="left"/>
      </w:pPr>
      <w:r>
        <w:rPr>
          <w:rFonts w:ascii="Arial" w:cs="Arial" w:eastAsia="Arial" w:hAnsi="Arial"/>
          <w:color w:val="333333"/>
          <w:sz w:val="22"/>
          <w:szCs w:val="22"/>
        </w:rPr>
        <w:t xml:space="preserve">Model construction: 3–4 weeks. Production runs: 1–2 weeks. Analysis and integration with all previous stages: 2–3 weeks. Total: 6–9 weeks. This stage cannot begin until Stages 1–5 are complete, as it integrates their outputs.</w:t>
      </w:r>
    </w:p>
    <w:p>
      <w:r>
        <w:br w:type="page"/>
      </w:r>
    </w:p>
    <w:p>
      <w:pPr>
        <w:pStyle w:val="Heading1"/>
      </w:pPr>
      <w:r>
        <w:t xml:space="preserve">Integrated Timeline and Dependencies</w:t>
      </w:r>
    </w:p>
    <w:p>
      <w:pPr>
        <w:spacing w:after="200" w:before="200"/>
      </w:pPr>
    </w:p>
    <w:p>
      <w:pPr>
        <w:spacing w:after="160" w:before="0" w:line="276"/>
        <w:jc w:val="left"/>
      </w:pPr>
      <w:r>
        <w:rPr>
          <w:rFonts w:ascii="Arial" w:cs="Arial" w:eastAsia="Arial" w:hAnsi="Arial"/>
          <w:color w:val="333333"/>
          <w:sz w:val="22"/>
          <w:szCs w:val="22"/>
        </w:rPr>
        <w:t xml:space="preserve">The stages have the following dependency structure:</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300"/>
        <w:gridCol w:w="1800"/>
        <w:gridCol w:w="1960"/>
      </w:tblGrid>
      <w:tr>
        <w:tc>
          <w:tcPr>
            <w:tcW w:type="dxa" w:w="10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Stage</w:t>
            </w:r>
          </w:p>
        </w:tc>
        <w:tc>
          <w:tcPr>
            <w:tcW w:type="dxa" w:w="23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Depends On</w:t>
            </w:r>
          </w:p>
        </w:tc>
        <w:tc>
          <w:tcPr>
            <w:tcW w:type="dxa" w:w="23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Can Parallel With</w:t>
            </w:r>
          </w:p>
        </w:tc>
        <w:tc>
          <w:tcPr>
            <w:tcW w:type="dxa" w:w="18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Duration</w:t>
            </w:r>
          </w:p>
        </w:tc>
        <w:tc>
          <w:tcPr>
            <w:tcW w:type="dxa" w:w="196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Earliest Start</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1</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None (thesis codebase)</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2–4 weeks</w:t>
            </w:r>
          </w:p>
        </w:tc>
        <w:tc>
          <w:tcPr>
            <w:tcW w:type="dxa" w:w="19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Immediately</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2</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 1 (lattice)</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 1 (same lattice build)</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2–3 weeks</w:t>
            </w:r>
          </w:p>
        </w:tc>
        <w:tc>
          <w:tcPr>
            <w:tcW w:type="dxa" w:w="19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Week 1</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3</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None (independent DFT)</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Stages 1, 2</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3–4 weeks</w:t>
            </w:r>
          </w:p>
        </w:tc>
        <w:tc>
          <w:tcPr>
            <w:tcW w:type="dxa" w:w="19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Immediately</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4</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 3 (parameters)</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 5 setup</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2–3 weeks</w:t>
            </w:r>
          </w:p>
        </w:tc>
        <w:tc>
          <w:tcPr>
            <w:tcW w:type="dxa" w:w="19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Week 4–6</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5</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Stages 1, 3</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 4, Stage 6 setup</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3–4 weeks</w:t>
            </w:r>
          </w:p>
        </w:tc>
        <w:tc>
          <w:tcPr>
            <w:tcW w:type="dxa" w:w="19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Week 4–6</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6</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 1 (lattice + BdG)</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Stages 3, 4, 5</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5–8 weeks</w:t>
            </w:r>
          </w:p>
        </w:tc>
        <w:tc>
          <w:tcPr>
            <w:tcW w:type="dxa" w:w="19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Week 4</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7</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Stages 1–5 complete</w:t>
            </w:r>
          </w:p>
        </w:tc>
        <w:tc>
          <w:tcPr>
            <w:tcW w:type="dxa" w:w="23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6–9 weeks</w:t>
            </w:r>
          </w:p>
        </w:tc>
        <w:tc>
          <w:tcPr>
            <w:tcW w:type="dxa" w:w="19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Week 10–14</w:t>
            </w:r>
          </w:p>
        </w:tc>
      </w:tr>
    </w:tbl>
    <w:p>
      <w:pPr>
        <w:spacing w:after="200" w:before="200"/>
      </w:pPr>
    </w:p>
    <w:p>
      <w:pPr>
        <w:pStyle w:val="Heading2"/>
      </w:pPr>
      <w:r>
        <w:t xml:space="preserve">Critical Path</w:t>
      </w:r>
    </w:p>
    <w:p>
      <w:pPr>
        <w:spacing w:after="160" w:before="0" w:line="276"/>
        <w:jc w:val="left"/>
      </w:pPr>
      <w:r>
        <w:rPr>
          <w:rFonts w:ascii="Arial" w:cs="Arial" w:eastAsia="Arial" w:hAnsi="Arial"/>
          <w:color w:val="333333"/>
          <w:sz w:val="22"/>
          <w:szCs w:val="22"/>
        </w:rPr>
        <w:t xml:space="preserve">The critical path runs: Stage 1 → Stage 5 → Stage 7, with Stage 3 (DFT) as a parallel critical dependency feeding into Stages 4 and 5. With maximum parallelization:</w:t>
      </w:r>
    </w:p>
    <w:p>
      <w:pPr>
        <w:pStyle w:val="ListParagraph"/>
        <w:numPr>
          <w:ilvl w:val="0"/>
          <w:numId w:val="2"/>
        </w:numPr>
        <w:spacing w:after="80" w:line="276"/>
      </w:pPr>
      <w:r>
        <w:rPr>
          <w:rFonts w:ascii="Arial" w:cs="Arial" w:eastAsia="Arial" w:hAnsi="Arial"/>
          <w:b/>
          <w:bCs/>
          <w:color w:val="1B2A4A"/>
          <w:sz w:val="22"/>
          <w:szCs w:val="22"/>
        </w:rPr>
        <w:t xml:space="preserve">Months 1–2: </w:t>
      </w:r>
      <w:r>
        <w:rPr>
          <w:rFonts w:ascii="Arial" w:cs="Arial" w:eastAsia="Arial" w:hAnsi="Arial"/>
          <w:color w:val="333333"/>
          <w:sz w:val="22"/>
          <w:szCs w:val="22"/>
        </w:rPr>
        <w:t xml:space="preserve">Stages 1, 2, and 3 run in parallel. First gate decisions at week 4.</w:t>
      </w:r>
    </w:p>
    <w:p>
      <w:pPr>
        <w:pStyle w:val="ListParagraph"/>
        <w:numPr>
          <w:ilvl w:val="0"/>
          <w:numId w:val="2"/>
        </w:numPr>
        <w:spacing w:after="80" w:line="276"/>
      </w:pPr>
      <w:r>
        <w:rPr>
          <w:rFonts w:ascii="Arial" w:cs="Arial" w:eastAsia="Arial" w:hAnsi="Arial"/>
          <w:b/>
          <w:bCs/>
          <w:color w:val="1B2A4A"/>
          <w:sz w:val="22"/>
          <w:szCs w:val="22"/>
        </w:rPr>
        <w:t xml:space="preserve">Months 2–4: </w:t>
      </w:r>
      <w:r>
        <w:rPr>
          <w:rFonts w:ascii="Arial" w:cs="Arial" w:eastAsia="Arial" w:hAnsi="Arial"/>
          <w:color w:val="333333"/>
          <w:sz w:val="22"/>
          <w:szCs w:val="22"/>
        </w:rPr>
        <w:t xml:space="preserve">Stages 4, 5, and 6 run in parallel (6 is the longest). Second gate decisions at week 10.</w:t>
      </w:r>
    </w:p>
    <w:p>
      <w:pPr>
        <w:pStyle w:val="ListParagraph"/>
        <w:numPr>
          <w:ilvl w:val="0"/>
          <w:numId w:val="2"/>
        </w:numPr>
        <w:spacing w:after="80" w:line="276"/>
      </w:pPr>
      <w:r>
        <w:rPr>
          <w:rFonts w:ascii="Arial" w:cs="Arial" w:eastAsia="Arial" w:hAnsi="Arial"/>
          <w:b/>
          <w:bCs/>
          <w:color w:val="1B2A4A"/>
          <w:sz w:val="22"/>
          <w:szCs w:val="22"/>
        </w:rPr>
        <w:t xml:space="preserve">Months 4–6: </w:t>
      </w:r>
      <w:r>
        <w:rPr>
          <w:rFonts w:ascii="Arial" w:cs="Arial" w:eastAsia="Arial" w:hAnsi="Arial"/>
          <w:color w:val="333333"/>
          <w:sz w:val="22"/>
          <w:szCs w:val="22"/>
        </w:rPr>
        <w:t xml:space="preserve">Stage 7 integrates everything. Final gate decision at week 20–24.</w:t>
      </w:r>
    </w:p>
    <w:p>
      <w:pPr>
        <w:spacing w:after="200" w:before="200"/>
      </w:pPr>
    </w:p>
    <w:p>
      <w:pPr>
        <w:spacing w:after="160" w:line="276"/>
      </w:pPr>
      <w:r>
        <w:rPr>
          <w:rFonts w:ascii="Arial" w:cs="Arial" w:eastAsia="Arial" w:hAnsi="Arial"/>
          <w:b/>
          <w:bCs/>
          <w:color w:val="1B2A4A"/>
          <w:sz w:val="22"/>
          <w:szCs w:val="22"/>
        </w:rPr>
        <w:t xml:space="preserve">Total program duration:</w:t>
      </w:r>
      <w:r>
        <w:rPr>
          <w:rFonts w:ascii="Arial" w:cs="Arial" w:eastAsia="Arial" w:hAnsi="Arial"/>
          <w:color w:val="333333"/>
          <w:sz w:val="22"/>
          <w:szCs w:val="22"/>
        </w:rPr>
        <w:t xml:space="preserve"> 5–6 months with full parallelization. Under serial execution (one stage at a time): 9–12 months.</w:t>
      </w:r>
    </w:p>
    <w:p>
      <w:r>
        <w:br w:type="page"/>
      </w:r>
    </w:p>
    <w:p>
      <w:pPr>
        <w:pStyle w:val="Heading1"/>
      </w:pPr>
      <w:r>
        <w:t xml:space="preserve">Computational Resources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200"/>
        <w:gridCol w:w="2360"/>
      </w:tblGrid>
      <w:tr>
        <w:tc>
          <w:tcPr>
            <w:tcW w:type="dxa" w:w="1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Stage</w:t>
            </w:r>
          </w:p>
        </w:tc>
        <w:tc>
          <w:tcPr>
            <w:tcW w:type="dxa" w:w="18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Primary Tool</w:t>
            </w:r>
          </w:p>
        </w:tc>
        <w:tc>
          <w:tcPr>
            <w:tcW w:type="dxa" w:w="18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System Size</w:t>
            </w:r>
          </w:p>
        </w:tc>
        <w:tc>
          <w:tcPr>
            <w:tcW w:type="dxa" w:w="2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CPU-Hours (est)</w:t>
            </w:r>
          </w:p>
        </w:tc>
        <w:tc>
          <w:tcPr>
            <w:tcW w:type="dxa" w:w="236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Hardware</w:t>
            </w:r>
          </w:p>
        </w:tc>
      </w:tr>
      <w:tr>
        <w:tc>
          <w:tcPr>
            <w:tcW w:type="dxa" w:w="1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Python / SciPy</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500–5,000 sites</w:t>
            </w:r>
          </w:p>
        </w:tc>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10–100</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Laptop / workstation</w:t>
            </w:r>
          </w:p>
        </w:tc>
      </w:tr>
      <w:tr>
        <w:tc>
          <w:tcPr>
            <w:tcW w:type="dxa" w:w="1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2</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Python / SciPy</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500–5,000 sites</w:t>
            </w:r>
          </w:p>
        </w:tc>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10–50</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Laptop / workstation</w:t>
            </w:r>
          </w:p>
        </w:tc>
      </w:tr>
      <w:tr>
        <w:tc>
          <w:tcPr>
            <w:tcW w:type="dxa" w:w="1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VASP / QE</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72–200 atoms</w:t>
            </w:r>
          </w:p>
        </w:tc>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1,000–5,000</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HPC cluster</w:t>
            </w:r>
          </w:p>
        </w:tc>
      </w:tr>
      <w:tr>
        <w:tc>
          <w:tcPr>
            <w:tcW w:type="dxa" w:w="1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4</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KPM (KITE/custom)</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10,000–50,000 sites</w:t>
            </w:r>
          </w:p>
        </w:tc>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100–1,000</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Workstation / HPC</w:t>
            </w:r>
          </w:p>
        </w:tc>
      </w:tr>
      <w:tr>
        <w:tc>
          <w:tcPr>
            <w:tcW w:type="dxa" w:w="1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Kwant</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1,000–5,000 sites</w:t>
            </w:r>
          </w:p>
        </w:tc>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100–500</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Workstation</w:t>
            </w:r>
          </w:p>
        </w:tc>
      </w:tr>
      <w:tr>
        <w:tc>
          <w:tcPr>
            <w:tcW w:type="dxa" w:w="1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6</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ITensor / TeNPy / custom</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20–200 sites</w:t>
            </w:r>
          </w:p>
        </w:tc>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10,000–100,000</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HPC cluster</w:t>
            </w:r>
          </w:p>
        </w:tc>
      </w:tr>
      <w:tr>
        <w:tc>
          <w:tcPr>
            <w:tcW w:type="dxa" w:w="12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7</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NEGF / MD / custom</w:t>
            </w:r>
          </w:p>
        </w:tc>
        <w:tc>
          <w:tcPr>
            <w:tcW w:type="dxa" w:w="1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Full stack model</w:t>
            </w:r>
          </w:p>
        </w:tc>
        <w:tc>
          <w:tcPr>
            <w:tcW w:type="dxa" w:w="2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10,000–50,000</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HPC cluster</w:t>
            </w:r>
          </w:p>
        </w:tc>
      </w:tr>
    </w:tbl>
    <w:p>
      <w:pPr>
        <w:spacing w:after="200" w:before="200"/>
      </w:pPr>
    </w:p>
    <w:p>
      <w:pPr>
        <w:pStyle w:val="Heading2"/>
      </w:pPr>
      <w:r>
        <w:t xml:space="preserve">Access Options</w:t>
      </w:r>
    </w:p>
    <w:p>
      <w:pPr>
        <w:pStyle w:val="ListParagraph"/>
        <w:numPr>
          <w:ilvl w:val="0"/>
          <w:numId w:val="2"/>
        </w:numPr>
        <w:spacing w:after="80" w:line="276"/>
      </w:pPr>
      <w:r>
        <w:rPr>
          <w:rFonts w:ascii="Arial" w:cs="Arial" w:eastAsia="Arial" w:hAnsi="Arial"/>
          <w:b/>
          <w:bCs/>
          <w:color w:val="1B2A4A"/>
          <w:sz w:val="22"/>
          <w:szCs w:val="22"/>
        </w:rPr>
        <w:t xml:space="preserve">Stages 1–2 (immediate): </w:t>
      </w:r>
      <w:r>
        <w:rPr>
          <w:rFonts w:ascii="Arial" w:cs="Arial" w:eastAsia="Arial" w:hAnsi="Arial"/>
          <w:color w:val="333333"/>
          <w:sz w:val="22"/>
          <w:szCs w:val="22"/>
        </w:rPr>
        <w:t xml:space="preserve">Any modern laptop with Python, NumPy, SciPy. No barriers. Start today.</w:t>
      </w:r>
    </w:p>
    <w:p>
      <w:pPr>
        <w:pStyle w:val="ListParagraph"/>
        <w:numPr>
          <w:ilvl w:val="0"/>
          <w:numId w:val="2"/>
        </w:numPr>
        <w:spacing w:after="80" w:line="276"/>
      </w:pPr>
      <w:r>
        <w:rPr>
          <w:rFonts w:ascii="Arial" w:cs="Arial" w:eastAsia="Arial" w:hAnsi="Arial"/>
          <w:b/>
          <w:bCs/>
          <w:color w:val="1B2A4A"/>
          <w:sz w:val="22"/>
          <w:szCs w:val="22"/>
        </w:rPr>
        <w:t xml:space="preserve">Stage 3 (DFT): </w:t>
      </w:r>
      <w:r>
        <w:rPr>
          <w:rFonts w:ascii="Arial" w:cs="Arial" w:eastAsia="Arial" w:hAnsi="Arial"/>
          <w:color w:val="333333"/>
          <w:sz w:val="22"/>
          <w:szCs w:val="22"/>
        </w:rPr>
        <w:t xml:space="preserve">XSEDE/ACCESS startup allocation (free, ∼50,000 CPU-hours, approval in ∼1 week). Or university HPC if collaborating. Quantum ESPRESSO is free; VASP requires a license.</w:t>
      </w:r>
    </w:p>
    <w:p>
      <w:pPr>
        <w:pStyle w:val="ListParagraph"/>
        <w:numPr>
          <w:ilvl w:val="0"/>
          <w:numId w:val="2"/>
        </w:numPr>
        <w:spacing w:after="80" w:line="276"/>
      </w:pPr>
      <w:r>
        <w:rPr>
          <w:rFonts w:ascii="Arial" w:cs="Arial" w:eastAsia="Arial" w:hAnsi="Arial"/>
          <w:b/>
          <w:bCs/>
          <w:color w:val="1B2A4A"/>
          <w:sz w:val="22"/>
          <w:szCs w:val="22"/>
        </w:rPr>
        <w:t xml:space="preserve">Stages 4–5 (workstation): </w:t>
      </w:r>
      <w:r>
        <w:rPr>
          <w:rFonts w:ascii="Arial" w:cs="Arial" w:eastAsia="Arial" w:hAnsi="Arial"/>
          <w:color w:val="333333"/>
          <w:sz w:val="22"/>
          <w:szCs w:val="22"/>
        </w:rPr>
        <w:t xml:space="preserve">KITE (open-source KPM), Kwant (open-source), pybinding (open-source). All Python-based. A 32-core workstation or cloud instance is sufficient.</w:t>
      </w:r>
    </w:p>
    <w:p>
      <w:pPr>
        <w:pStyle w:val="ListParagraph"/>
        <w:numPr>
          <w:ilvl w:val="0"/>
          <w:numId w:val="2"/>
        </w:numPr>
        <w:spacing w:after="80" w:line="276"/>
      </w:pPr>
      <w:r>
        <w:rPr>
          <w:rFonts w:ascii="Arial" w:cs="Arial" w:eastAsia="Arial" w:hAnsi="Arial"/>
          <w:b/>
          <w:bCs/>
          <w:color w:val="1B2A4A"/>
          <w:sz w:val="22"/>
          <w:szCs w:val="22"/>
        </w:rPr>
        <w:t xml:space="preserve">Stages 6–7 (HPC): </w:t>
      </w:r>
      <w:r>
        <w:rPr>
          <w:rFonts w:ascii="Arial" w:cs="Arial" w:eastAsia="Arial" w:hAnsi="Arial"/>
          <w:color w:val="333333"/>
          <w:sz w:val="22"/>
          <w:szCs w:val="22"/>
        </w:rPr>
        <w:t xml:space="preserve">ACCESS research allocation (∼200,000 CPU-hours, peer-reviewed, 1–2 month approval). ITensor (Julia) and TeNPy (Python) are open-source. Alternatively, cloud HPC (AWS, Google Cloud) at approximately $0.03–0.05 per CPU-hour.</w:t>
      </w:r>
    </w:p>
    <w:p>
      <w:r>
        <w:br w:type="page"/>
      </w:r>
    </w:p>
    <w:p>
      <w:pPr>
        <w:pStyle w:val="Heading1"/>
      </w:pPr>
      <w:r>
        <w:t xml:space="preserve">Decision Tree: What Happens After Each Gate</w:t>
      </w:r>
    </w:p>
    <w:p>
      <w:pPr>
        <w:spacing w:after="200" w:before="200"/>
      </w:pPr>
    </w:p>
    <w:p>
      <w:pPr>
        <w:spacing w:after="160" w:before="0" w:line="276"/>
        <w:jc w:val="left"/>
      </w:pPr>
      <w:r>
        <w:rPr>
          <w:rFonts w:ascii="Arial" w:cs="Arial" w:eastAsia="Arial" w:hAnsi="Arial"/>
          <w:color w:val="333333"/>
          <w:sz w:val="22"/>
          <w:szCs w:val="22"/>
        </w:rPr>
        <w:t xml:space="preserve">The simulation program is designed to fail fast and fail cheaply. Here is the decision logic at each gate:</w:t>
      </w:r>
    </w:p>
    <w:p>
      <w:pPr>
        <w:spacing w:after="200" w:before="200"/>
      </w:pPr>
    </w:p>
    <w:p>
      <w:pPr>
        <w:pStyle w:val="Heading2"/>
      </w:pPr>
      <w:r>
        <w:t xml:space="preserve">After Stage 1 (2D BdG)</w:t>
      </w:r>
    </w:p>
    <w:p>
      <w:pPr>
        <w:pStyle w:val="ListParagraph"/>
        <w:numPr>
          <w:ilvl w:val="0"/>
          <w:numId w:val="2"/>
        </w:numPr>
        <w:spacing w:after="80" w:line="276"/>
      </w:pPr>
      <w:r>
        <w:rPr>
          <w:rFonts w:ascii="Arial" w:cs="Arial" w:eastAsia="Arial" w:hAnsi="Arial"/>
          <w:b/>
          <w:bCs/>
          <w:color w:val="2D8B4E"/>
          <w:sz w:val="22"/>
          <w:szCs w:val="22"/>
        </w:rPr>
        <w:t xml:space="preserve">PASS (MZMs in 2D): </w:t>
      </w:r>
      <w:r>
        <w:rPr>
          <w:rFonts w:ascii="Arial" w:cs="Arial" w:eastAsia="Arial" w:hAnsi="Arial"/>
          <w:color w:val="333333"/>
          <w:sz w:val="22"/>
          <w:szCs w:val="22"/>
        </w:rPr>
        <w:t xml:space="preserve">Proceed. The core architecture stands. Write up the 2D result as a standalone paper (publishable in PRB).</w:t>
      </w:r>
    </w:p>
    <w:p>
      <w:pPr>
        <w:pStyle w:val="ListParagraph"/>
        <w:numPr>
          <w:ilvl w:val="0"/>
          <w:numId w:val="2"/>
        </w:numPr>
        <w:spacing w:after="80" w:line="276"/>
      </w:pPr>
      <w:r>
        <w:rPr>
          <w:rFonts w:ascii="Arial" w:cs="Arial" w:eastAsia="Arial" w:hAnsi="Arial"/>
          <w:b/>
          <w:bCs/>
          <w:color w:val="C0392B"/>
          <w:sz w:val="22"/>
          <w:szCs w:val="22"/>
        </w:rPr>
        <w:t xml:space="preserve">FAIL (no MZMs in 2D): </w:t>
      </w:r>
      <w:r>
        <w:rPr>
          <w:rFonts w:ascii="Arial" w:cs="Arial" w:eastAsia="Arial" w:hAnsi="Arial"/>
          <w:color w:val="333333"/>
          <w:sz w:val="22"/>
          <w:szCs w:val="22"/>
        </w:rPr>
        <w:t xml:space="preserve">Diagnose. Is it the defect pattern, the pairing symmetry, or the lattice size? Try s-wave vs p-wave pairing, vary defect density, increase system size. If no variant works, the topological SC track is closed.</w:t>
      </w:r>
    </w:p>
    <w:p>
      <w:pPr>
        <w:spacing w:after="200" w:before="200"/>
      </w:pPr>
    </w:p>
    <w:p>
      <w:pPr>
        <w:pStyle w:val="Heading2"/>
      </w:pPr>
      <w:r>
        <w:t xml:space="preserve">After Stage 2 (2D Phonons)</w:t>
      </w:r>
    </w:p>
    <w:p>
      <w:pPr>
        <w:pStyle w:val="ListParagraph"/>
        <w:numPr>
          <w:ilvl w:val="0"/>
          <w:numId w:val="2"/>
        </w:numPr>
        <w:spacing w:after="80" w:line="276"/>
      </w:pPr>
      <w:r>
        <w:rPr>
          <w:rFonts w:ascii="Arial" w:cs="Arial" w:eastAsia="Arial" w:hAnsi="Arial"/>
          <w:b/>
          <w:bCs/>
          <w:color w:val="2D8B4E"/>
          <w:sz w:val="22"/>
          <w:szCs w:val="22"/>
        </w:rPr>
        <w:t xml:space="preserve">PASS (κ ratio &lt; 0.5): </w:t>
      </w:r>
      <w:r>
        <w:rPr>
          <w:rFonts w:ascii="Arial" w:cs="Arial" w:eastAsia="Arial" w:hAnsi="Arial"/>
          <w:color w:val="333333"/>
          <w:sz w:val="22"/>
          <w:szCs w:val="22"/>
        </w:rPr>
        <w:t xml:space="preserve">PGTC is validated in the target geometry. Combined with Stage 1, this is a two-paper result: MZMs on Penrose graphene + PGTC self-protection.</w:t>
      </w:r>
    </w:p>
    <w:p>
      <w:pPr>
        <w:pStyle w:val="ListParagraph"/>
        <w:numPr>
          <w:ilvl w:val="0"/>
          <w:numId w:val="2"/>
        </w:numPr>
        <w:spacing w:after="80" w:line="276"/>
      </w:pPr>
      <w:r>
        <w:rPr>
          <w:rFonts w:ascii="Arial" w:cs="Arial" w:eastAsia="Arial" w:hAnsi="Arial"/>
          <w:b/>
          <w:bCs/>
          <w:color w:val="D4760A"/>
          <w:sz w:val="22"/>
          <w:szCs w:val="22"/>
        </w:rPr>
        <w:t xml:space="preserve">PARTIAL (κ ratio 0.5–0.8): </w:t>
      </w:r>
      <w:r>
        <w:rPr>
          <w:rFonts w:ascii="Arial" w:cs="Arial" w:eastAsia="Arial" w:hAnsi="Arial"/>
          <w:color w:val="333333"/>
          <w:sz w:val="22"/>
          <w:szCs w:val="22"/>
        </w:rPr>
        <w:t xml:space="preserve">Phonon suppression is real but modest. PGTC paper still possible with appropriate framing. Substrate isotopic purity becomes more important.</w:t>
      </w:r>
    </w:p>
    <w:p>
      <w:pPr>
        <w:pStyle w:val="ListParagraph"/>
        <w:numPr>
          <w:ilvl w:val="0"/>
          <w:numId w:val="2"/>
        </w:numPr>
        <w:spacing w:after="80" w:line="276"/>
      </w:pPr>
      <w:r>
        <w:rPr>
          <w:rFonts w:ascii="Arial" w:cs="Arial" w:eastAsia="Arial" w:hAnsi="Arial"/>
          <w:b/>
          <w:bCs/>
          <w:color w:val="C0392B"/>
          <w:sz w:val="22"/>
          <w:szCs w:val="22"/>
        </w:rPr>
        <w:t xml:space="preserve">FAIL (κ ratio &gt; 0.8): </w:t>
      </w:r>
      <w:r>
        <w:rPr>
          <w:rFonts w:ascii="Arial" w:cs="Arial" w:eastAsia="Arial" w:hAnsi="Arial"/>
          <w:color w:val="333333"/>
          <w:sz w:val="22"/>
          <w:szCs w:val="22"/>
        </w:rPr>
        <w:t xml:space="preserve">PGTC claim is withdrawn. Architecture relies entirely on substrate engineering for decoherence suppression. Not fatal, but removes the most novel materials-design contribution.</w:t>
      </w:r>
    </w:p>
    <w:p>
      <w:pPr>
        <w:spacing w:after="200" w:before="200"/>
      </w:pPr>
    </w:p>
    <w:p>
      <w:pPr>
        <w:pStyle w:val="Heading2"/>
      </w:pPr>
      <w:r>
        <w:t xml:space="preserve">After Stage 3 (DFT)</w:t>
      </w:r>
    </w:p>
    <w:p>
      <w:pPr>
        <w:pStyle w:val="ListParagraph"/>
        <w:numPr>
          <w:ilvl w:val="0"/>
          <w:numId w:val="2"/>
        </w:numPr>
        <w:spacing w:after="80" w:line="276"/>
      </w:pPr>
      <w:r>
        <w:rPr>
          <w:rFonts w:ascii="Arial" w:cs="Arial" w:eastAsia="Arial" w:hAnsi="Arial"/>
          <w:b/>
          <w:bCs/>
          <w:color w:val="2D8B4E"/>
          <w:sz w:val="22"/>
          <w:szCs w:val="22"/>
        </w:rPr>
        <w:t xml:space="preserve">PASS (Harrison within 20%): </w:t>
      </w:r>
      <w:r>
        <w:rPr>
          <w:rFonts w:ascii="Arial" w:cs="Arial" w:eastAsia="Arial" w:hAnsi="Arial"/>
          <w:color w:val="333333"/>
          <w:sz w:val="22"/>
          <w:szCs w:val="22"/>
        </w:rPr>
        <w:t xml:space="preserve">Tight-binding results from Stages 1–2 are trustworthy as-is. Proceed to Stages 4–5.</w:t>
      </w:r>
    </w:p>
    <w:p>
      <w:pPr>
        <w:pStyle w:val="ListParagraph"/>
        <w:numPr>
          <w:ilvl w:val="0"/>
          <w:numId w:val="2"/>
        </w:numPr>
        <w:spacing w:after="80" w:line="276"/>
      </w:pPr>
      <w:r>
        <w:rPr>
          <w:rFonts w:ascii="Arial" w:cs="Arial" w:eastAsia="Arial" w:hAnsi="Arial"/>
          <w:b/>
          <w:bCs/>
          <w:color w:val="D4760A"/>
          <w:sz w:val="22"/>
          <w:szCs w:val="22"/>
        </w:rPr>
        <w:t xml:space="preserve">PARTIAL (Harrison off by 20–50%): </w:t>
      </w:r>
      <w:r>
        <w:rPr>
          <w:rFonts w:ascii="Arial" w:cs="Arial" w:eastAsia="Arial" w:hAnsi="Arial"/>
          <w:color w:val="333333"/>
          <w:sz w:val="22"/>
          <w:szCs w:val="22"/>
        </w:rPr>
        <w:t xml:space="preserve">Re-run Stages 1–2 with DFT-corrected parameters. Results may shift but likely survive (5× safety margin on modulation).</w:t>
      </w:r>
    </w:p>
    <w:p>
      <w:pPr>
        <w:pStyle w:val="ListParagraph"/>
        <w:numPr>
          <w:ilvl w:val="0"/>
          <w:numId w:val="2"/>
        </w:numPr>
        <w:spacing w:after="80" w:line="276"/>
      </w:pPr>
      <w:r>
        <w:rPr>
          <w:rFonts w:ascii="Arial" w:cs="Arial" w:eastAsia="Arial" w:hAnsi="Arial"/>
          <w:b/>
          <w:bCs/>
          <w:color w:val="C0392B"/>
          <w:sz w:val="22"/>
          <w:szCs w:val="22"/>
        </w:rPr>
        <w:t xml:space="preserve">FAIL (Harrison off by &gt; 50% or rehybridization): </w:t>
      </w:r>
      <w:r>
        <w:rPr>
          <w:rFonts w:ascii="Arial" w:cs="Arial" w:eastAsia="Arial" w:hAnsi="Arial"/>
          <w:color w:val="333333"/>
          <w:sz w:val="22"/>
          <w:szCs w:val="22"/>
        </w:rPr>
        <w:t xml:space="preserve">All tight-binding results must be rederived from DFT. If DFT modulation falls outside the topological window, Stage 1 result is invalidated.</w:t>
      </w:r>
    </w:p>
    <w:p>
      <w:pPr>
        <w:spacing w:after="200" w:before="200"/>
      </w:pPr>
    </w:p>
    <w:p>
      <w:pPr>
        <w:pStyle w:val="Heading2"/>
      </w:pPr>
      <w:r>
        <w:t xml:space="preserve">After Stage 6 (Fracton Diagnostics)</w:t>
      </w:r>
    </w:p>
    <w:p>
      <w:pPr>
        <w:pStyle w:val="ListParagraph"/>
        <w:numPr>
          <w:ilvl w:val="0"/>
          <w:numId w:val="2"/>
        </w:numPr>
        <w:spacing w:after="80" w:line="276"/>
      </w:pPr>
      <w:r>
        <w:rPr>
          <w:rFonts w:ascii="Arial" w:cs="Arial" w:eastAsia="Arial" w:hAnsi="Arial"/>
          <w:b/>
          <w:bCs/>
          <w:color w:val="2D8B4E"/>
          <w:sz w:val="22"/>
          <w:szCs w:val="22"/>
        </w:rPr>
        <w:t xml:space="preserve">PASS (sub-extensive GSD, restricted mobility): </w:t>
      </w:r>
      <w:r>
        <w:rPr>
          <w:rFonts w:ascii="Arial" w:cs="Arial" w:eastAsia="Arial" w:hAnsi="Arial"/>
          <w:color w:val="333333"/>
          <w:sz w:val="22"/>
          <w:szCs w:val="22"/>
        </w:rPr>
        <w:t xml:space="preserve">The Fractonic Weyl Semimetal label is justified. The fracton-gravity correspondence and Kodama state interpretation remain live. This is a major result.</w:t>
      </w:r>
    </w:p>
    <w:p>
      <w:pPr>
        <w:pStyle w:val="ListParagraph"/>
        <w:numPr>
          <w:ilvl w:val="0"/>
          <w:numId w:val="2"/>
        </w:numPr>
        <w:spacing w:after="80" w:line="276"/>
      </w:pPr>
      <w:r>
        <w:rPr>
          <w:rFonts w:ascii="Arial" w:cs="Arial" w:eastAsia="Arial" w:hAnsi="Arial"/>
          <w:b/>
          <w:bCs/>
          <w:color w:val="D4760A"/>
          <w:sz w:val="22"/>
          <w:szCs w:val="22"/>
        </w:rPr>
        <w:t xml:space="preserve">PARTIAL (some fracton-like signatures, not all): </w:t>
      </w:r>
      <w:r>
        <w:rPr>
          <w:rFonts w:ascii="Arial" w:cs="Arial" w:eastAsia="Arial" w:hAnsi="Arial"/>
          <w:color w:val="333333"/>
          <w:sz w:val="22"/>
          <w:szCs w:val="22"/>
        </w:rPr>
        <w:t xml:space="preserve">The system may be in a “fracton-like” regime without being a strict fracton phase. Reframe as “restricted-mobility topological superconductor” and revise the Kodama interpretation.</w:t>
      </w:r>
    </w:p>
    <w:p>
      <w:pPr>
        <w:pStyle w:val="ListParagraph"/>
        <w:numPr>
          <w:ilvl w:val="0"/>
          <w:numId w:val="2"/>
        </w:numPr>
        <w:spacing w:after="80" w:line="276"/>
      </w:pPr>
      <w:r>
        <w:rPr>
          <w:rFonts w:ascii="Arial" w:cs="Arial" w:eastAsia="Arial" w:hAnsi="Arial"/>
          <w:b/>
          <w:bCs/>
          <w:color w:val="C0392B"/>
          <w:sz w:val="22"/>
          <w:szCs w:val="22"/>
        </w:rPr>
        <w:t xml:space="preserve">FAIL (fully conventional topological SC): </w:t>
      </w:r>
      <w:r>
        <w:rPr>
          <w:rFonts w:ascii="Arial" w:cs="Arial" w:eastAsia="Arial" w:hAnsi="Arial"/>
          <w:color w:val="333333"/>
          <w:sz w:val="22"/>
          <w:szCs w:val="22"/>
        </w:rPr>
        <w:t xml:space="preserve">Remove “fractonic” and “Kodama” from the architecture. What remains is still a topological superconductor on a quasicrystalline substrate with PGTC self-protection—a publishable, useful result, but a fundamentally different story.</w:t>
      </w:r>
    </w:p>
    <w:p>
      <w:r>
        <w:br w:type="page"/>
      </w:r>
    </w:p>
    <w:p>
      <w:pPr>
        <w:pStyle w:val="Heading1"/>
      </w:pPr>
      <w:r>
        <w:t xml:space="preserve">Publication Strategy: Papers Along the Way</w:t>
      </w:r>
    </w:p>
    <w:p>
      <w:pPr>
        <w:spacing w:after="200" w:before="200"/>
      </w:pPr>
    </w:p>
    <w:p>
      <w:pPr>
        <w:spacing w:after="160" w:before="0" w:line="276"/>
        <w:jc w:val="left"/>
      </w:pPr>
      <w:r>
        <w:rPr>
          <w:rFonts w:ascii="Arial" w:cs="Arial" w:eastAsia="Arial" w:hAnsi="Arial"/>
          <w:color w:val="333333"/>
          <w:sz w:val="22"/>
          <w:szCs w:val="22"/>
        </w:rPr>
        <w:t xml:space="preserve">The simulation program is designed so that each gate produces a publishable result, regardless of whether the full architecture survives. This is essential: even if the Kodama state claim fails at Stage 6, the earlier stages generate standalone contributions.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800"/>
        <w:gridCol w:w="2360"/>
      </w:tblGrid>
      <w:tr>
        <w:tc>
          <w:tcPr>
            <w:tcW w:type="dxa" w:w="10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Gate</w:t>
            </w:r>
          </w:p>
        </w:tc>
        <w:tc>
          <w:tcPr>
            <w:tcW w:type="dxa" w:w="32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Paper Title (Working)</w:t>
            </w:r>
          </w:p>
        </w:tc>
        <w:tc>
          <w:tcPr>
            <w:tcW w:type="dxa" w:w="280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Target Venue</w:t>
            </w:r>
          </w:p>
        </w:tc>
        <w:tc>
          <w:tcPr>
            <w:tcW w:type="dxa" w:w="2360"/>
            <w:tcBorders>
              <w:top w:val="single" w:color="BBBBBB" w:sz="1"/>
              <w:left w:val="single" w:color="BBBBBB" w:sz="1"/>
              <w:bottom w:val="single" w:color="BBBBBB" w:sz="1"/>
              <w:right w:val="single" w:color="BBBBBB"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Depends On</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1+2</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Majorana Zero Modes and Phonon Glass Self-Protection on Quasicrystalline Graphene</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Physical Review B</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Stages 1–2 pass</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First-Principles Validation of Tight-Binding Models for Topological Defects in Graphene</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Physical Review B (Rapid)</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 3 complete</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1+3+5</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Proximity-Induced Topological Superconductivity in Penrose-Patterned Graphene Nanoribbons</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Physical Review Letters</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Stages 1, 3, 5 pass</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6</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Fracton Signatures in Quasicrystalline Topological Superconductors</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Nature Physics (if strong) or PRL</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Stage 6 pass</w:t>
            </w:r>
          </w:p>
        </w:tc>
      </w:tr>
      <w:tr>
        <w:tc>
          <w:tcPr>
            <w:tcW w:type="dxa" w:w="1000"/>
            <w:tcBorders>
              <w:top w:val="single" w:color="BBBBBB" w:sz="1"/>
              <w:left w:val="single" w:color="BBBBBB" w:sz="1"/>
              <w:bottom w:val="single" w:color="BBBBBB" w:sz="1"/>
              <w:right w:val="single" w:color="BBBBBB" w:sz="1"/>
            </w:tcBorders>
            <w:shd w:fill="E8EFF7" w:val="clear"/>
            <w:tcMar>
              <w:top w:type="dxa" w:w="50"/>
              <w:left w:type="dxa" w:w="80"/>
              <w:bottom w:type="dxa" w:w="50"/>
              <w:right w:type="dxa" w:w="80"/>
            </w:tcMar>
          </w:tcPr>
          <w:p>
            <w:r>
              <w:rPr>
                <w:rFonts w:ascii="Arial" w:cs="Arial" w:eastAsia="Arial" w:hAnsi="Arial"/>
                <w:b/>
                <w:bCs/>
                <w:color w:val="333333"/>
                <w:sz w:val="18"/>
                <w:szCs w:val="18"/>
              </w:rPr>
              <w:t xml:space="preserve">Full</w:t>
            </w:r>
          </w:p>
        </w:tc>
        <w:tc>
          <w:tcPr>
            <w:tcW w:type="dxa" w:w="32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Fractonic Weyl Semimetal: Device Architecture for Analog Quantum Gravity</w:t>
            </w:r>
          </w:p>
        </w:tc>
        <w:tc>
          <w:tcPr>
            <w:tcW w:type="dxa" w:w="280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Nature Materials or equivalent</w:t>
            </w:r>
          </w:p>
        </w:tc>
        <w:tc>
          <w:tcPr>
            <w:tcW w:type="dxa" w:w="2360"/>
            <w:tcBorders>
              <w:top w:val="single" w:color="BBBBBB" w:sz="1"/>
              <w:left w:val="single" w:color="BBBBBB" w:sz="1"/>
              <w:bottom w:val="single" w:color="BBBBBB" w:sz="1"/>
              <w:right w:val="single" w:color="BBBBBB" w:sz="1"/>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All stages pass</w:t>
            </w:r>
          </w:p>
        </w:tc>
      </w:tr>
    </w:tbl>
    <w:p>
      <w:pPr>
        <w:spacing w:after="200" w:before="200"/>
      </w:pPr>
    </w:p>
    <w:p>
      <w:pPr>
        <w:spacing w:after="160" w:before="0" w:line="276"/>
        <w:jc w:val="left"/>
      </w:pPr>
      <w:r>
        <w:rPr>
          <w:rFonts w:ascii="Arial" w:cs="Arial" w:eastAsia="Arial" w:hAnsi="Arial"/>
          <w:color w:val="333333"/>
          <w:sz w:val="22"/>
          <w:szCs w:val="22"/>
        </w:rPr>
        <w:t xml:space="preserve">The first paper (Stages 1+2) is the most important strategically because it is achievable on the shortest timescale, requires no HPC resources, and establishes the PGTC concept with concrete numerics. It should be the priority.</w:t>
      </w:r>
    </w:p>
    <w:p>
      <w:r>
        <w:br w:type="page"/>
      </w:r>
    </w:p>
    <w:p>
      <w:pPr>
        <w:pStyle w:val="Heading1"/>
      </w:pPr>
      <w:r>
        <w:t xml:space="preserve">Closing: What We’re Really Doing</w:t>
      </w:r>
    </w:p>
    <w:p>
      <w:pPr>
        <w:spacing w:after="200" w:before="200"/>
      </w:pPr>
    </w:p>
    <w:p>
      <w:pPr>
        <w:spacing w:after="160" w:before="0" w:line="276"/>
        <w:jc w:val="left"/>
      </w:pPr>
      <w:r>
        <w:rPr>
          <w:rFonts w:ascii="Arial" w:cs="Arial" w:eastAsia="Arial" w:hAnsi="Arial"/>
          <w:color w:val="333333"/>
          <w:sz w:val="22"/>
          <w:szCs w:val="22"/>
        </w:rPr>
        <w:t xml:space="preserve">This simulation program is not about confirming a hypothesis. It is about subjecting the hypothesis to every computational test we can devise, in order of increasing cost, with explicit kill conditions at every stage. The architecture either survives contact with numerics or it doesn’t. Both outcomes are valuable: survival means we have a fabrication target; failure at any stage localizes exactly which bridge in the theoretical chain is broken, which is itself a contribution.</w:t>
      </w:r>
    </w:p>
    <w:p>
      <w:pPr>
        <w:spacing w:after="160" w:before="0" w:line="276"/>
        <w:jc w:val="left"/>
      </w:pPr>
      <w:r>
        <w:rPr>
          <w:rFonts w:ascii="Arial" w:cs="Arial" w:eastAsia="Arial" w:hAnsi="Arial"/>
          <w:color w:val="333333"/>
          <w:sz w:val="22"/>
          <w:szCs w:val="22"/>
        </w:rPr>
        <w:t xml:space="preserve">The cheapest stages (1 and 2) are executable immediately with existing tools and no external resources. They answer the two most important questions: do MZMs survive in 2D, and does PGTC scale? If both pass, we have a publishable result within 2–3 months and a clear path forward. If either fails, we know where to look and what to fix before spending a single dollar on compute time, HPC allocations, or fabrication.</w:t>
      </w:r>
    </w:p>
    <w:p>
      <w:pPr>
        <w:spacing w:after="160" w:before="0" w:line="276"/>
        <w:jc w:val="left"/>
      </w:pPr>
      <w:r>
        <w:rPr>
          <w:rFonts w:ascii="Arial" w:cs="Arial" w:eastAsia="Arial" w:hAnsi="Arial"/>
          <w:color w:val="333333"/>
          <w:sz w:val="22"/>
          <w:szCs w:val="22"/>
        </w:rPr>
        <w:t xml:space="preserve">Every atom stays where it is until the simulations say otherwise.</w:t>
      </w:r>
    </w:p>
    <w:p>
      <w:pPr>
        <w:spacing w:after="200" w:before="200"/>
      </w:pPr>
    </w:p>
    <w:p>
      <w:pPr>
        <w:pBdr>
          <w:bottom w:val="single" w:color="2E75B6" w:sz="4" w:space="1"/>
        </w:pBdr>
        <w:spacing w:after="200" w:before="200"/>
      </w:pPr>
    </w:p>
    <w:p>
      <w:pPr>
        <w:spacing w:after="160" w:before="0" w:line="276"/>
        <w:jc w:val="center"/>
      </w:pPr>
      <w:r>
        <w:rPr>
          <w:rFonts w:ascii="Arial" w:cs="Arial" w:eastAsia="Arial" w:hAnsi="Arial"/>
          <w:color w:val="666666"/>
          <w:sz w:val="20"/>
          <w:szCs w:val="20"/>
        </w:rPr>
        <w:t xml:space="preserve">Geometry of State  |  GoS-Architect  |  github.com/GoS-Architect</w:t>
      </w:r>
    </w:p>
    <w:p>
      <w:pPr>
        <w:spacing w:after="160" w:before="0" w:line="276"/>
        <w:jc w:val="center"/>
      </w:pPr>
      <w:r>
        <w:rPr>
          <w:rFonts w:ascii="Arial" w:cs="Arial" w:eastAsia="Arial" w:hAnsi="Arial"/>
          <w:color w:val="666666"/>
          <w:sz w:val="20"/>
          <w:szCs w:val="20"/>
        </w:rPr>
        <w:t xml:space="preserve">Revision 1.0 — March 2026 — DRAFT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666666"/>
        <w:sz w:val="18"/>
        <w:szCs w:val="18"/>
      </w:rPr>
      <w:t xml:space="preserve">FWS Simulation Roadmap</w:t>
    </w:r>
    <w:r>
      <w:rPr>
        <w:rFonts w:ascii="Arial" w:cs="Arial" w:eastAsia="Arial" w:hAnsi="Arial"/>
        <w:color w:val="666666"/>
        <w:sz w:val="18"/>
        <w:szCs w:val="18"/>
      </w:rPr>
      <w:t xml:space="preserve">	Rev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2026-03-17T17:17:37.197Z</dcterms:created>
  <dcterms:modified xsi:type="dcterms:W3CDTF">2026-03-17T17:17:37.198Z</dcterms:modified>
</cp:coreProperties>
</file>

<file path=docProps/custom.xml><?xml version="1.0" encoding="utf-8"?>
<Properties xmlns="http://schemas.openxmlformats.org/officeDocument/2006/custom-properties" xmlns:vt="http://schemas.openxmlformats.org/officeDocument/2006/docPropsVTypes"/>
</file>