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80"/>
        <w:jc w:val="center"/>
      </w:pPr>
      <w:r>
        <w:rPr>
          <w:rFonts w:ascii="Arial" w:cs="Arial" w:eastAsia="Arial" w:hAnsi="Arial"/>
          <w:b/>
          <w:bCs/>
          <w:color w:val="2E75B6"/>
          <w:sz w:val="22"/>
          <w:szCs w:val="22"/>
        </w:rPr>
        <w:t xml:space="preserve">ARCHITECTURE DOCUMENT</w:t>
      </w:r>
    </w:p>
    <w:p>
      <w:pPr>
        <w:pBdr>
          <w:bottom w:val="single" w:color="2E75B6" w:sz="6" w:space="8"/>
        </w:pBdr>
        <w:spacing w:after="40"/>
        <w:jc w:val="center"/>
      </w:pPr>
      <w:r>
        <w:rPr>
          <w:rFonts w:ascii="Arial" w:cs="Arial" w:eastAsia="Arial" w:hAnsi="Arial"/>
          <w:b/>
          <w:bCs/>
          <w:color w:val="1B2A4A"/>
          <w:sz w:val="44"/>
          <w:szCs w:val="44"/>
        </w:rPr>
        <w:t xml:space="preserve">Strain-Differential MZM Certification Pipeline</w:t>
      </w:r>
    </w:p>
    <w:p>
      <w:pPr>
        <w:spacing w:before="200" w:after="60"/>
        <w:jc w:val="center"/>
      </w:pPr>
      <w:r>
        <w:rPr>
          <w:rFonts w:ascii="Arial" w:cs="Arial" w:eastAsia="Arial" w:hAnsi="Arial"/>
          <w:i/>
          <w:iCs/>
          <w:color w:val="999999"/>
          <w:sz w:val="24"/>
          <w:szCs w:val="24"/>
        </w:rPr>
        <w:t xml:space="preserve">A Multi-Modal Verification Architecture for Topological Quantum Hardware</w:t>
      </w:r>
    </w:p>
    <w:p>
      <w:pPr>
        <w:spacing w:before="80" w:after="40"/>
        <w:jc w:val="center"/>
      </w:pPr>
      <w:r>
        <w:rPr>
          <w:rFonts w:ascii="Arial" w:cs="Arial" w:eastAsia="Arial" w:hAnsi="Arial"/>
          <w:color w:val="2E75B6"/>
          <w:sz w:val="22"/>
          <w:szCs w:val="22"/>
        </w:rPr>
        <w:t xml:space="preserve">Extending the Geometry of State Framework</w:t>
      </w:r>
    </w:p>
    <w:p/>
    <w:p/>
    <w:p/>
    <w:p>
      <w:pPr>
        <w:jc w:val="center"/>
      </w:pPr>
      <w:r>
        <w:rPr>
          <w:rFonts w:ascii="Arial" w:cs="Arial" w:eastAsia="Arial" w:hAnsi="Arial"/>
          <w:color w:val="1B2A4A"/>
          <w:sz w:val="24"/>
          <w:szCs w:val="24"/>
        </w:rPr>
        <w:t xml:space="preserve">Adrian Domingo</w:t>
      </w:r>
    </w:p>
    <w:p>
      <w:pPr>
        <w:spacing w:after="40"/>
        <w:jc w:val="center"/>
      </w:pPr>
      <w:r>
        <w:rPr>
          <w:rFonts w:ascii="Arial" w:cs="Arial" w:eastAsia="Arial" w:hAnsi="Arial"/>
          <w:color w:val="999999"/>
          <w:sz w:val="22"/>
          <w:szCs w:val="22"/>
        </w:rPr>
        <w:t xml:space="preserve">Independent Researcher — Chicago, Illinois</w:t>
      </w:r>
    </w:p>
    <w:p>
      <w:pPr>
        <w:spacing w:after="40"/>
        <w:jc w:val="center"/>
      </w:pPr>
      <w:r>
        <w:rPr>
          <w:rFonts w:ascii="Arial" w:cs="Arial" w:eastAsia="Arial" w:hAnsi="Arial"/>
          <w:color w:val="999999"/>
          <w:sz w:val="22"/>
          <w:szCs w:val="22"/>
        </w:rPr>
        <w:t xml:space="preserve">March 2026</w:t>
      </w:r>
    </w:p>
    <w:p/>
    <w:p/>
    <w:p/>
    <w:p/>
    <w:p/>
    <w:p>
      <w:pPr>
        <w:spacing w:after="40"/>
        <w:jc w:val="center"/>
      </w:pPr>
      <w:r>
        <w:rPr>
          <w:rFonts w:ascii="Arial" w:cs="Arial" w:eastAsia="Arial" w:hAnsi="Arial"/>
          <w:color w:val="2E75B6"/>
          <w:sz w:val="20"/>
          <w:szCs w:val="20"/>
        </w:rPr>
        <w:t xml:space="preserve">github.com/GoS-Architect/GeometryOfState</w:t>
      </w:r>
    </w:p>
    <w:p>
      <w:pPr>
        <w:jc w:val="center"/>
      </w:pPr>
      <w:r>
        <w:rPr>
          <w:rFonts w:ascii="Arial" w:cs="Arial" w:eastAsia="Arial" w:hAnsi="Arial"/>
          <w:i/>
          <w:iCs/>
          <w:color w:val="999999"/>
          <w:sz w:val="20"/>
          <w:szCs w:val="20"/>
        </w:rPr>
        <w:t xml:space="preserve">Companion to: The Geometry of State White Paper &amp; Research Proposal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line="276"/>
      </w:pPr>
      <w:r>
        <w:rPr>
          <w:rFonts w:ascii="Arial" w:cs="Arial" w:eastAsia="Arial" w:hAnsi="Arial"/>
          <w:color w:val="333333"/>
          <w:sz w:val="22"/>
          <w:szCs w:val="22"/>
        </w:rPr>
        <w:t xml:space="preserve">This document specifies a verification architecture for certifying Majorana Zero Modes (MZMs) in topological quantum hardware. The architecture addresses the central unsolved problem in topological quantum computing: distinguishing genuine MZMs from trivial Andreev Bound States (ABS) that produce experimentally indistinguishable zero-bias conductance peaks.</w:t>
      </w:r>
    </w:p>
    <w:p>
      <w:pPr>
        <w:spacing w:after="120" w:line="276"/>
      </w:pPr>
      <w:r>
        <w:rPr>
          <w:rFonts w:ascii="Arial" w:cs="Arial" w:eastAsia="Arial" w:hAnsi="Arial"/>
          <w:color w:val="333333"/>
          <w:sz w:val="22"/>
          <w:szCs w:val="22"/>
        </w:rPr>
        <w:t xml:space="preserve">The architecture is grounded in three components with existing physical and mathematical foundations:</w:t>
      </w:r>
    </w:p>
    <w:p>
      <w:pPr>
        <w:spacing w:after="120" w:line="276"/>
      </w:pPr>
      <w:r>
        <w:rPr>
          <w:rFonts w:ascii="Arial" w:cs="Arial" w:eastAsia="Arial" w:hAnsi="Arial"/>
          <w:b/>
          <w:bCs/>
          <w:i w:val="false"/>
          <w:iCs w:val="false"/>
          <w:color w:val="333333"/>
          <w:sz w:val="22"/>
          <w:szCs w:val="22"/>
        </w:rPr>
        <w:t xml:space="preserve">Strain-differential probing. </w:t>
      </w:r>
      <w:r>
        <w:rPr>
          <w:rFonts w:ascii="Arial" w:cs="Arial" w:eastAsia="Arial" w:hAnsi="Arial"/>
          <w:b w:val="false"/>
          <w:bCs w:val="false"/>
          <w:i w:val="false"/>
          <w:iCs w:val="false"/>
          <w:color w:val="333333"/>
          <w:sz w:val="22"/>
          <w:szCs w:val="22"/>
        </w:rPr>
        <w:t xml:space="preserve">Controlled mechanical strain modulates the Hamiltonian parameters continuously, converting a static observation problem into a dynamic distinguishability test. True MZMs, protected by topology, remain pinned to zero energy under smooth deformation within the gap. ABS states shift or split.</w:t>
      </w:r>
    </w:p>
    <w:p>
      <w:pPr>
        <w:spacing w:after="120" w:line="276"/>
      </w:pPr>
      <w:r>
        <w:rPr>
          <w:rFonts w:ascii="Arial" w:cs="Arial" w:eastAsia="Arial" w:hAnsi="Arial"/>
          <w:b/>
          <w:bCs/>
          <w:i w:val="false"/>
          <w:iCs w:val="false"/>
          <w:color w:val="333333"/>
          <w:sz w:val="22"/>
          <w:szCs w:val="22"/>
        </w:rPr>
        <w:t xml:space="preserve">NV-center relaxometry. </w:t>
      </w:r>
      <w:r>
        <w:rPr>
          <w:rFonts w:ascii="Arial" w:cs="Arial" w:eastAsia="Arial" w:hAnsi="Arial"/>
          <w:b w:val="false"/>
          <w:bCs w:val="false"/>
          <w:i w:val="false"/>
          <w:iCs w:val="false"/>
          <w:color w:val="333333"/>
          <w:sz w:val="22"/>
          <w:szCs w:val="22"/>
        </w:rPr>
        <w:t xml:space="preserve">Shallow nitrogen-vacancy centers in diamond provide an independent, non-electrical measurement channel for local magnetic noise spectral density. The T₁ relaxation rate exhibits anomalous behavior near the topological phase transition, offering a signature decoupled from transport.</w:t>
      </w:r>
    </w:p>
    <w:p>
      <w:pPr>
        <w:spacing w:after="120" w:line="276"/>
      </w:pPr>
      <w:r>
        <w:rPr>
          <w:rFonts w:ascii="Arial" w:cs="Arial" w:eastAsia="Arial" w:hAnsi="Arial"/>
          <w:b/>
          <w:bCs/>
          <w:i w:val="false"/>
          <w:iCs w:val="false"/>
          <w:color w:val="333333"/>
          <w:sz w:val="22"/>
          <w:szCs w:val="22"/>
        </w:rPr>
        <w:t xml:space="preserve">Clifford algebra certification logic. </w:t>
      </w:r>
      <w:r>
        <w:rPr>
          <w:rFonts w:ascii="Arial" w:cs="Arial" w:eastAsia="Arial" w:hAnsi="Arial"/>
          <w:b w:val="false"/>
          <w:bCs w:val="false"/>
          <w:i w:val="false"/>
          <w:iCs w:val="false"/>
          <w:color w:val="333333"/>
          <w:sz w:val="22"/>
          <w:szCs w:val="22"/>
        </w:rPr>
        <w:t xml:space="preserve">The Majorana operator algebra is isomorphic to a real Clifford algebra. The Geometry of State Lean 4 framework provides formally verified structures for encoding gap conditions, winding numbers, and protection hierarchies as type-level propositions. This layer provides the formal language for stating certification conditions.</w:t>
      </w:r>
    </w:p>
    <w:p>
      <w:pPr>
        <w:spacing w:after="120" w:line="276"/>
      </w:pPr>
      <w:r>
        <w:rPr>
          <w:rFonts w:ascii="Arial" w:cs="Arial" w:eastAsia="Arial" w:hAnsi="Arial"/>
          <w:color w:val="333333"/>
          <w:sz w:val="22"/>
          <w:szCs w:val="22"/>
        </w:rPr>
        <w:t xml:space="preserve">The architecture explicitly excludes speculative components (Einstein-Cartan torsion detection, autonomous AI agent swarms, cryogenic probe swapping mechanisms) in favor of components that can be specified against existing physics and existing technology.</w:t>
      </w:r>
    </w:p>
    <w:p>
      <w:pPr>
        <w:pStyle w:val="Heading1"/>
      </w:pPr>
      <w:r>
        <w:rPr>
          <w:rFonts w:ascii="Arial" w:cs="Arial" w:eastAsia="Arial" w:hAnsi="Arial"/>
        </w:rPr>
        <w:t xml:space="preserve">2. Problem Statement</w:t>
      </w:r>
    </w:p>
    <w:p>
      <w:pPr>
        <w:pStyle w:val="Heading2"/>
      </w:pPr>
      <w:r>
        <w:rPr>
          <w:rFonts w:ascii="Arial" w:cs="Arial" w:eastAsia="Arial" w:hAnsi="Arial"/>
        </w:rPr>
        <w:t xml:space="preserve">2.1 The Majorana Verification Crisis</w:t>
      </w:r>
    </w:p>
    <w:p>
      <w:pPr>
        <w:spacing w:after="120" w:line="276"/>
      </w:pPr>
      <w:r>
        <w:rPr>
          <w:rFonts w:ascii="Arial" w:cs="Arial" w:eastAsia="Arial" w:hAnsi="Arial"/>
          <w:color w:val="333333"/>
          <w:sz w:val="22"/>
          <w:szCs w:val="22"/>
        </w:rPr>
        <w:t xml:space="preserve">The topological quantum computing program requires devices that host Majorana Zero Modes—non-Abelian anyons whose braiding statistics enable inherently fault-tolerant quantum computation. The experimental signature used to identify MZMs is the zero-bias conductance peak (ZBCP) in tunneling spectroscopy. The problem is that at least three classes of trivial states produce ZBCPs that are, under standard transport measurements, indistinguishable from genuine MZMs: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Imposter Class</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Physical Mechanism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Transport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Andreev Bound States (ABS)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Disorder-induced quantum dots near wire ends create quasi-bound states that pin near zero energy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Local conductance peak at 2e²/h mimics quantized MZM signature</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Yu-Shiba-Rusinov (YSR)</w:t>
            </w:r>
          </w:p>
        </w:tc>
        <w:tc>
          <w:tcPr>
            <w:tcW w:type="dxa" w:w="3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Magnetic impurities in superconductor create sub-gap bound states</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 cross zero energy under field tuning, producing transient ZBCP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Quasi-MZMs (q-MZMs)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Smooth confinement potentials create partially-separated Majorana components with exponentially small splitting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Splitting below measurement resolution makes them operationally indistinguishable from true MZMs</w:t>
            </w:r>
          </w:p>
        </w:tc>
      </w:tr>
    </w:tbl>
    <w:p/>
    <w:p>
      <w:pPr>
        <w:spacing w:after="120" w:line="276"/>
      </w:pPr>
      <w:r>
        <w:rPr>
          <w:rFonts w:ascii="Arial" w:cs="Arial" w:eastAsia="Arial" w:hAnsi="Arial"/>
          <w:color w:val="333333"/>
          <w:sz w:val="22"/>
          <w:szCs w:val="22"/>
        </w:rPr>
        <w:t xml:space="preserve">This ambiguity has had direct consequences. The 2021 retraction of quantized Majorana conductance claims from Nature demonstrated that the field’s standard evidentiary framework is insufficient. Microsoft’s February 2025 Majorana 1 announcement, while reporting interferometric parity measurements, was accompanied by peer-review commentary noting that the results do not determine whether detected low-energy states are topological.</w:t>
      </w:r>
    </w:p>
    <w:p>
      <w:pPr>
        <w:pStyle w:val="Heading2"/>
      </w:pPr>
      <w:r>
        <w:rPr>
          <w:rFonts w:ascii="Arial" w:cs="Arial" w:eastAsia="Arial" w:hAnsi="Arial"/>
        </w:rPr>
        <w:t xml:space="preserve">2.2 What Multi-Modal Verification Must Achieve</w:t>
      </w:r>
    </w:p>
    <w:p>
      <w:pPr>
        <w:spacing w:after="120" w:line="276"/>
      </w:pPr>
      <w:r>
        <w:rPr>
          <w:rFonts w:ascii="Arial" w:cs="Arial" w:eastAsia="Arial" w:hAnsi="Arial"/>
          <w:color w:val="333333"/>
          <w:sz w:val="22"/>
          <w:szCs w:val="22"/>
        </w:rPr>
        <w:t xml:space="preserve">A certification architecture must satisfy four requirements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Statement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R1: Independence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At least two verification channels with distinct physical coupling mechanisms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Correlated false positives across channels become combinatorially unlikely when channels probe different physical observables</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R2: Perturbative</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probing, not passive observation alone</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Static measurements cannot distinguish topologically protected states from accidental degeneracies. Perturbation tests robustness.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R3: Formal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Certification conditions expressed as decidable propositions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Human interpretation of noisy spectra is the historical source of false positives. Machine-checkable criteria remove ambiguity.</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R4: Falsifiable</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Architecture must define explicit failure modes and rejection criteria</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verification system that cannot reject is not a verification system.</w:t>
            </w:r>
          </w:p>
        </w:tc>
      </w:tr>
    </w:tbl>
    <w:p>
      <w:r>
        <w:br w:type="page"/>
      </w:r>
    </w:p>
    <w:p>
      <w:pPr>
        <w:pStyle w:val="Heading1"/>
      </w:pPr>
      <w:r>
        <w:rPr>
          <w:rFonts w:ascii="Arial" w:cs="Arial" w:eastAsia="Arial" w:hAnsi="Arial"/>
        </w:rPr>
        <w:t xml:space="preserve">3. Architecture Overview</w:t>
      </w:r>
    </w:p>
    <w:p>
      <w:pPr>
        <w:spacing w:after="120" w:line="276"/>
      </w:pPr>
      <w:r>
        <w:rPr>
          <w:rFonts w:ascii="Arial" w:cs="Arial" w:eastAsia="Arial" w:hAnsi="Arial"/>
          <w:color w:val="333333"/>
          <w:sz w:val="22"/>
          <w:szCs w:val="22"/>
        </w:rPr>
        <w:t xml:space="preserve">The architecture is organized into four layers. Each layer has a defined interface to its neighbors and a clear scope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Technology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Physical Substrate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Host MZM candidates, provide measurement interfaces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InAs/Al heterostructure, NV-diamond interposer, dilution fridge</w:t>
            </w:r>
          </w:p>
        </w:tc>
      </w:tr>
      <w:tr>
        <w:tc>
          <w:tcPr>
            <w:tcW w:type="dxa" w:w="1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L2</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Interrogation</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Strain modulation, NV readout, transport measurement</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Piezoelectric AFM, ODMR optics, lock-in amplifiers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Signal Processing &amp;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Real-time feedback, data acquisition, synchronization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Cryogenic FPGA, multi-channel DAQ</w:t>
            </w:r>
          </w:p>
        </w:tc>
      </w:tr>
      <w:tr>
        <w:tc>
          <w:tcPr>
            <w:tcW w:type="dxa" w:w="1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L4</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Formal Certification</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Map measurements to algebraic structures, evaluate certification conditions</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Clifford algebra engine, Lean 4 verification backend</w:t>
            </w:r>
          </w:p>
        </w:tc>
      </w:tr>
    </w:tbl>
    <w:p/>
    <w:p>
      <w:pPr>
        <w:spacing w:after="120" w:line="276"/>
      </w:pPr>
      <w:r>
        <w:rPr>
          <w:rFonts w:ascii="Arial" w:cs="Arial" w:eastAsia="Arial" w:hAnsi="Arial"/>
          <w:color w:val="333333"/>
          <w:sz w:val="22"/>
          <w:szCs w:val="22"/>
        </w:rPr>
        <w:t xml:space="preserve">The critical data flow is: L2 generates a parameterized perturbation (strain sweep) → L1 responds physically → L3 captures synchronized multi-channel data → L4 evaluates whether the response is consistent with topological protection. The loop repeats across the parameter space until the certification conditions are either discharged or determined to be undischargeable.</w:t>
      </w:r>
    </w:p>
    <w:p>
      <w:pPr>
        <w:pStyle w:val="Heading1"/>
      </w:pPr>
      <w:r>
        <w:rPr>
          <w:rFonts w:ascii="Arial" w:cs="Arial" w:eastAsia="Arial" w:hAnsi="Arial"/>
        </w:rPr>
        <w:t xml:space="preserve">4. Layer 1: Physical Substrate</w:t>
      </w:r>
    </w:p>
    <w:p>
      <w:pPr>
        <w:pStyle w:val="Heading2"/>
      </w:pPr>
      <w:r>
        <w:rPr>
          <w:rFonts w:ascii="Arial" w:cs="Arial" w:eastAsia="Arial" w:hAnsi="Arial"/>
        </w:rPr>
        <w:t xml:space="preserve">4.1 Topological Core</w:t>
      </w:r>
    </w:p>
    <w:p>
      <w:pPr>
        <w:spacing w:after="120" w:line="276"/>
      </w:pPr>
      <w:r>
        <w:rPr>
          <w:rFonts w:ascii="Arial" w:cs="Arial" w:eastAsia="Arial" w:hAnsi="Arial"/>
          <w:color w:val="333333"/>
          <w:sz w:val="22"/>
          <w:szCs w:val="22"/>
        </w:rPr>
        <w:t xml:space="preserve">The device under test is a gate-defined tetron: two parallel InAs nanowires with epitaxial Al coating, joined by a trivial superconducting backbone. The InAs/Al heterostructure is selected for strong Rashba spin-orbit coupling and a hard induced superconducting gap. Under an in-plane magnetic field exceeding a critical threshold, the Zeeman splitting overcomes the superconducting gap, driving the system through a topological phase transition. In the topological regime, four MZMs (γ₁, γ₂, γ₃, γ₄) are localized at the wire endpoints, with collective parity encoding one logical qubit.</w:t>
      </w:r>
    </w:p>
    <w:p>
      <w:pPr>
        <w:spacing w:after="120" w:line="276"/>
      </w:pPr>
      <w:r>
        <w:rPr>
          <w:rFonts w:ascii="Arial" w:cs="Arial" w:eastAsia="Arial" w:hAnsi="Arial"/>
          <w:color w:val="333333"/>
          <w:sz w:val="22"/>
          <w:szCs w:val="22"/>
        </w:rPr>
        <w:t xml:space="preserve">The architecture treats the tetron as a parameterized Hamiltonian H(μ, B, ε) where μ is chemical potential, B is magnetic field, and ε is strain. The certification question is: for the current parameter values, does the system occupy the topological phase?</w:t>
      </w:r>
    </w:p>
    <w:p>
      <w:pPr>
        <w:pStyle w:val="Heading2"/>
      </w:pPr>
      <w:r>
        <w:rPr>
          <w:rFonts w:ascii="Arial" w:cs="Arial" w:eastAsia="Arial" w:hAnsi="Arial"/>
        </w:rPr>
        <w:t xml:space="preserve">4.2 NV-Center Sensor Array</w:t>
      </w:r>
    </w:p>
    <w:p>
      <w:pPr>
        <w:spacing w:after="120" w:line="276"/>
      </w:pPr>
      <w:r>
        <w:rPr>
          <w:rFonts w:ascii="Arial" w:cs="Arial" w:eastAsia="Arial" w:hAnsi="Arial"/>
          <w:color w:val="333333"/>
          <w:sz w:val="22"/>
          <w:szCs w:val="22"/>
        </w:rPr>
        <w:t xml:space="preserve">Positioned within 10 nm of the nanowire, a dense array of shallow-implanted nitrogen-vacancy centers in high-purity diamond provides two independent measurement modalities:</w:t>
      </w:r>
    </w:p>
    <w:p>
      <w:pPr>
        <w:spacing w:after="120" w:line="276"/>
      </w:pPr>
      <w:r>
        <w:rPr>
          <w:rFonts w:ascii="Arial" w:cs="Arial" w:eastAsia="Arial" w:hAnsi="Arial"/>
          <w:b/>
          <w:bCs/>
          <w:i w:val="false"/>
          <w:iCs w:val="false"/>
          <w:color w:val="333333"/>
          <w:sz w:val="22"/>
          <w:szCs w:val="22"/>
        </w:rPr>
        <w:t xml:space="preserve">Static field mapping. </w:t>
      </w:r>
      <w:r>
        <w:rPr>
          <w:rFonts w:ascii="Arial" w:cs="Arial" w:eastAsia="Arial" w:hAnsi="Arial"/>
          <w:b w:val="false"/>
          <w:bCs w:val="false"/>
          <w:i w:val="false"/>
          <w:iCs w:val="false"/>
          <w:color w:val="333333"/>
          <w:sz w:val="22"/>
          <w:szCs w:val="22"/>
        </w:rPr>
        <w:t xml:space="preserve">ODMR (Optically Detected Magnetic Resonance) measures the Zeeman splitting of the NV ground-state spin triplet, yielding a spatial map of the local magnetic field with nanometer resolution. This maps the spin texture along the wire.</w:t>
      </w:r>
    </w:p>
    <w:p>
      <w:pPr>
        <w:spacing w:after="120" w:line="276"/>
      </w:pPr>
      <w:r>
        <w:rPr>
          <w:rFonts w:ascii="Arial" w:cs="Arial" w:eastAsia="Arial" w:hAnsi="Arial"/>
          <w:b/>
          <w:bCs/>
          <w:i w:val="false"/>
          <w:iCs w:val="false"/>
          <w:color w:val="333333"/>
          <w:sz w:val="22"/>
          <w:szCs w:val="22"/>
        </w:rPr>
        <w:t xml:space="preserve">Dynamic noise spectroscopy. </w:t>
      </w:r>
      <w:r>
        <w:rPr>
          <w:rFonts w:ascii="Arial" w:cs="Arial" w:eastAsia="Arial" w:hAnsi="Arial"/>
          <w:b w:val="false"/>
          <w:bCs w:val="false"/>
          <w:i w:val="false"/>
          <w:iCs w:val="false"/>
          <w:color w:val="333333"/>
          <w:sz w:val="22"/>
          <w:szCs w:val="22"/>
        </w:rPr>
        <w:t xml:space="preserve">T₁ longitudinal relaxometry measures the rate at which NV spins lose polarization due to magnetic noise from the wire above. The spectral density S(ω) of this noise carries signatures of quasiparticle dynamics that change character at the topological phase transition.</w:t>
      </w:r>
    </w:p>
    <w:p>
      <w:pPr>
        <w:spacing w:after="120" w:line="276"/>
      </w:pPr>
      <w:r>
        <w:rPr>
          <w:rFonts w:ascii="Arial" w:cs="Arial" w:eastAsia="Arial" w:hAnsi="Arial"/>
          <w:color w:val="333333"/>
          <w:sz w:val="22"/>
          <w:szCs w:val="22"/>
        </w:rPr>
        <w:t xml:space="preserve">The NV channel is electrically decoupled from the transport channel. This is the physical basis for satisfying requirement R1 (independence): transport and NV relaxometry probe different physical quantities through different coupling mechanisms.</w:t>
      </w:r>
    </w:p>
    <w:p>
      <w:pPr>
        <w:pStyle w:val="Heading2"/>
      </w:pPr>
      <w:r>
        <w:rPr>
          <w:rFonts w:ascii="Arial" w:cs="Arial" w:eastAsia="Arial" w:hAnsi="Arial"/>
        </w:rPr>
        <w:t xml:space="preserve">4.3 Cryogenic Environment</w:t>
      </w:r>
    </w:p>
    <w:p>
      <w:pPr>
        <w:spacing w:after="120" w:line="276"/>
      </w:pPr>
      <w:r>
        <w:rPr>
          <w:rFonts w:ascii="Arial" w:cs="Arial" w:eastAsia="Arial" w:hAnsi="Arial"/>
          <w:color w:val="333333"/>
          <w:sz w:val="22"/>
          <w:szCs w:val="22"/>
        </w:rPr>
        <w:t xml:space="preserve">The entire assembly operates below 20 mK in a dilution refrigerator mixing chamber. This temperature is required both for the topological gap (sub-Kelvin energy scales) and for NV T₁ sensitivity (phonon-induced spin relaxation must be suppressed to extend integration times). The optical access required for NV readout (532 nm excitation, photoluminescence collection) is provided by fiber-coupled pathways that minimize thermal load.</w:t>
      </w:r>
    </w:p>
    <w:p>
      <w:r>
        <w:br w:type="page"/>
      </w:r>
    </w:p>
    <w:p>
      <w:pPr>
        <w:pStyle w:val="Heading1"/>
      </w:pPr>
      <w:r>
        <w:rPr>
          <w:rFonts w:ascii="Arial" w:cs="Arial" w:eastAsia="Arial" w:hAnsi="Arial"/>
        </w:rPr>
        <w:t xml:space="preserve">5. Layer 2: Active Interrogation</w:t>
      </w:r>
    </w:p>
    <w:p>
      <w:pPr>
        <w:spacing w:after="120" w:line="276"/>
      </w:pPr>
      <w:r>
        <w:rPr>
          <w:rFonts w:ascii="Arial" w:cs="Arial" w:eastAsia="Arial" w:hAnsi="Arial"/>
          <w:color w:val="333333"/>
          <w:sz w:val="22"/>
          <w:szCs w:val="22"/>
        </w:rPr>
        <w:t xml:space="preserve">This layer converts the certification problem from a static observation into a dynamic test. The core insight: a topologically protected state is defined by its robustness under continuous deformation. Therefore, the most natural verification strategy is to deform the system and observe whether the state persists.</w:t>
      </w:r>
    </w:p>
    <w:p>
      <w:pPr>
        <w:pStyle w:val="Heading2"/>
      </w:pPr>
      <w:r>
        <w:rPr>
          <w:rFonts w:ascii="Arial" w:cs="Arial" w:eastAsia="Arial" w:hAnsi="Arial"/>
        </w:rPr>
        <w:t xml:space="preserve">5.1 Strain-Differential Protocol</w:t>
      </w:r>
    </w:p>
    <w:p>
      <w:pPr>
        <w:spacing w:after="120" w:line="276"/>
      </w:pPr>
      <w:r>
        <w:rPr>
          <w:rFonts w:ascii="Arial" w:cs="Arial" w:eastAsia="Arial" w:hAnsi="Arial"/>
          <w:color w:val="333333"/>
          <w:sz w:val="22"/>
          <w:szCs w:val="22"/>
        </w:rPr>
        <w:t xml:space="preserve">A piezoelectric AFM cantilever applies controlled, localized mechanical strain to the nanowire. In InAs, strain couples to the electronic band structure through the Bir-Pikus Hamiltonian, modifying both the chemical potential μ and the spin-orbit coupling strength α. This provides a clean perturbation mechanism that avoids the charge disorder problems associated with electrostatic gating.</w:t>
      </w:r>
    </w:p>
    <w:p>
      <w:pPr>
        <w:spacing w:after="120" w:line="276"/>
      </w:pPr>
      <w:r>
        <w:rPr>
          <w:rFonts w:ascii="Arial" w:cs="Arial" w:eastAsia="Arial" w:hAnsi="Arial"/>
          <w:color w:val="333333"/>
          <w:sz w:val="22"/>
          <w:szCs w:val="22"/>
        </w:rPr>
        <w:t xml:space="preserve">The protocol operates as a differential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Response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Baseline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Record transport (G_LL, G_RR, G_LR, G_RL) and NV (ODMR, T₁) at nominal parameters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Establish reference state: ZBCP position, spin texture, noise spectrum</w:t>
            </w:r>
          </w:p>
        </w:tc>
      </w:tr>
      <w:tr>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Sweep</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Ramp strain ε continuously through a range that keeps H within the topological gap</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MZM: </w:t>
            </w:r>
            <w:r>
              <w:rPr>
                <w:rFonts w:ascii="Arial" w:cs="Arial" w:eastAsia="Arial" w:hAnsi="Arial"/>
                <w:b w:val="false"/>
                <w:bCs w:val="false"/>
                <w:i w:val="false"/>
                <w:iCs w:val="false"/>
                <w:color w:val="333333"/>
                <w:sz w:val="20"/>
                <w:szCs w:val="20"/>
              </w:rPr>
              <w:t xml:space="preserve">ZBCP remains pinned, nonlocal G_LR stable. </w:t>
            </w:r>
            <w:r>
              <w:rPr>
                <w:rFonts w:ascii="Arial" w:cs="Arial" w:eastAsia="Arial" w:hAnsi="Arial"/>
                <w:b/>
                <w:bCs/>
                <w:i w:val="false"/>
                <w:iCs w:val="false"/>
                <w:color w:val="333333"/>
                <w:sz w:val="20"/>
                <w:szCs w:val="20"/>
              </w:rPr>
              <w:t xml:space="preserve">ABS: </w:t>
            </w:r>
            <w:r>
              <w:rPr>
                <w:rFonts w:ascii="Arial" w:cs="Arial" w:eastAsia="Arial" w:hAnsi="Arial"/>
                <w:b w:val="false"/>
                <w:bCs w:val="false"/>
                <w:i w:val="false"/>
                <w:iCs w:val="false"/>
                <w:color w:val="333333"/>
                <w:sz w:val="20"/>
                <w:szCs w:val="20"/>
              </w:rPr>
              <w:t xml:space="preserve">peak shifts or splits as μ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Boundary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Continue strain sweep until topological gap closes (phase transition)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Both MZM and ABS: ZBCP disappears. Critical: observe whether gap closing occurs at the predicted ε_c</w:t>
            </w:r>
          </w:p>
        </w:tc>
      </w:tr>
      <w:tr>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Recovery</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Reverse strain to return to topological regime</w:t>
            </w:r>
          </w:p>
        </w:tc>
        <w:tc>
          <w:tcPr>
            <w:tcW w:type="dxa" w:w="4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MZM: </w:t>
            </w:r>
            <w:r>
              <w:rPr>
                <w:rFonts w:ascii="Arial" w:cs="Arial" w:eastAsia="Arial" w:hAnsi="Arial"/>
                <w:b w:val="false"/>
                <w:bCs w:val="false"/>
                <w:i w:val="false"/>
                <w:iCs w:val="false"/>
                <w:color w:val="333333"/>
                <w:sz w:val="20"/>
                <w:szCs w:val="20"/>
              </w:rPr>
              <w:t xml:space="preserve">ZBCP reappears at same conductance. </w:t>
            </w:r>
            <w:r>
              <w:rPr>
                <w:rFonts w:ascii="Arial" w:cs="Arial" w:eastAsia="Arial" w:hAnsi="Arial"/>
                <w:b/>
                <w:bCs/>
                <w:i w:val="false"/>
                <w:iCs w:val="false"/>
                <w:color w:val="333333"/>
                <w:sz w:val="20"/>
                <w:szCs w:val="20"/>
              </w:rPr>
              <w:t xml:space="preserve">ABS: </w:t>
            </w:r>
            <w:r>
              <w:rPr>
                <w:rFonts w:ascii="Arial" w:cs="Arial" w:eastAsia="Arial" w:hAnsi="Arial"/>
                <w:b w:val="false"/>
                <w:bCs w:val="false"/>
                <w:i w:val="false"/>
                <w:iCs w:val="false"/>
                <w:color w:val="333333"/>
                <w:sz w:val="20"/>
                <w:szCs w:val="20"/>
              </w:rPr>
              <w:t xml:space="preserve">hysteretic or shifted reappearance</w:t>
            </w:r>
          </w:p>
        </w:tc>
      </w:tr>
    </w:tbl>
    <w:p/>
    <w:p>
      <w:pPr>
        <w:spacing w:after="120" w:line="276"/>
      </w:pPr>
      <w:r>
        <w:rPr>
          <w:rFonts w:ascii="Arial" w:cs="Arial" w:eastAsia="Arial" w:hAnsi="Arial"/>
          <w:color w:val="333333"/>
          <w:sz w:val="22"/>
          <w:szCs w:val="22"/>
        </w:rPr>
        <w:t xml:space="preserve">The key distinguishing signal is the strain response within the topological gap. A true MZM is pinned to zero energy by topology—the spectral gap protects it from smooth perturbations. An ABS that accidentally sits near zero energy has no such protection and will generically shift under any parameter change. The strain sweep converts this theoretical distinction into a measurable differential signature.</w:t>
      </w:r>
    </w:p>
    <w:p>
      <w:pPr>
        <w:pStyle w:val="Heading2"/>
      </w:pPr>
      <w:r>
        <w:rPr>
          <w:rFonts w:ascii="Arial" w:cs="Arial" w:eastAsia="Arial" w:hAnsi="Arial"/>
        </w:rPr>
        <w:t xml:space="preserve">5.2 NV Relaxometry Channel</w:t>
      </w:r>
    </w:p>
    <w:p>
      <w:pPr>
        <w:spacing w:after="120" w:line="276"/>
      </w:pPr>
      <w:r>
        <w:rPr>
          <w:rFonts w:ascii="Arial" w:cs="Arial" w:eastAsia="Arial" w:hAnsi="Arial"/>
          <w:color w:val="333333"/>
          <w:sz w:val="22"/>
          <w:szCs w:val="22"/>
        </w:rPr>
        <w:t xml:space="preserve">Simultaneously with the transport measurements, the NV-center array records T₁ relaxation rates at each strain point. The physical basis for this channel is that the closing and reopening of the topological gap changes the quasiparticle excitation spectrum of the wire, which in turn changes the magnetic noise environment experienced by the NV centers.</w:t>
      </w:r>
    </w:p>
    <w:p>
      <w:pPr>
        <w:spacing w:after="120" w:line="276"/>
      </w:pPr>
      <w:r>
        <w:rPr>
          <w:rFonts w:ascii="Arial" w:cs="Arial" w:eastAsia="Arial" w:hAnsi="Arial"/>
          <w:color w:val="333333"/>
          <w:sz w:val="22"/>
          <w:szCs w:val="22"/>
        </w:rPr>
        <w:t xml:space="preserve">At the topological phase transition, the gap closes and the density of low-energy quasiparticle excitations diverges. These excitations generate magnetic noise at the NV resonance frequency, producing a measurable drop in T₁. Away from the transition (deep in the topological or trivial phase), the gap suppresses low-energy excitations and T₁ recovers.</w:t>
      </w:r>
    </w:p>
    <w:p>
      <w:pPr>
        <w:spacing w:after="120" w:line="276"/>
      </w:pPr>
      <w:r>
        <w:rPr>
          <w:rFonts w:ascii="Arial" w:cs="Arial" w:eastAsia="Arial" w:hAnsi="Arial"/>
          <w:color w:val="333333"/>
          <w:sz w:val="22"/>
          <w:szCs w:val="22"/>
        </w:rPr>
        <w:t xml:space="preserve">This creates a second, independent signature of the phase boundary that can be compared against the transport-derived boundary. Agreement between the two channels—gap closing at the same strain value as T₁ minimum—provides evidence that both are measuring the same topological phase transition, not an artifact of either measurement modality.</w:t>
      </w:r>
    </w:p>
    <w:p>
      <w:pPr>
        <w:pStyle w:val="Heading2"/>
      </w:pPr>
      <w:r>
        <w:rPr>
          <w:rFonts w:ascii="Arial" w:cs="Arial" w:eastAsia="Arial" w:hAnsi="Arial"/>
        </w:rPr>
        <w:t xml:space="preserve">5.3 Transport Measurement</w:t>
      </w:r>
    </w:p>
    <w:p>
      <w:pPr>
        <w:spacing w:after="120" w:line="276"/>
      </w:pPr>
      <w:r>
        <w:rPr>
          <w:rFonts w:ascii="Arial" w:cs="Arial" w:eastAsia="Arial" w:hAnsi="Arial"/>
          <w:color w:val="333333"/>
          <w:sz w:val="22"/>
          <w:szCs w:val="22"/>
        </w:rPr>
        <w:t xml:space="preserve">Standard lock-in measurement captures the full 2×2 conductance matrix of the tetron at each strain point. The critical observables are:</w:t>
      </w:r>
    </w:p>
    <w:p>
      <w:pPr>
        <w:spacing w:after="120" w:line="276"/>
      </w:pPr>
      <w:r>
        <w:rPr>
          <w:rFonts w:ascii="Arial" w:cs="Arial" w:eastAsia="Arial" w:hAnsi="Arial"/>
          <w:b/>
          <w:bCs/>
          <w:i w:val="false"/>
          <w:iCs w:val="false"/>
          <w:color w:val="333333"/>
          <w:sz w:val="22"/>
          <w:szCs w:val="22"/>
        </w:rPr>
        <w:t xml:space="preserve">Local conductance (G_LL, G_RR): </w:t>
      </w:r>
      <w:r>
        <w:rPr>
          <w:rFonts w:ascii="Arial" w:cs="Arial" w:eastAsia="Arial" w:hAnsi="Arial"/>
          <w:b w:val="false"/>
          <w:bCs w:val="false"/>
          <w:i w:val="false"/>
          <w:iCs w:val="false"/>
          <w:color w:val="333333"/>
          <w:sz w:val="22"/>
          <w:szCs w:val="22"/>
        </w:rPr>
        <w:t xml:space="preserve">Presence and quantization of ZBCPs at wire endpoints.</w:t>
      </w:r>
    </w:p>
    <w:p>
      <w:pPr>
        <w:spacing w:after="120" w:line="276"/>
      </w:pPr>
      <w:r>
        <w:rPr>
          <w:rFonts w:ascii="Arial" w:cs="Arial" w:eastAsia="Arial" w:hAnsi="Arial"/>
          <w:b/>
          <w:bCs/>
          <w:i w:val="false"/>
          <w:iCs w:val="false"/>
          <w:color w:val="333333"/>
          <w:sz w:val="22"/>
          <w:szCs w:val="22"/>
        </w:rPr>
        <w:t xml:space="preserve">Nonlocal conductance (G_LR, G_RL): </w:t>
      </w:r>
      <w:r>
        <w:rPr>
          <w:rFonts w:ascii="Arial" w:cs="Arial" w:eastAsia="Arial" w:hAnsi="Arial"/>
          <w:b w:val="false"/>
          <w:bCs w:val="false"/>
          <w:i w:val="false"/>
          <w:iCs w:val="false"/>
          <w:color w:val="333333"/>
          <w:sz w:val="22"/>
          <w:szCs w:val="22"/>
        </w:rPr>
        <w:t xml:space="preserve">Correlation between endpoints. True MZMs, being nonlocal, produce correlated signals across the full wire length. ABS, being localized, do not.</w:t>
      </w:r>
    </w:p>
    <w:p>
      <w:pPr>
        <w:spacing w:after="120" w:line="276"/>
      </w:pPr>
      <w:r>
        <w:rPr>
          <w:rFonts w:ascii="Arial" w:cs="Arial" w:eastAsia="Arial" w:hAnsi="Arial"/>
          <w:b/>
          <w:bCs/>
          <w:i w:val="false"/>
          <w:iCs w:val="false"/>
          <w:color w:val="333333"/>
          <w:sz w:val="22"/>
          <w:szCs w:val="22"/>
        </w:rPr>
        <w:t xml:space="preserve">Spin-resolved conductance: </w:t>
      </w:r>
      <w:r>
        <w:rPr>
          <w:rFonts w:ascii="Arial" w:cs="Arial" w:eastAsia="Arial" w:hAnsi="Arial"/>
          <w:b w:val="false"/>
          <w:bCs w:val="false"/>
          <w:i w:val="false"/>
          <w:iCs w:val="false"/>
          <w:color w:val="333333"/>
          <w:sz w:val="22"/>
          <w:szCs w:val="22"/>
        </w:rPr>
        <w:t xml:space="preserve">MZMs exhibit spin-selective Andreev reflection (SSAR)—reflecting spin-up electrons as spin-up holes. This spin texture is distinct from the spin-singlet pairing of conventional ABS.</w:t>
      </w:r>
    </w:p>
    <w:p>
      <w:r>
        <w:br w:type="page"/>
      </w:r>
    </w:p>
    <w:p>
      <w:pPr>
        <w:pStyle w:val="Heading1"/>
      </w:pPr>
      <w:r>
        <w:rPr>
          <w:rFonts w:ascii="Arial" w:cs="Arial" w:eastAsia="Arial" w:hAnsi="Arial"/>
        </w:rPr>
        <w:t xml:space="preserve">6. Layer 3: Signal Processing and Control</w:t>
      </w:r>
    </w:p>
    <w:p>
      <w:pPr>
        <w:pStyle w:val="Heading2"/>
      </w:pPr>
      <w:r>
        <w:rPr>
          <w:rFonts w:ascii="Arial" w:cs="Arial" w:eastAsia="Arial" w:hAnsi="Arial"/>
        </w:rPr>
        <w:t xml:space="preserve">6.1 FPGA Strain Controller</w:t>
      </w:r>
    </w:p>
    <w:p>
      <w:pPr>
        <w:spacing w:after="120" w:line="276"/>
      </w:pPr>
      <w:r>
        <w:rPr>
          <w:rFonts w:ascii="Arial" w:cs="Arial" w:eastAsia="Arial" w:hAnsi="Arial"/>
          <w:color w:val="333333"/>
          <w:sz w:val="22"/>
          <w:szCs w:val="22"/>
        </w:rPr>
        <w:t xml:space="preserve">A cryogenic FPGA (anchored at the 4K stage) executes the closed-loop strain control. The FPGA implements a stiffness clamp: given a target apparent stiffness k_app, it adjusts the piezoelectric base displacement to maintain constant force or constant position on the nanowire despite thermal drift and mechanical resonances.</w:t>
      </w:r>
    </w:p>
    <w:p>
      <w:pPr>
        <w:spacing w:after="120" w:line="276"/>
      </w:pPr>
      <w:r>
        <w:rPr>
          <w:rFonts w:ascii="Arial" w:cs="Arial" w:eastAsia="Arial" w:hAnsi="Arial"/>
          <w:color w:val="333333"/>
          <w:sz w:val="22"/>
          <w:szCs w:val="22"/>
        </w:rPr>
        <w:t xml:space="preserve">Three operating modes serve different phases of 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Stiffness Target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 Protocol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Position clamp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333333"/>
                <w:sz w:val="20"/>
                <w:szCs w:val="20"/>
              </w:rPr>
              <w:t xml:space="preserve">k_app →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Baseline phase: hold fixed strain while recording reference measurements</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Force clamp</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k_app → 0</w:t>
            </w:r>
          </w:p>
        </w:tc>
        <w:tc>
          <w:tcPr>
            <w:tcW w:type="dxa" w:w="3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Constant pressure application independent of thermal drift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Transition sweep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333333"/>
                <w:sz w:val="20"/>
                <w:szCs w:val="20"/>
              </w:rPr>
              <w:t xml:space="preserve">0 &lt; k_app &lt;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Sweep and boundary phases: controlled ramp through strain parameter space</w:t>
            </w:r>
          </w:p>
        </w:tc>
      </w:tr>
    </w:tbl>
    <w:p/>
    <w:p>
      <w:pPr>
        <w:spacing w:after="120" w:line="276"/>
      </w:pPr>
      <w:r>
        <w:rPr>
          <w:rFonts w:ascii="Arial" w:cs="Arial" w:eastAsia="Arial" w:hAnsi="Arial"/>
          <w:color w:val="333333"/>
          <w:sz w:val="22"/>
          <w:szCs w:val="22"/>
        </w:rPr>
        <w:t xml:space="preserve">The FPGA operates at deterministic clock speeds despite cryogenic voltage instability by maintaining constant power dissipation through a tunable oscillator farm—dummy logic blocks that are dynamically activated or deactivated to stabilize the internal supply rail.</w:t>
      </w:r>
    </w:p>
    <w:p>
      <w:pPr>
        <w:pStyle w:val="Heading2"/>
      </w:pPr>
      <w:r>
        <w:rPr>
          <w:rFonts w:ascii="Arial" w:cs="Arial" w:eastAsia="Arial" w:hAnsi="Arial"/>
        </w:rPr>
        <w:t xml:space="preserve">6.2 Synchronized Data Acquisition</w:t>
      </w:r>
    </w:p>
    <w:p>
      <w:pPr>
        <w:spacing w:after="120" w:line="276"/>
      </w:pPr>
      <w:r>
        <w:rPr>
          <w:rFonts w:ascii="Arial" w:cs="Arial" w:eastAsia="Arial" w:hAnsi="Arial"/>
          <w:color w:val="333333"/>
          <w:sz w:val="22"/>
          <w:szCs w:val="22"/>
        </w:rPr>
        <w:t xml:space="preserve">The DAQ captures three streams at each strain point, timestamped to a common clock:</w:t>
      </w:r>
    </w:p>
    <w:p>
      <w:pPr>
        <w:spacing w:after="120" w:line="276"/>
      </w:pPr>
      <w:r>
        <w:rPr>
          <w:rFonts w:ascii="Arial" w:cs="Arial" w:eastAsia="Arial" w:hAnsi="Arial"/>
          <w:b/>
          <w:bCs/>
          <w:i w:val="false"/>
          <w:iCs w:val="false"/>
          <w:color w:val="333333"/>
          <w:sz w:val="22"/>
          <w:szCs w:val="22"/>
        </w:rPr>
        <w:t xml:space="preserve">Transport: </w:t>
      </w:r>
      <w:r>
        <w:rPr>
          <w:rFonts w:ascii="Arial" w:cs="Arial" w:eastAsia="Arial" w:hAnsi="Arial"/>
          <w:b w:val="false"/>
          <w:bCs w:val="false"/>
          <w:i w:val="false"/>
          <w:iCs w:val="false"/>
          <w:color w:val="333333"/>
          <w:sz w:val="22"/>
          <w:szCs w:val="22"/>
        </w:rPr>
        <w:t xml:space="preserve">Differential conductance matrix (G_LL, G_RR, G_LR, G_RL) vs. bias voltage, via lock-in amplifiers.</w:t>
      </w:r>
    </w:p>
    <w:p>
      <w:pPr>
        <w:spacing w:after="120" w:line="276"/>
      </w:pPr>
      <w:r>
        <w:rPr>
          <w:rFonts w:ascii="Arial" w:cs="Arial" w:eastAsia="Arial" w:hAnsi="Arial"/>
          <w:b/>
          <w:bCs/>
          <w:i w:val="false"/>
          <w:iCs w:val="false"/>
          <w:color w:val="333333"/>
          <w:sz w:val="22"/>
          <w:szCs w:val="22"/>
        </w:rPr>
        <w:t xml:space="preserve">Static NV: </w:t>
      </w:r>
      <w:r>
        <w:rPr>
          <w:rFonts w:ascii="Arial" w:cs="Arial" w:eastAsia="Arial" w:hAnsi="Arial"/>
          <w:b w:val="false"/>
          <w:bCs w:val="false"/>
          <w:i w:val="false"/>
          <w:iCs w:val="false"/>
          <w:color w:val="333333"/>
          <w:sz w:val="22"/>
          <w:szCs w:val="22"/>
        </w:rPr>
        <w:t xml:space="preserve">ODMR spectra from the NV array, yielding local Zeeman splitting (magnetic field map).</w:t>
      </w:r>
    </w:p>
    <w:p>
      <w:pPr>
        <w:spacing w:after="120" w:line="276"/>
      </w:pPr>
      <w:r>
        <w:rPr>
          <w:rFonts w:ascii="Arial" w:cs="Arial" w:eastAsia="Arial" w:hAnsi="Arial"/>
          <w:b/>
          <w:bCs/>
          <w:i w:val="false"/>
          <w:iCs w:val="false"/>
          <w:color w:val="333333"/>
          <w:sz w:val="22"/>
          <w:szCs w:val="22"/>
        </w:rPr>
        <w:t xml:space="preserve">Dynamic NV: </w:t>
      </w:r>
      <w:r>
        <w:rPr>
          <w:rFonts w:ascii="Arial" w:cs="Arial" w:eastAsia="Arial" w:hAnsi="Arial"/>
          <w:b w:val="false"/>
          <w:bCs w:val="false"/>
          <w:i w:val="false"/>
          <w:iCs w:val="false"/>
          <w:color w:val="333333"/>
          <w:sz w:val="22"/>
          <w:szCs w:val="22"/>
        </w:rPr>
        <w:t xml:space="preserve">T₁ relaxometry measurements, yielding local noise spectral density.</w:t>
      </w:r>
    </w:p>
    <w:p>
      <w:pPr>
        <w:spacing w:after="120" w:line="276"/>
      </w:pPr>
      <w:r>
        <w:rPr>
          <w:rFonts w:ascii="Arial" w:cs="Arial" w:eastAsia="Arial" w:hAnsi="Arial"/>
          <w:color w:val="333333"/>
          <w:sz w:val="22"/>
          <w:szCs w:val="22"/>
        </w:rPr>
        <w:t xml:space="preserve">Synchronization is critical: all three channels must correspond to the same strain value. The FPGA provides a trigger signal at each strain step, gating the DAQ acquisition window.</w:t>
      </w:r>
    </w:p>
    <w:p>
      <w:pPr>
        <w:pStyle w:val="Heading1"/>
      </w:pPr>
      <w:r>
        <w:rPr>
          <w:rFonts w:ascii="Arial" w:cs="Arial" w:eastAsia="Arial" w:hAnsi="Arial"/>
        </w:rPr>
        <w:t xml:space="preserve">7. Layer 4: Formal Certification Logic</w:t>
      </w:r>
    </w:p>
    <w:p>
      <w:pPr>
        <w:spacing w:after="120" w:line="276"/>
      </w:pPr>
      <w:r>
        <w:rPr>
          <w:rFonts w:ascii="Arial" w:cs="Arial" w:eastAsia="Arial" w:hAnsi="Arial"/>
          <w:color w:val="333333"/>
          <w:sz w:val="22"/>
          <w:szCs w:val="22"/>
        </w:rPr>
        <w:t xml:space="preserve">This layer translates the multi-channel measurement data into algebraic structures and evaluates certification conditions. It is the bridge between the Geometry of State Lean 4 framework and the physical measurement pipeline.</w:t>
      </w:r>
    </w:p>
    <w:p>
      <w:pPr>
        <w:pStyle w:val="Heading2"/>
      </w:pPr>
      <w:r>
        <w:rPr>
          <w:rFonts w:ascii="Arial" w:cs="Arial" w:eastAsia="Arial" w:hAnsi="Arial"/>
        </w:rPr>
        <w:t xml:space="preserve">7.1 The Clifford Algebra Isomorphism</w:t>
      </w:r>
    </w:p>
    <w:p>
      <w:pPr>
        <w:spacing w:after="120" w:line="276"/>
      </w:pPr>
      <w:r>
        <w:rPr>
          <w:rFonts w:ascii="Arial" w:cs="Arial" w:eastAsia="Arial" w:hAnsi="Arial"/>
          <w:color w:val="333333"/>
          <w:sz w:val="22"/>
          <w:szCs w:val="22"/>
        </w:rPr>
        <w:t xml:space="preserve">The mathematical foundation is exact, not analogical. Majorana operators satisfy:</w:t>
      </w:r>
    </w:p>
    <w:p>
      <w:pPr>
        <w:spacing w:before="120" w:after="120"/>
        <w:jc w:val="center"/>
      </w:pPr>
      <w:r>
        <w:rPr>
          <w:rFonts w:ascii="Arial" w:cs="Arial" w:eastAsia="Arial" w:hAnsi="Arial"/>
          <w:i/>
          <w:iCs/>
          <w:color w:val="1B2A4A"/>
          <w:sz w:val="22"/>
          <w:szCs w:val="22"/>
        </w:rPr>
        <w:t xml:space="preserve">γᵢγⱼ = −γⱼγᵢ  (i ≠ j),    γᵢ² = 1</w:t>
      </w:r>
    </w:p>
    <w:p>
      <w:pPr>
        <w:spacing w:after="120" w:line="276"/>
      </w:pPr>
      <w:r>
        <w:rPr>
          <w:rFonts w:ascii="Arial" w:cs="Arial" w:eastAsia="Arial" w:hAnsi="Arial"/>
          <w:color w:val="333333"/>
          <w:sz w:val="22"/>
          <w:szCs w:val="22"/>
        </w:rPr>
        <w:t xml:space="preserve">These are precisely the defining relations of the Clifford algebra Cl(n,0). The existing Lean 4 formalization already encodes:</w:t>
      </w:r>
    </w:p>
    <w:p>
      <w:pPr>
        <w:spacing w:after="120" w:line="276"/>
      </w:pPr>
      <w:r>
        <w:rPr>
          <w:rFonts w:ascii="Arial" w:cs="Arial" w:eastAsia="Arial" w:hAnsi="Arial"/>
          <w:b/>
          <w:bCs/>
          <w:i w:val="false"/>
          <w:iCs w:val="false"/>
          <w:color w:val="333333"/>
          <w:sz w:val="22"/>
          <w:szCs w:val="22"/>
        </w:rPr>
        <w:t xml:space="preserve">Cl(2,0) and Cl(3,0) multiplication tables, </w:t>
      </w:r>
      <w:r>
        <w:rPr>
          <w:rFonts w:ascii="Arial" w:cs="Arial" w:eastAsia="Arial" w:hAnsi="Arial"/>
          <w:b w:val="false"/>
          <w:bCs w:val="false"/>
          <w:i w:val="false"/>
          <w:iCs w:val="false"/>
          <w:color w:val="333333"/>
          <w:sz w:val="22"/>
          <w:szCs w:val="22"/>
        </w:rPr>
        <w:t xml:space="preserve">derived from three rules (signature, anticommutativity, associativity).</w:t>
      </w:r>
    </w:p>
    <w:p>
      <w:pPr>
        <w:spacing w:after="120" w:line="276"/>
      </w:pPr>
      <w:r>
        <w:rPr>
          <w:rFonts w:ascii="Arial" w:cs="Arial" w:eastAsia="Arial" w:hAnsi="Arial"/>
          <w:b/>
          <w:bCs/>
          <w:i w:val="false"/>
          <w:iCs w:val="false"/>
          <w:color w:val="333333"/>
          <w:sz w:val="22"/>
          <w:szCs w:val="22"/>
        </w:rPr>
        <w:t xml:space="preserve">The gap condition as a dependent type </w:t>
      </w:r>
      <w:r>
        <w:rPr>
          <w:rFonts w:ascii="Arial" w:cs="Arial" w:eastAsia="Arial" w:hAnsi="Arial"/>
          <w:b w:val="false"/>
          <w:bCs w:val="false"/>
          <w:i w:val="false"/>
          <w:iCs w:val="false"/>
          <w:color w:val="333333"/>
          <w:sz w:val="22"/>
          <w:szCs w:val="22"/>
        </w:rPr>
        <w:t xml:space="preserve">(IsGappedAt): bivector inversion requires proof of nonzero magnitude.</w:t>
      </w:r>
    </w:p>
    <w:p>
      <w:pPr>
        <w:spacing w:after="120" w:line="276"/>
      </w:pPr>
      <w:r>
        <w:rPr>
          <w:rFonts w:ascii="Arial" w:cs="Arial" w:eastAsia="Arial" w:hAnsi="Arial"/>
          <w:b/>
          <w:bCs/>
          <w:i w:val="false"/>
          <w:iCs w:val="false"/>
          <w:color w:val="333333"/>
          <w:sz w:val="22"/>
          <w:szCs w:val="22"/>
        </w:rPr>
        <w:t xml:space="preserve">The winding number as a derived integer, </w:t>
      </w:r>
      <w:r>
        <w:rPr>
          <w:rFonts w:ascii="Arial" w:cs="Arial" w:eastAsia="Arial" w:hAnsi="Arial"/>
          <w:b w:val="false"/>
          <w:bCs w:val="false"/>
          <w:i w:val="false"/>
          <w:iCs w:val="false"/>
          <w:color w:val="333333"/>
          <w:sz w:val="22"/>
          <w:szCs w:val="22"/>
        </w:rPr>
        <w:t xml:space="preserve">computed from rotor phase accumulation over the Brillouin zone.</w:t>
      </w:r>
    </w:p>
    <w:p>
      <w:pPr>
        <w:spacing w:after="120" w:line="276"/>
      </w:pPr>
      <w:r>
        <w:rPr>
          <w:rFonts w:ascii="Arial" w:cs="Arial" w:eastAsia="Arial" w:hAnsi="Arial"/>
          <w:b/>
          <w:bCs/>
          <w:i w:val="false"/>
          <w:iCs w:val="false"/>
          <w:color w:val="333333"/>
          <w:sz w:val="22"/>
          <w:szCs w:val="22"/>
        </w:rPr>
        <w:t xml:space="preserve">Six edge mode theorems </w:t>
      </w:r>
      <w:r>
        <w:rPr>
          <w:rFonts w:ascii="Arial" w:cs="Arial" w:eastAsia="Arial" w:hAnsi="Arial"/>
          <w:b w:val="false"/>
          <w:bCs w:val="false"/>
          <w:i w:val="false"/>
          <w:iCs w:val="false"/>
          <w:color w:val="333333"/>
          <w:sz w:val="22"/>
          <w:szCs w:val="22"/>
        </w:rPr>
        <w:t xml:space="preserve">verified by definitional evaluation (rfl) for the 3-site Kitaev chain.</w:t>
      </w:r>
    </w:p>
    <w:p>
      <w:pPr>
        <w:pStyle w:val="Heading2"/>
      </w:pPr>
      <w:r>
        <w:rPr>
          <w:rFonts w:ascii="Arial" w:cs="Arial" w:eastAsia="Arial" w:hAnsi="Arial"/>
        </w:rPr>
        <w:t xml:space="preserve">7.2 Mapping Measurements to Algebraic Structures</w:t>
      </w:r>
    </w:p>
    <w:p>
      <w:pPr>
        <w:spacing w:after="120" w:line="276"/>
      </w:pPr>
      <w:r>
        <w:rPr>
          <w:rFonts w:ascii="Arial" w:cs="Arial" w:eastAsia="Arial" w:hAnsi="Arial"/>
          <w:color w:val="333333"/>
          <w:sz w:val="22"/>
          <w:szCs w:val="22"/>
        </w:rPr>
        <w:t xml:space="preserve">The certification engine maps the physical observables to Clifford algebra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Physical Observable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Algebraic Object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Certification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Hamiltonian parameters (μ, B, 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Cl(2,0) vector: h₁·e₁ + h₂·e₂</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Input to winding number computation; gap condition check</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Parity (nonlocal G_LR)</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Bivector: γ₁ ∧ γ₂ ∈ Λ²(Cl(n,0))</w:t>
            </w:r>
          </w:p>
        </w:tc>
        <w:tc>
          <w:tcPr>
            <w:tcW w:type="dxa" w:w="3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Shared fermion parity encoded as oriented plane element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Strain perturbation 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Group action: R(ε) v R(ε)⁻¹ (sandwich product)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Strain acts as a rotor transformation on the Hamiltonian vector</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ZBCP pinning under strain</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Invariance of winding number W under R(ε)</w:t>
            </w:r>
          </w:p>
        </w:tc>
        <w:tc>
          <w:tcPr>
            <w:tcW w:type="dxa" w:w="3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Topological: W unchanged. Trivial: W undefined (gap closed) or changed</w:t>
            </w:r>
          </w:p>
        </w:tc>
      </w:tr>
    </w:tbl>
    <w:p>
      <w:pPr>
        <w:pStyle w:val="Heading2"/>
      </w:pPr>
      <w:r>
        <w:rPr>
          <w:rFonts w:ascii="Arial" w:cs="Arial" w:eastAsia="Arial" w:hAnsi="Arial"/>
        </w:rPr>
        <w:t xml:space="preserve">7.3 The Three-Gate Certification Protocol</w:t>
      </w:r>
    </w:p>
    <w:p>
      <w:pPr>
        <w:spacing w:after="120" w:line="276"/>
      </w:pPr>
      <w:r>
        <w:rPr>
          <w:rFonts w:ascii="Arial" w:cs="Arial" w:eastAsia="Arial" w:hAnsi="Arial"/>
          <w:color w:val="333333"/>
          <w:sz w:val="22"/>
          <w:szCs w:val="22"/>
        </w:rPr>
        <w:t xml:space="preserve">Certification requires all three gates to pass. Failure of any gate produces a REJECT.</w:t>
      </w:r>
    </w:p>
    <w:p>
      <w:pPr>
        <w:spacing w:after="120" w:line="276"/>
      </w:pPr>
      <w:r>
        <w:rPr>
          <w:rFonts w:ascii="Arial" w:cs="Arial" w:eastAsia="Arial" w:hAnsi="Arial"/>
          <w:b/>
          <w:bCs/>
          <w:i w:val="false"/>
          <w:iCs w:val="false"/>
          <w:color w:val="333333"/>
          <w:sz w:val="22"/>
          <w:szCs w:val="22"/>
        </w:rPr>
        <w:t xml:space="preserve">Gate 1 — Topological gap certification. </w:t>
      </w:r>
      <w:r>
        <w:rPr>
          <w:rFonts w:ascii="Arial" w:cs="Arial" w:eastAsia="Arial" w:hAnsi="Arial"/>
          <w:b w:val="false"/>
          <w:bCs w:val="false"/>
          <w:i w:val="false"/>
          <w:iCs w:val="false"/>
          <w:color w:val="333333"/>
          <w:sz w:val="22"/>
          <w:szCs w:val="22"/>
        </w:rPr>
        <w:t xml:space="preserve">From the measured Hamiltonian parameters at each strain point, evaluate whether the IsGappedAt proof obligation is satisfiable. If the gap condition holds across the full strain sweep (excluding the boundary phase), the system is in a gapped phase. The winding number W is computed; W ≠ 0 indicates topological.</w:t>
      </w:r>
    </w:p>
    <w:p>
      <w:pPr>
        <w:spacing w:after="120" w:line="276"/>
      </w:pPr>
      <w:r>
        <w:rPr>
          <w:rFonts w:ascii="Arial" w:cs="Arial" w:eastAsia="Arial" w:hAnsi="Arial"/>
          <w:b/>
          <w:bCs/>
          <w:i w:val="false"/>
          <w:iCs w:val="false"/>
          <w:color w:val="333333"/>
          <w:sz w:val="22"/>
          <w:szCs w:val="22"/>
        </w:rPr>
        <w:t xml:space="preserve">Gate 2 — Strain invariance. </w:t>
      </w:r>
      <w:r>
        <w:rPr>
          <w:rFonts w:ascii="Arial" w:cs="Arial" w:eastAsia="Arial" w:hAnsi="Arial"/>
          <w:b w:val="false"/>
          <w:bCs w:val="false"/>
          <w:i w:val="false"/>
          <w:iCs w:val="false"/>
          <w:color w:val="333333"/>
          <w:sz w:val="22"/>
          <w:szCs w:val="22"/>
        </w:rPr>
        <w:t xml:space="preserve">The ZBCP position and nonlocal conductance G_LR must remain stable (within a defined tolerance) across the strain sweep range. Quantitatively: the variance of the ZBCP energy over strain must be below a threshold set by the estimated topological gap Δ_topo. If the ZBCP shifts by more than Δ_topo/10 under strain, REJECT.</w:t>
      </w:r>
    </w:p>
    <w:p>
      <w:pPr>
        <w:spacing w:after="120" w:line="276"/>
      </w:pPr>
      <w:r>
        <w:rPr>
          <w:rFonts w:ascii="Arial" w:cs="Arial" w:eastAsia="Arial" w:hAnsi="Arial"/>
          <w:b/>
          <w:bCs/>
          <w:i w:val="false"/>
          <w:iCs w:val="false"/>
          <w:color w:val="333333"/>
          <w:sz w:val="22"/>
          <w:szCs w:val="22"/>
        </w:rPr>
        <w:t xml:space="preserve">Gate 3 — NV-transport consistency. </w:t>
      </w:r>
      <w:r>
        <w:rPr>
          <w:rFonts w:ascii="Arial" w:cs="Arial" w:eastAsia="Arial" w:hAnsi="Arial"/>
          <w:b w:val="false"/>
          <w:bCs w:val="false"/>
          <w:i w:val="false"/>
          <w:iCs w:val="false"/>
          <w:color w:val="333333"/>
          <w:sz w:val="22"/>
          <w:szCs w:val="22"/>
        </w:rPr>
        <w:t xml:space="preserve">The strain value at which T₁ reaches its minimum (NV channel) must agree with the strain value at which the ZBCP disappears (transport channel) to within the strain resolution of the measurement. Disagreement implies the two channels are measuring different phenomena, indicating at least one is an artifact.</w:t>
      </w:r>
    </w:p>
    <w:p>
      <w:pPr>
        <w:pStyle w:val="Heading2"/>
      </w:pPr>
      <w:r>
        <w:rPr>
          <w:rFonts w:ascii="Arial" w:cs="Arial" w:eastAsia="Arial" w:hAnsi="Arial"/>
        </w:rPr>
        <w:t xml:space="preserve">7.4 Rejection and Iteration</w:t>
      </w:r>
    </w:p>
    <w:p>
      <w:pPr>
        <w:spacing w:after="120" w:line="276"/>
      </w:pPr>
      <w:r>
        <w:rPr>
          <w:rFonts w:ascii="Arial" w:cs="Arial" w:eastAsia="Arial" w:hAnsi="Arial"/>
          <w:color w:val="333333"/>
          <w:sz w:val="22"/>
          <w:szCs w:val="22"/>
        </w:rPr>
        <w:t xml:space="preserve">A REJECT is not a terminal state. On rejection, the controller adjusts the magnetic field B or the electrostatic gate voltages to shift the operating point in parameter space, and the strain sweep is repeated. The architecture is designed for iterative convergence: sweeping the (μ, B, ε) parameter space until either a certifiable topological region is found or the accessible parameter space is exhausted.</w:t>
      </w:r>
    </w:p>
    <w:p>
      <w:pPr>
        <w:spacing w:after="120" w:line="276"/>
      </w:pPr>
      <w:r>
        <w:rPr>
          <w:rFonts w:ascii="Arial" w:cs="Arial" w:eastAsia="Arial" w:hAnsi="Arial"/>
          <w:color w:val="333333"/>
          <w:sz w:val="22"/>
          <w:szCs w:val="22"/>
        </w:rPr>
        <w:t xml:space="preserve">Exhaustion of the parameter space without certification constitutes a definitive negative result: the device, under the tested conditions, does not host certifiable MZMs. This is requirement R4 (falsifiability) made concrete.</w:t>
      </w:r>
    </w:p>
    <w:p>
      <w:r>
        <w:br w:type="page"/>
      </w:r>
    </w:p>
    <w:p>
      <w:pPr>
        <w:pStyle w:val="Heading1"/>
      </w:pPr>
      <w:r>
        <w:rPr>
          <w:rFonts w:ascii="Arial" w:cs="Arial" w:eastAsia="Arial" w:hAnsi="Arial"/>
        </w:rPr>
        <w:t xml:space="preserve">8. Connection to the Geometry of State Framework</w:t>
      </w:r>
    </w:p>
    <w:p>
      <w:pPr>
        <w:spacing w:after="120" w:line="276"/>
      </w:pPr>
      <w:r>
        <w:rPr>
          <w:rFonts w:ascii="Arial" w:cs="Arial" w:eastAsia="Arial" w:hAnsi="Arial"/>
          <w:color w:val="333333"/>
          <w:sz w:val="22"/>
          <w:szCs w:val="22"/>
        </w:rPr>
        <w:t xml:space="preserve">The certification architecture described above is the experimental interface to the formal framework developed in the Geometry of State Lean 4 codebase and white paper. The connections are structural, not metaphorical.</w:t>
      </w:r>
    </w:p>
    <w:p>
      <w:pPr>
        <w:pStyle w:val="Heading2"/>
      </w:pPr>
      <w:r>
        <w:rPr>
          <w:rFonts w:ascii="Arial" w:cs="Arial" w:eastAsia="Arial" w:hAnsi="Arial"/>
        </w:rPr>
        <w:t xml:space="preserve">8.1 Existing Formal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GoS 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Lean 4 Artifact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Certification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Cl(2,0) geometric product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Cl2.mul (16-term formula)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Foundation for Hamiltonian vector representation</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Gap condition</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IsGappedAt dependent type</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Gate 1: gap certification as proof obligation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Singularity theorem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gapless_blocks_inversion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Formal basis for why certification must fail at phase boundary</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Winding number</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windingNumber / windingNumberInt</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Gate 1: topological invariant computation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Edge mode verification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 theorems proved by rfl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Formal guarantee linking W ≠ 0 to unpaired Majorana existence</w:t>
            </w:r>
          </w:p>
        </w:tc>
      </w:tr>
      <w:tr>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Protection hierarchy</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ProtectionLevel inductive type</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Classification of whether the device achieves topological protection</w:t>
            </w:r>
          </w:p>
        </w:tc>
      </w:tr>
    </w:tbl>
    <w:p>
      <w:pPr>
        <w:pStyle w:val="Heading2"/>
      </w:pPr>
      <w:r>
        <w:rPr>
          <w:rFonts w:ascii="Arial" w:cs="Arial" w:eastAsia="Arial" w:hAnsi="Arial"/>
        </w:rPr>
        <w:t xml:space="preserve">8.2 Required Extensions</w:t>
      </w:r>
    </w:p>
    <w:p>
      <w:pPr>
        <w:spacing w:after="120" w:line="276"/>
      </w:pPr>
      <w:r>
        <w:rPr>
          <w:rFonts w:ascii="Arial" w:cs="Arial" w:eastAsia="Arial" w:hAnsi="Arial"/>
          <w:color w:val="333333"/>
          <w:sz w:val="22"/>
          <w:szCs w:val="22"/>
        </w:rPr>
        <w:t xml:space="preserve">The certification pipeline requires the following extensions to the current GoS Lean 4 codebase, aligned with Year 1 and Year 2 milestones of the research proposal:</w:t>
      </w:r>
    </w:p>
    <w:p>
      <w:pPr>
        <w:spacing w:after="120" w:line="276"/>
      </w:pPr>
      <w:r>
        <w:rPr>
          <w:rFonts w:ascii="Arial" w:cs="Arial" w:eastAsia="Arial" w:hAnsi="Arial"/>
          <w:b/>
          <w:bCs/>
          <w:i w:val="false"/>
          <w:iCs w:val="false"/>
          <w:color w:val="333333"/>
          <w:sz w:val="22"/>
          <w:szCs w:val="22"/>
        </w:rPr>
        <w:t xml:space="preserve">Parameterized gap certification. </w:t>
      </w:r>
      <w:r>
        <w:rPr>
          <w:rFonts w:ascii="Arial" w:cs="Arial" w:eastAsia="Arial" w:hAnsi="Arial"/>
          <w:b w:val="false"/>
          <w:bCs w:val="false"/>
          <w:i w:val="false"/>
          <w:iCs w:val="false"/>
          <w:color w:val="333333"/>
          <w:sz w:val="22"/>
          <w:szCs w:val="22"/>
        </w:rPr>
        <w:t xml:space="preserve">Extend IsGappedAt from a single-point check to a function over parameter ranges: given a measured strain sweep ε ∈ [ε_min, ε_max], certify that the gap remains open at all points. This connects to the Year 2 tactic automation goal (automatically discharge or refute the gap obligation for parameterized Hamiltonians).</w:t>
      </w:r>
    </w:p>
    <w:p>
      <w:pPr>
        <w:spacing w:after="120" w:line="276"/>
      </w:pPr>
      <w:r>
        <w:rPr>
          <w:rFonts w:ascii="Arial" w:cs="Arial" w:eastAsia="Arial" w:hAnsi="Arial"/>
          <w:b/>
          <w:bCs/>
          <w:i w:val="false"/>
          <w:iCs w:val="false"/>
          <w:color w:val="333333"/>
          <w:sz w:val="22"/>
          <w:szCs w:val="22"/>
        </w:rPr>
        <w:t xml:space="preserve">BdG generalization. </w:t>
      </w:r>
      <w:r>
        <w:rPr>
          <w:rFonts w:ascii="Arial" w:cs="Arial" w:eastAsia="Arial" w:hAnsi="Arial"/>
          <w:b w:val="false"/>
          <w:bCs w:val="false"/>
          <w:i w:val="false"/>
          <w:iCs w:val="false"/>
          <w:color w:val="333333"/>
          <w:sz w:val="22"/>
          <w:szCs w:val="22"/>
        </w:rPr>
        <w:t xml:space="preserve">Extend from the current Kitaev chain (class BDI) to the full Altland-Zirnbauer classification, enabling the framework to handle the specific symmetry class of the InAs/Al system (class D). This is the Year 1 BdG milestone.</w:t>
      </w:r>
    </w:p>
    <w:p>
      <w:pPr>
        <w:spacing w:after="120" w:line="276"/>
      </w:pPr>
      <w:r>
        <w:rPr>
          <w:rFonts w:ascii="Arial" w:cs="Arial" w:eastAsia="Arial" w:hAnsi="Arial"/>
          <w:b/>
          <w:bCs/>
          <w:i w:val="false"/>
          <w:iCs w:val="false"/>
          <w:color w:val="333333"/>
          <w:sz w:val="22"/>
          <w:szCs w:val="22"/>
        </w:rPr>
        <w:t xml:space="preserve">Strain as rotor action. </w:t>
      </w:r>
      <w:r>
        <w:rPr>
          <w:rFonts w:ascii="Arial" w:cs="Arial" w:eastAsia="Arial" w:hAnsi="Arial"/>
          <w:b w:val="false"/>
          <w:bCs w:val="false"/>
          <w:i w:val="false"/>
          <w:iCs w:val="false"/>
          <w:color w:val="333333"/>
          <w:sz w:val="22"/>
          <w:szCs w:val="22"/>
        </w:rPr>
        <w:t xml:space="preserve">Formalize the Bir-Pikus strain coupling as a Cl(2,0) rotor transformation on the Hamiltonian vector, making the strain-invariance test (Gate 2) expressible as algebraic invariance under the sandwich product. The Rotor3D.rotate function in §8 of the existing code already implements the sandwich product; this extends it to the 2D BdG context.</w:t>
      </w:r>
    </w:p>
    <w:p>
      <w:pPr>
        <w:spacing w:after="120" w:line="276"/>
      </w:pPr>
      <w:r>
        <w:rPr>
          <w:rFonts w:ascii="Arial" w:cs="Arial" w:eastAsia="Arial" w:hAnsi="Arial"/>
          <w:b/>
          <w:bCs/>
          <w:i w:val="false"/>
          <w:iCs w:val="false"/>
          <w:color w:val="333333"/>
          <w:sz w:val="22"/>
          <w:szCs w:val="22"/>
        </w:rPr>
        <w:t xml:space="preserve">Imposter taxonomy. </w:t>
      </w:r>
      <w:r>
        <w:rPr>
          <w:rFonts w:ascii="Arial" w:cs="Arial" w:eastAsia="Arial" w:hAnsi="Arial"/>
          <w:b w:val="false"/>
          <w:bCs w:val="false"/>
          <w:i w:val="false"/>
          <w:iCs w:val="false"/>
          <w:color w:val="333333"/>
          <w:sz w:val="22"/>
          <w:szCs w:val="22"/>
        </w:rPr>
        <w:t xml:space="preserve">Formalize ABS, YSR, and quasi-MZM as distinct algebraic types with proven distinguishing criteria. This is the Year 1 Pillar II milestone. The key formal statement: an ABS-type state, represented as a localized (rather than nonlocal) Cl(2,0) element, does not satisfy the bivector invariance condition under rotor transformation.</w:t>
      </w:r>
    </w:p>
    <w:p>
      <w:pPr>
        <w:pStyle w:val="Heading1"/>
      </w:pPr>
      <w:r>
        <w:rPr>
          <w:rFonts w:ascii="Arial" w:cs="Arial" w:eastAsia="Arial" w:hAnsi="Arial"/>
        </w:rPr>
        <w:t xml:space="preserve">9. Engineering Constraints and Open Problems</w:t>
      </w:r>
    </w:p>
    <w:p>
      <w:pPr>
        <w:spacing w:after="120" w:line="276"/>
      </w:pPr>
      <w:r>
        <w:rPr>
          <w:rFonts w:ascii="Arial" w:cs="Arial" w:eastAsia="Arial" w:hAnsi="Arial"/>
          <w:color w:val="333333"/>
          <w:sz w:val="22"/>
          <w:szCs w:val="22"/>
        </w:rPr>
        <w:t xml:space="preserve">This section explicitly states what the architecture does not yet solve. These are engineering problems, not physics problems—the physics basis for each component is sound, but the integration challenges are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AFM at 20 mK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Vibration isolation, piezo thermal load, mechanical resonances at cryogenic temperatures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Demonstrated in scanning probe microscopy at dilution fridge temperatures, but not yet integrated with NV readout</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Optical access</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532 nm laser delivery and photon collection at &lt; 20 mK without thermal load exceeding cooling power</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Fiber-coupled NV readout demonstrated in separate cryogenic experiments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Strain calibration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Quantitative mapping from cantilever force to actual band structure modification requires material-specific calibration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Bir-Pikus parameters known for bulk InAs; heterostructure corrections are active research</w:t>
            </w:r>
          </w:p>
        </w:tc>
      </w:tr>
      <w:tr>
        <w:tc>
          <w:tcPr>
            <w:tcW w:type="dxa" w:w="2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NV sensitivity</w:t>
            </w:r>
          </w:p>
        </w:tc>
        <w:tc>
          <w:tcPr>
            <w:tcW w:type="dxa" w:w="3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Single-NV sensitivity may be insufficient; ensemble averaging trades spatial resolution for signal strength</w:t>
            </w:r>
          </w:p>
        </w:tc>
        <w:tc>
          <w:tcPr>
            <w:tcW w:type="dxa" w:w="33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 nm depth NV arrays with T₂ &gt; 100 μs demonstrated; integration with topological devices is novel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Certification thresholds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Quantitative thresholds for Gate 2 (strain invariance tolerance) and Gate 3 (T₁-transport agreement) require experimental calibration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Theoretical estimates exist; experimental validation against known topological and trivial devices required</w:t>
            </w:r>
          </w:p>
        </w:tc>
      </w:tr>
    </w:tbl>
    <w:p>
      <w:r>
        <w:br w:type="page"/>
      </w:r>
    </w:p>
    <w:p>
      <w:pPr>
        <w:pStyle w:val="Heading1"/>
      </w:pPr>
      <w:r>
        <w:rPr>
          <w:rFonts w:ascii="Arial" w:cs="Arial" w:eastAsia="Arial" w:hAnsi="Arial"/>
        </w:rPr>
        <w:t xml:space="preserve">10. Development Roadmap</w:t>
      </w:r>
    </w:p>
    <w:p>
      <w:pPr>
        <w:spacing w:after="120" w:line="276"/>
      </w:pPr>
      <w:r>
        <w:rPr>
          <w:rFonts w:ascii="Arial" w:cs="Arial" w:eastAsia="Arial" w:hAnsi="Arial"/>
          <w:color w:val="333333"/>
          <w:sz w:val="22"/>
          <w:szCs w:val="22"/>
        </w:rPr>
        <w:t xml:space="preserve">The roadmap is structured in three phases, aligned with the Geometry of State research proposal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Formal Work (Lean 4)</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 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1 (Y1)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BdG generalization; imposter taxonomy; Mathlib integration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Specification of data schema (measurement → Cl(2,0) mapping); simulation of strain-differential protocol against synthetic ABS/MZM data</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2 (Y2)</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Tactic automation for gap certification; protection hierarchy formalization</w:t>
            </w:r>
          </w:p>
        </w:tc>
        <w:tc>
          <w:tcPr>
            <w:tcW w:type="dxa" w:w="4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Integration with experimental hardware (collaboration with lab partners); first strain sweep on physical InAs/Al device; NV relaxometry calibration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3 (Y3)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Digital Triplet pipeline; verification speed benchmarks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closed-loop certification demonstration; three-gate protocol on real device; publication of certification results and open-source toolkit</w:t>
            </w:r>
          </w:p>
        </w:tc>
      </w:tr>
    </w:tbl>
    <w:p/>
    <w:p>
      <w:pPr>
        <w:spacing w:after="120" w:line="276"/>
      </w:pPr>
      <w:r>
        <w:rPr>
          <w:rFonts w:ascii="Arial" w:cs="Arial" w:eastAsia="Arial" w:hAnsi="Arial"/>
          <w:color w:val="333333"/>
          <w:sz w:val="22"/>
          <w:szCs w:val="22"/>
        </w:rPr>
        <w:t xml:space="preserve">Phase 1 can proceed without hardware access—it requires only the Lean 4 formalization work and synthetic data simulation. This makes it immediately actionable within the current research program.</w:t>
      </w:r>
    </w:p>
    <w:p>
      <w:pPr>
        <w:pStyle w:val="Heading1"/>
      </w:pPr>
      <w:r>
        <w:rPr>
          <w:rFonts w:ascii="Arial" w:cs="Arial" w:eastAsia="Arial" w:hAnsi="Arial"/>
        </w:rPr>
        <w:t xml:space="preserve">11. Conclusion</w:t>
      </w:r>
    </w:p>
    <w:p>
      <w:pPr>
        <w:spacing w:after="120" w:line="276"/>
      </w:pPr>
      <w:r>
        <w:rPr>
          <w:rFonts w:ascii="Arial" w:cs="Arial" w:eastAsia="Arial" w:hAnsi="Arial"/>
          <w:color w:val="333333"/>
          <w:sz w:val="22"/>
          <w:szCs w:val="22"/>
        </w:rPr>
        <w:t xml:space="preserve">The Majorana verification crisis is fundamentally a certification problem: existing measurement techniques cannot distinguish genuine topological states from their trivial imposters. This architecture addresses the crisis through three grounded innovations.</w:t>
      </w:r>
    </w:p>
    <w:p>
      <w:pPr>
        <w:spacing w:after="120" w:line="276"/>
      </w:pPr>
      <w:r>
        <w:rPr>
          <w:rFonts w:ascii="Arial" w:cs="Arial" w:eastAsia="Arial" w:hAnsi="Arial"/>
          <w:color w:val="333333"/>
          <w:sz w:val="22"/>
          <w:szCs w:val="22"/>
        </w:rPr>
        <w:t xml:space="preserve">First, strain-differential probing converts a static observation into a dynamic test, exploiting the defining property of topological protection—robustness under smooth deformation. Second, NV-center relaxometry provides an independent, non-electrical verification channel whose physics is well-understood and whose technology is mature. Third, the Clifford algebra framework from the Geometry of State provides a formal language in which certification conditions can be stated as decidable propositions and verified by the Lean 4 kernel.</w:t>
      </w:r>
    </w:p>
    <w:p>
      <w:pPr>
        <w:spacing w:after="120" w:line="276"/>
      </w:pPr>
      <w:r>
        <w:rPr>
          <w:rFonts w:ascii="Arial" w:cs="Arial" w:eastAsia="Arial" w:hAnsi="Arial"/>
          <w:color w:val="333333"/>
          <w:sz w:val="22"/>
          <w:szCs w:val="22"/>
        </w:rPr>
        <w:t xml:space="preserve">The architecture is conservative by design. Every component has a physical basis in existing literature and technology. The speculative elements that appear in broader discussions of quantum metrology—torsion anomaly detection, autonomous AI analysis, real-time cryogenic probe swapping—are explicitly excluded. What remains is a pipeline that can be specified, simulated, and eventually built with current capabilities.</w:t>
      </w:r>
    </w:p>
    <w:p>
      <w:pPr>
        <w:spacing w:after="120" w:line="276"/>
      </w:pPr>
      <w:r>
        <w:rPr>
          <w:rFonts w:ascii="Arial" w:cs="Arial" w:eastAsia="Arial" w:hAnsi="Arial"/>
          <w:color w:val="333333"/>
          <w:sz w:val="22"/>
          <w:szCs w:val="22"/>
        </w:rPr>
        <w:t xml:space="preserve">The compiler is the credential. The measurement is the test.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8"/>
        <w:szCs w:val="18"/>
      </w:rPr>
      <w:t xml:space="preserve">Strain-Differential MZM Certification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2026-03-13T15:25:16.523Z</dcterms:created>
  <dcterms:modified xsi:type="dcterms:W3CDTF">2026-03-13T15:25:16.524Z</dcterms:modified>
</cp:coreProperties>
</file>

<file path=docProps/custom.xml><?xml version="1.0" encoding="utf-8"?>
<Properties xmlns="http://schemas.openxmlformats.org/officeDocument/2006/custom-properties" xmlns:vt="http://schemas.openxmlformats.org/officeDocument/2006/docPropsVTypes"/>
</file>