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olor w:val="2E75B6"/>
          <w:spacing w:val="200"/>
          <w:sz w:val="28"/>
          <w:szCs w:val="28"/>
        </w:rPr>
        <w:t xml:space="preserve">CASE STUDY</w:t>
      </w:r>
    </w:p>
    <w:p>
      <w:pPr>
        <w:pBdr>
          <w:top w:val="single" w:color="2E75B6" w:sz="6" w:space="16"/>
          <w:bottom w:val="single" w:color="2E75B6" w:sz="6" w:space="16"/>
        </w:pBdr>
        <w:spacing w:before="200" w:after="200"/>
        <w:jc w:val="center"/>
      </w:pPr>
      <w:r>
        <w:rPr>
          <w:rFonts w:ascii="Arial" w:cs="Arial" w:eastAsia="Arial" w:hAnsi="Arial"/>
          <w:b/>
          <w:bCs/>
          <w:color w:val="1B3A5C"/>
          <w:sz w:val="52"/>
          <w:szCs w:val="52"/>
        </w:rPr>
        <w:t xml:space="preserve">The Thermodynamic Bootstrap</w:t>
      </w:r>
    </w:p>
    <w:p>
      <w:pPr>
        <w:spacing w:before="160" w:after="80"/>
        <w:jc w:val="center"/>
      </w:pPr>
      <w:r>
        <w:rPr>
          <w:rFonts w:ascii="Arial" w:cs="Arial" w:eastAsia="Arial" w:hAnsi="Arial"/>
          <w:color w:val="666666"/>
          <w:sz w:val="26"/>
          <w:szCs w:val="26"/>
        </w:rPr>
        <w:t xml:space="preserve">Topological Quantum Computing, Energy Sustainability,</w:t>
      </w:r>
    </w:p>
    <w:p>
      <w:pPr>
        <w:spacing w:before="0" w:after="80"/>
        <w:jc w:val="center"/>
      </w:pPr>
      <w:r>
        <w:rPr>
          <w:rFonts w:ascii="Arial" w:cs="Arial" w:eastAsia="Arial" w:hAnsi="Arial"/>
          <w:color w:val="666666"/>
          <w:sz w:val="26"/>
          <w:szCs w:val="26"/>
        </w:rPr>
        <w:t xml:space="preserve">Explainable AI, Adversarial Verification,</w:t>
      </w:r>
    </w:p>
    <w:p>
      <w:pPr>
        <w:spacing w:before="0" w:after="400"/>
        <w:jc w:val="center"/>
      </w:pPr>
      <w:r>
        <w:rPr>
          <w:rFonts w:ascii="Arial" w:cs="Arial" w:eastAsia="Arial" w:hAnsi="Arial"/>
          <w:color w:val="666666"/>
          <w:sz w:val="26"/>
          <w:szCs w:val="26"/>
        </w:rPr>
        <w:t xml:space="preserve">and the Role of Formal Verification</w:t>
      </w:r>
    </w:p>
    <w:p>
      <w:pPr>
        <w:spacing w:before="800" w:after="0"/>
      </w:pPr>
    </w:p>
    <w:p>
      <w:pPr>
        <w:spacing w:after="80"/>
        <w:jc w:val="center"/>
      </w:pPr>
      <w:r>
        <w:rPr>
          <w:rFonts w:ascii="Arial" w:cs="Arial" w:eastAsia="Arial" w:hAnsi="Arial"/>
          <w:color w:val="333333"/>
          <w:sz w:val="24"/>
          <w:szCs w:val="24"/>
        </w:rPr>
        <w:t xml:space="preserve">Adrian — GoS-Architect</w:t>
      </w:r>
    </w:p>
    <w:p>
      <w:pPr>
        <w:spacing w:after="80"/>
        <w:jc w:val="center"/>
      </w:pPr>
      <w:r>
        <w:rPr>
          <w:rFonts w:ascii="Arial" w:cs="Arial" w:eastAsia="Arial" w:hAnsi="Arial"/>
          <w:color w:val="666666"/>
          <w:sz w:val="20"/>
          <w:szCs w:val="20"/>
        </w:rPr>
        <w:t xml:space="preserve">Proof Engineer | Lean 4 Formalization | Physics-Grounded Verification</w:t>
      </w:r>
    </w:p>
    <w:p>
      <w:pPr>
        <w:spacing w:after="0"/>
        <w:jc w:val="center"/>
      </w:pPr>
      <w:r>
        <w:rPr>
          <w:rFonts w:ascii="Arial" w:cs="Arial" w:eastAsia="Arial" w:hAnsi="Arial"/>
          <w:color w:val="666666"/>
          <w:sz w:val="20"/>
          <w:szCs w:val="20"/>
        </w:rPr>
        <w:t xml:space="preserve">March 2026</w:t>
      </w:r>
    </w:p>
    <w:p>
      <w:pPr>
        <w:sectPr>
          <w:pgSz w:w="12240" w:h="15840" w:orient="portrait"/>
          <w:pgMar w:top="1440" w:right="1440" w:bottom="1440" w:left="1440" w:header="708" w:footer="708" w:gutter="0"/>
          <w:pgNumType/>
          <w:docGrid w:linePitch="360"/>
        </w:sectPr>
      </w:pPr>
    </w:p>
    <w:p>
      <w:pPr>
        <w:pBdr>
          <w:bottom w:val="single" w:color="2E75B6" w:sz="6" w:space="8"/>
        </w:pBdr>
        <w:spacing w:before="400" w:after="200"/>
      </w:pPr>
      <w:r>
        <w:rPr>
          <w:rFonts w:ascii="Arial" w:cs="Arial" w:eastAsia="Arial" w:hAnsi="Arial"/>
          <w:b/>
          <w:bCs/>
          <w:color w:val="1B3A5C"/>
          <w:sz w:val="32"/>
          <w:szCs w:val="32"/>
        </w:rPr>
        <w:t xml:space="preserve">Executive Summary</w:t>
      </w:r>
    </w:p>
    <w:p>
      <w:pPr>
        <w:spacing w:before="120" w:after="120" w:line="300"/>
        <w:jc w:val="left"/>
      </w:pPr>
      <w:r>
        <w:rPr>
          <w:rFonts w:ascii="Arial" w:cs="Arial" w:eastAsia="Arial" w:hAnsi="Arial"/>
          <w:color w:val="333333"/>
          <w:sz w:val="22"/>
          <w:szCs w:val="22"/>
        </w:rPr>
        <w:t xml:space="preserve">Quantum computing faces a fundamental thermodynamic paradox: the machines designed to revolutionize materials science, energy systems, and computational efficiency are themselves among the most thermodynamically demanding devices ever engineered. Superconducting and topological quantum processors operate at temperatures below 20 millikelvin — roughly one hundred times colder than the cosmic microwave background of deep space — sustained by dilution refrigerators that exploit the entropic behaviour of helium isotope mixtures.</w:t>
      </w:r>
    </w:p>
    <w:p>
      <w:pPr>
        <w:spacing w:before="120" w:after="120" w:line="300"/>
        <w:jc w:val="left"/>
      </w:pPr>
      <w:r>
        <w:rPr>
          <w:rFonts w:ascii="Arial" w:cs="Arial" w:eastAsia="Arial" w:hAnsi="Arial"/>
          <w:color w:val="333333"/>
          <w:sz w:val="22"/>
          <w:szCs w:val="22"/>
        </w:rPr>
        <w:t xml:space="preserve">This case study examines interconnected questions arising from this paradox. Whether topological protection reduces the need for extreme cryogenic infrastructure. Whether the computational capabilities unlocked by quantum hardware justify their thermodynamic costs through a sustainability bootstrap. How formal verification serves as a deductive methodology for engineering in a regime where inductive empirical methods are unusually weak. How the iterative dialectic between simulation and type checking produces structural explainability for AI-assisted reasoning. And how adversarial verification protocols, modelled on cybersecurity and aerospace certification, can address the verification crisis at the foundation of topological quantum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C45B28" w:sz="12"/>
              <w:bottom w:val="single" w:color="2E75B6" w:sz="1"/>
              <w:right w:val="single" w:color="2E75B6" w:sz="1"/>
            </w:tcBorders>
            <w:shd w:fill="FDF6F0" w:val="clear"/>
            <w:tcMar>
              <w:top w:type="dxa" w:w="160"/>
              <w:left w:type="dxa" w:w="240"/>
              <w:bottom w:type="dxa" w:w="160"/>
              <w:right w:type="dxa" w:w="240"/>
            </w:tcMar>
          </w:tcPr>
          <w:p>
            <w:pPr>
              <w:spacing w:before="0" w:after="0" w:line="300"/>
            </w:pPr>
            <w:r>
              <w:rPr>
                <w:rFonts w:ascii="Arial" w:cs="Arial" w:eastAsia="Arial" w:hAnsi="Arial"/>
                <w:i/>
                <w:iCs/>
                <w:color w:val="333333"/>
                <w:sz w:val="22"/>
                <w:szCs w:val="22"/>
              </w:rPr>
              <w:t xml:space="preserve">Core thesis: The short-term energy cost of quantum computing is justified if these machines unlock the computational capabilities needed to transform energy, materials, and sustainability — and formal verification is the deductive discipline that ensures the theoretical foundations of this trajectory are sound.</w:t>
            </w:r>
          </w:p>
        </w:tc>
      </w:tr>
    </w:tbl>
    <w:p>
      <w:pPr>
        <w:pBdr>
          <w:bottom w:val="single" w:color="2E75B6" w:sz="6" w:space="8"/>
        </w:pBdr>
        <w:spacing w:before="400" w:after="200"/>
      </w:pPr>
      <w:r>
        <w:rPr>
          <w:rFonts w:ascii="Arial" w:cs="Arial" w:eastAsia="Arial" w:hAnsi="Arial"/>
          <w:b/>
          <w:bCs/>
          <w:color w:val="1B3A5C"/>
          <w:sz w:val="32"/>
          <w:szCs w:val="32"/>
        </w:rPr>
        <w:t xml:space="preserve">1. The Cryogenic Imperative</w:t>
      </w:r>
    </w:p>
    <w:p>
      <w:pPr>
        <w:spacing w:before="120" w:after="120" w:line="300"/>
        <w:jc w:val="left"/>
      </w:pPr>
      <w:r>
        <w:rPr>
          <w:rFonts w:ascii="Arial" w:cs="Arial" w:eastAsia="Arial" w:hAnsi="Arial"/>
          <w:color w:val="333333"/>
          <w:sz w:val="22"/>
          <w:szCs w:val="22"/>
        </w:rPr>
        <w:t xml:space="preserve">Every operational quantum computer today relies on dilution refrigeration. These systems cool quantum processors to the millikelvin range by exploiting phase separation in helium-3/helium-4 mixtures — a process rooted in quantum statistics rather than conventional compression cycles. IBM’s 1,121-qubit Condor processor operates below 15 mK. Microsoft’s Majorana 1 topological chip operates at approximately 10 mK with 2.3 Tesla magnetic fields. Even trapped-ion systems, which use different physics, require cryogenic temperatures to minimize motional heating.</w:t>
      </w:r>
    </w:p>
    <w:p>
      <w:pPr>
        <w:spacing w:before="120" w:after="120" w:line="300"/>
      </w:pPr>
      <w:r>
        <w:rPr>
          <w:rFonts w:ascii="Arial" w:cs="Arial" w:eastAsia="Arial" w:hAnsi="Arial"/>
          <w:color w:val="333333"/>
          <w:sz w:val="22"/>
          <w:szCs w:val="22"/>
        </w:rPr>
        <w:t xml:space="preserve">The reason is not merely engineering convenience. Superconducting qubits operate at microwave frequencies around 4–8 GHz. At 20 mK, the thermal energy k</w:t>
      </w:r>
      <w:r>
        <w:rPr>
          <w:rFonts w:ascii="Arial" w:cs="Arial" w:eastAsia="Arial" w:hAnsi="Arial"/>
          <w:color w:val="333333"/>
          <w:sz w:val="18"/>
          <w:szCs w:val="18"/>
          <w:vertAlign w:val="subscript"/>
        </w:rPr>
        <w:t xml:space="preserve">B</w:t>
      </w:r>
      <w:r>
        <w:rPr>
          <w:rFonts w:ascii="Arial" w:cs="Arial" w:eastAsia="Arial" w:hAnsi="Arial"/>
          <w:color w:val="333333"/>
          <w:sz w:val="22"/>
          <w:szCs w:val="22"/>
        </w:rPr>
        <w:t xml:space="preserve">T is roughly one-tenth the qubit energy gap, suppressing thermal excitation into computational error states exponentially. At higher temperatures, thermal fluctuations overwhelm quantum coherence, and the system behaves classically. The dilution refrigerator is not optional equipment — it is a precondition for quantum behaviour in these architectures.</w:t>
      </w:r>
    </w:p>
    <w:p>
      <w:pPr>
        <w:spacing w:before="320" w:after="160"/>
      </w:pPr>
      <w:r>
        <w:rPr>
          <w:rFonts w:ascii="Arial" w:cs="Arial" w:eastAsia="Arial" w:hAnsi="Arial"/>
          <w:b/>
          <w:bCs/>
          <w:color w:val="2E75B6"/>
          <w:sz w:val="26"/>
          <w:szCs w:val="26"/>
        </w:rPr>
        <w:t xml:space="preserve">Energy Profile of Cryogenic Infrastructure</w:t>
      </w:r>
    </w:p>
    <w:p>
      <w:pPr>
        <w:spacing w:before="120" w:after="120" w:line="300"/>
        <w:jc w:val="left"/>
      </w:pPr>
      <w:r>
        <w:rPr>
          <w:rFonts w:ascii="Arial" w:cs="Arial" w:eastAsia="Arial" w:hAnsi="Arial"/>
          <w:color w:val="333333"/>
          <w:sz w:val="22"/>
          <w:szCs w:val="22"/>
        </w:rPr>
        <w:t xml:space="preserve">A typical laboratory-scale dilution refrigerator consumes 5–10 kW of electrical power. At data-centre scale, this figure increases with redundant cooling stages and larger cryostat volumes. Fermilab’s Colossus project represents the apex of this infrastructural shift: 5 cubic metres of experimental volume at a base temperature of 20 mK, utilizing a 2-metre diameter cold plate with a cascading thermal architecture — liquid nitrogen at 80 K, a helium cryoplant rated at 625 W at 4.5 K with Joule-Thomson expansion to 2 K, and 10 to 12 parallel dilution circuits for millikelvin cooling. Oxford Instruments has patented modular interconnected rectangular-format refrigerators designed for quantum computing scale-up, enabling square metres of cold real estate at millikelvin temperatures.</w:t>
      </w:r>
    </w:p>
    <w:p>
      <w:pPr>
        <w:spacing w:before="120" w:after="120" w:line="300"/>
        <w:jc w:val="left"/>
      </w:pPr>
      <w:r>
        <w:rPr>
          <w:rFonts w:ascii="Arial" w:cs="Arial" w:eastAsia="Arial" w:hAnsi="Arial"/>
          <w:color w:val="333333"/>
          <w:sz w:val="22"/>
          <w:szCs w:val="22"/>
        </w:rPr>
        <w:t xml:space="preserve">These figures, however, are modest compared to the classical supercomputers they may eventually supplement or replace. This comparison is central to the sustainability argument developed in Section 3.</w:t>
      </w:r>
    </w:p>
    <w:p>
      <w:pPr>
        <w:pBdr>
          <w:bottom w:val="single" w:color="2E75B6" w:sz="6" w:space="8"/>
        </w:pBdr>
        <w:spacing w:before="400" w:after="200"/>
      </w:pPr>
      <w:r>
        <w:rPr>
          <w:rFonts w:ascii="Arial" w:cs="Arial" w:eastAsia="Arial" w:hAnsi="Arial"/>
          <w:b/>
          <w:bCs/>
          <w:color w:val="1B3A5C"/>
          <w:sz w:val="32"/>
          <w:szCs w:val="32"/>
        </w:rPr>
        <w:t xml:space="preserve">2. Topological Protection: What It Delivers</w:t>
      </w:r>
    </w:p>
    <w:p>
      <w:pPr>
        <w:spacing w:before="320" w:after="160"/>
      </w:pPr>
      <w:r>
        <w:rPr>
          <w:rFonts w:ascii="Arial" w:cs="Arial" w:eastAsia="Arial" w:hAnsi="Arial"/>
          <w:b/>
          <w:bCs/>
          <w:color w:val="2E75B6"/>
          <w:sz w:val="26"/>
          <w:szCs w:val="26"/>
        </w:rPr>
        <w:t xml:space="preserve">2.1 The Core Mechanism</w:t>
      </w:r>
    </w:p>
    <w:p>
      <w:pPr>
        <w:spacing w:before="120" w:after="120" w:line="300"/>
        <w:jc w:val="left"/>
      </w:pPr>
      <w:r>
        <w:rPr>
          <w:rFonts w:ascii="Arial" w:cs="Arial" w:eastAsia="Arial" w:hAnsi="Arial"/>
          <w:color w:val="333333"/>
          <w:sz w:val="22"/>
          <w:szCs w:val="22"/>
        </w:rPr>
        <w:t xml:space="preserve">Topological quantum computing encodes information in the global properties of a quantum system rather than in fragile local states. In Microsoft’s architecture, Majorana zero modes emerge at the ends of topological superconducting nanowires fabricated from indium arsenide and aluminium. Quantum information is stored in the parity of electron occupation across spatially separated Majorana modes. Because both modes must be disturbed simultaneously to corrupt the information, local perturbations — including thermal fluctuations — cannot access the encoded state.</w:t>
      </w:r>
    </w:p>
    <w:p>
      <w:pPr>
        <w:spacing w:before="120" w:after="120" w:line="300"/>
      </w:pPr>
      <w:r>
        <w:rPr>
          <w:rFonts w:ascii="Arial" w:cs="Arial" w:eastAsia="Arial" w:hAnsi="Arial"/>
          <w:color w:val="333333"/>
          <w:sz w:val="22"/>
          <w:szCs w:val="22"/>
        </w:rPr>
        <w:t xml:space="preserve">This is a geometric argument, not a thermodynamic one. Topological protection does not lower the system’s entropy budget; it makes the information-bearing degrees of freedom invisible to the thermal environment. The protection scales exponentially with two dimensionless ratios: the topological gap divided by temperature (Δ/k</w:t>
      </w:r>
      <w:r>
        <w:rPr>
          <w:rFonts w:ascii="Arial" w:cs="Arial" w:eastAsia="Arial" w:hAnsi="Arial"/>
          <w:color w:val="333333"/>
          <w:sz w:val="18"/>
          <w:szCs w:val="18"/>
          <w:vertAlign w:val="subscript"/>
        </w:rPr>
        <w:t xml:space="preserve">B</w:t>
      </w:r>
      <w:r>
        <w:rPr>
          <w:rFonts w:ascii="Arial" w:cs="Arial" w:eastAsia="Arial" w:hAnsi="Arial"/>
          <w:color w:val="333333"/>
          <w:sz w:val="22"/>
          <w:szCs w:val="22"/>
        </w:rPr>
        <w:t xml:space="preserve">T) and the wire length divided by the topological coherence length (L/ξ).</w:t>
      </w:r>
    </w:p>
    <w:p>
      <w:pPr>
        <w:spacing w:before="320" w:after="160"/>
      </w:pPr>
      <w:r>
        <w:rPr>
          <w:rFonts w:ascii="Arial" w:cs="Arial" w:eastAsia="Arial" w:hAnsi="Arial"/>
          <w:b/>
          <w:bCs/>
          <w:color w:val="2E75B6"/>
          <w:sz w:val="26"/>
          <w:szCs w:val="26"/>
        </w:rPr>
        <w:t xml:space="preserve">2.2 Where the Payoff Lies: Error Correction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
              <w:bottom w:val="single" w:color="2E75B6" w:sz="1"/>
              <w:right w:val="single" w:color="2E75B6" w:sz="1"/>
            </w:tcBorders>
            <w:shd w:fill="D5E8F0" w:val="clear"/>
            <w:tcMar>
              <w:top w:type="dxa" w:w="160"/>
              <w:left w:type="dxa" w:w="240"/>
              <w:bottom w:type="dxa" w:w="160"/>
              <w:right w:type="dxa" w:w="240"/>
            </w:tcMar>
          </w:tcPr>
          <w:p>
            <w:pPr>
              <w:spacing w:before="0" w:after="80"/>
            </w:pPr>
            <w:r>
              <w:rPr>
                <w:rFonts w:ascii="Arial" w:cs="Arial" w:eastAsia="Arial" w:hAnsi="Arial"/>
                <w:b/>
                <w:bCs/>
                <w:color w:val="1B3A5C"/>
                <w:sz w:val="22"/>
                <w:szCs w:val="22"/>
              </w:rPr>
              <w:t xml:space="preserve">Key Finding: Topological protection reduces error correction overhead, not operating temperature.</w:t>
            </w:r>
          </w:p>
          <w:p>
            <w:pPr>
              <w:spacing w:before="0" w:after="0" w:line="300"/>
            </w:pPr>
            <w:r>
              <w:rPr>
                <w:rFonts w:ascii="Arial" w:cs="Arial" w:eastAsia="Arial" w:hAnsi="Arial"/>
                <w:color w:val="333333"/>
                <w:sz w:val="22"/>
                <w:szCs w:val="22"/>
              </w:rPr>
              <w:t xml:space="preserve">Microsoft’s Majorana 1 chip operates at the same millikelvin temperatures as conventional superconducting qubits. The topoconductor requires aluminium to be in a superconducting state before any topological physics emerges. The value of topological protection lies in dramatically reducing the number of physical qubits needed per logical qubit.</w:t>
            </w:r>
          </w:p>
        </w:tc>
      </w:tr>
    </w:tbl>
    <w:p>
      <w:pPr>
        <w:spacing w:before="120" w:after="0"/>
      </w:pPr>
    </w:p>
    <w:p>
      <w:pPr>
        <w:spacing w:before="120" w:after="120" w:line="300"/>
        <w:jc w:val="left"/>
      </w:pPr>
      <w:r>
        <w:rPr>
          <w:rFonts w:ascii="Arial" w:cs="Arial" w:eastAsia="Arial" w:hAnsi="Arial"/>
          <w:color w:val="333333"/>
          <w:sz w:val="22"/>
          <w:szCs w:val="22"/>
        </w:rPr>
        <w:t xml:space="preserve">The difference in error correction overhead between architectural approaches is consequential. Standard 2D surface codes, the dominant approach pursued by Google and IBM, require physical-to-logical qubit ratios ranging from 1,000:1 to 10,000:1 to suppress logical error rates to the threshold required for practical algorithmic execution. Recent advances in 4D geometric Low-Density Parity-Check (LDPC) codes — developed by Microsoft in collaboration with Quantinuum and Atom Computing — have demonstrated a 10:1 physical-to-logical overhead ratio, with 4 logical qubits synthesized from 30 physical trapped-ion qubits on Quantinuum’s H2 system, achieving logical circuit error rates 800 times lower than the underlying physical rates.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QEC Architecture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Physical:Logical Ratio</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Encoding Topology</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Primary Proponents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Standard Surface Code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1,000:1 to 10,000:1</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2D Planar Lattice</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Google, IBM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qLDPC / Toric Codes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~100:1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3D Torus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IBM</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4D Geometric LDPC Codes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10:1 (demonstrated)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4D Hypercube Lattice</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Microsoft, Quantinuum</w:t>
            </w:r>
          </w:p>
        </w:tc>
      </w:tr>
    </w:tbl>
    <w:p>
      <w:pPr>
        <w:spacing w:before="80" w:after="200"/>
      </w:pPr>
      <w:r>
        <w:rPr>
          <w:rFonts w:ascii="Arial" w:cs="Arial" w:eastAsia="Arial" w:hAnsi="Arial"/>
          <w:i/>
          <w:iCs/>
          <w:color w:val="666666"/>
          <w:sz w:val="20"/>
          <w:szCs w:val="20"/>
        </w:rPr>
        <w:t xml:space="preserve">Table 1: Comparative resource overheads of leading quantum error correction protocols.</w:t>
      </w:r>
    </w:p>
    <w:p>
      <w:pPr>
        <w:spacing w:before="120" w:after="120" w:line="300"/>
        <w:jc w:val="left"/>
      </w:pPr>
      <w:r>
        <w:rPr>
          <w:rFonts w:ascii="Arial" w:cs="Arial" w:eastAsia="Arial" w:hAnsi="Arial"/>
          <w:color w:val="333333"/>
          <w:sz w:val="22"/>
          <w:szCs w:val="22"/>
        </w:rPr>
        <w:t xml:space="preserve">This reduction reshapes the physical infrastructure requirements. Instead of requiring warehouse-scale arrays of dilution refrigerators to manage the millions of physical qubits demanded by surface codes, a utility-scale topological quantum computer utilizing 4D LDPC codes could fit within a single Colossus-scale 5-cubic-metre cryostat. The fridge does not disappear, but it shrinks by orders of magnitude relative to computational output.</w:t>
      </w:r>
    </w:p>
    <w:p>
      <w:pPr>
        <w:pBdr>
          <w:bottom w:val="single" w:color="2E75B6" w:sz="6" w:space="8"/>
        </w:pBdr>
        <w:spacing w:before="400" w:after="200"/>
      </w:pPr>
      <w:r>
        <w:rPr>
          <w:rFonts w:ascii="Arial" w:cs="Arial" w:eastAsia="Arial" w:hAnsi="Arial"/>
          <w:b/>
          <w:bCs/>
          <w:color w:val="1B3A5C"/>
          <w:sz w:val="32"/>
          <w:szCs w:val="32"/>
        </w:rPr>
        <w:t xml:space="preserve">3. The Sustainability Bootstrap</w:t>
      </w:r>
    </w:p>
    <w:p>
      <w:pPr>
        <w:spacing w:before="320" w:after="160"/>
      </w:pPr>
      <w:r>
        <w:rPr>
          <w:rFonts w:ascii="Arial" w:cs="Arial" w:eastAsia="Arial" w:hAnsi="Arial"/>
          <w:b/>
          <w:bCs/>
          <w:color w:val="2E75B6"/>
          <w:sz w:val="26"/>
          <w:szCs w:val="26"/>
        </w:rPr>
        <w:t xml:space="preserve">3.1 The Classical Simulation Tax</w:t>
      </w:r>
    </w:p>
    <w:p>
      <w:pPr>
        <w:spacing w:before="120" w:after="120" w:line="300"/>
        <w:jc w:val="left"/>
      </w:pPr>
      <w:r>
        <w:rPr>
          <w:rFonts w:ascii="Arial" w:cs="Arial" w:eastAsia="Arial" w:hAnsi="Arial"/>
          <w:color w:val="333333"/>
          <w:sz w:val="22"/>
          <w:szCs w:val="22"/>
        </w:rPr>
        <w:t xml:space="preserve">The institutions designing fusion reactors, modelling topological materials, and simulating quantum systems run those simulations on classical supercomputers. The Frontier supercomputer at Oak Ridge National Laboratory — the flagship 1.14-exaflop system — requires approximately 22 MW of peak power. The Department of Energy’s high-performance computing facilities collectively draw hundreds of megawatts. A significant fraction of that computational budget is devoted to density functional theory, quantum Monte Carlo, and GW approximation calculations — strongly-correlated quantum many-body simulations that classical architectures handle with exponentially unfavourable scaling.</w:t>
      </w:r>
    </w:p>
    <w:p>
      <w:pPr>
        <w:spacing w:before="120" w:after="120" w:line="300"/>
        <w:jc w:val="left"/>
      </w:pPr>
      <w:r>
        <w:rPr>
          <w:rFonts w:ascii="Arial" w:cs="Arial" w:eastAsia="Arial" w:hAnsi="Arial"/>
          <w:color w:val="333333"/>
          <w:sz w:val="22"/>
          <w:szCs w:val="22"/>
        </w:rPr>
        <w:t xml:space="preserve">Recent Gordon Bell Prize-nominated exascale simulations modelling exact electron-phonon coupling in lithium hydride (17,574 atoms) and magnesium systems (75,000 atoms) required sustained 1.0 ExaFLOP/s throughput in double-precision arithmetic. The combinatorial explosion inherent to the multidimensional Hilbert space means that adding even marginal accuracy to a many-body quantum simulation on a classical machine requires an exponential increase in computational resources and power consumption.</w:t>
      </w:r>
    </w:p>
    <w:p>
      <w:pPr>
        <w:spacing w:before="320" w:after="160"/>
      </w:pPr>
      <w:r>
        <w:rPr>
          <w:rFonts w:ascii="Arial" w:cs="Arial" w:eastAsia="Arial" w:hAnsi="Arial"/>
          <w:b/>
          <w:bCs/>
          <w:color w:val="2E75B6"/>
          <w:sz w:val="26"/>
          <w:szCs w:val="26"/>
        </w:rPr>
        <w:t xml:space="preserve">3.2 The Recursive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C45B28" w:sz="12"/>
              <w:bottom w:val="single" w:color="2E75B6" w:sz="1"/>
              <w:right w:val="single" w:color="2E75B6" w:sz="1"/>
            </w:tcBorders>
            <w:shd w:fill="FDF6F0" w:val="clear"/>
            <w:tcMar>
              <w:top w:type="dxa" w:w="160"/>
              <w:left w:type="dxa" w:w="240"/>
              <w:bottom w:type="dxa" w:w="160"/>
              <w:right w:type="dxa" w:w="240"/>
            </w:tcMar>
          </w:tcPr>
          <w:p>
            <w:pPr>
              <w:spacing w:before="0" w:after="0" w:line="300"/>
            </w:pPr>
            <w:r>
              <w:rPr>
                <w:rFonts w:ascii="Arial" w:cs="Arial" w:eastAsia="Arial" w:hAnsi="Arial"/>
                <w:i/>
                <w:iCs/>
                <w:color w:val="333333"/>
                <w:sz w:val="22"/>
                <w:szCs w:val="22"/>
              </w:rPr>
              <w:t xml:space="preserve">We spend massive energy on classical HPC to design the materials and physics for quantum computers, which themselves require extreme cooling, but which — if they work — would replace a substantial fraction of that classical simulation workload with exponentially more efficient quantum simulation. The dilution refrigerator running at 5–10 kW to power a machine that can simulate what currently takes a 22 MW supercomputer is not an energy problem. It is an energy solution.</w:t>
            </w:r>
          </w:p>
        </w:tc>
      </w:tr>
    </w:tbl>
    <w:p>
      <w:pPr>
        <w:spacing w:before="120" w:after="0"/>
      </w:pPr>
    </w:p>
    <w:p>
      <w:pPr>
        <w:spacing w:before="120" w:after="120" w:line="300"/>
        <w:jc w:val="left"/>
      </w:pPr>
      <w:r>
        <w:rPr>
          <w:rFonts w:ascii="Arial" w:cs="Arial" w:eastAsia="Arial" w:hAnsi="Arial"/>
          <w:color w:val="333333"/>
          <w:sz w:val="22"/>
          <w:szCs w:val="22"/>
        </w:rPr>
        <w:t xml:space="preserve">The argument operates through three reinforcing loops. First, quantum simulation of plasma confinement physics could accelerate fusion energy development by enabling computational iteration on tokamak and stellarator designs rather than requiring billion-dollar experimental reactors for each configuration. Second, quantum simulation of candidate materials — high-temperature superconductors, plasma-facing components, tritium breeding blanket chemistry — addresses problems that are quantum many-body at their core. Third, the materials needed to build better topological qubits are themselves discoverable through quantum simulation, creating a virtuous cycle in which topological hardware discovers the next generation of topological hardware.</w:t>
      </w:r>
    </w:p>
    <w:p>
      <w:pPr>
        <w:spacing w:before="320" w:after="160"/>
      </w:pPr>
      <w:r>
        <w:rPr>
          <w:rFonts w:ascii="Arial" w:cs="Arial" w:eastAsia="Arial" w:hAnsi="Arial"/>
          <w:b/>
          <w:bCs/>
          <w:color w:val="2E75B6"/>
          <w:sz w:val="26"/>
          <w:szCs w:val="26"/>
        </w:rPr>
        <w:t xml:space="preserve">3.3 Honest Caveats</w:t>
      </w:r>
    </w:p>
    <w:p>
      <w:pPr>
        <w:spacing w:before="120" w:after="120" w:line="300"/>
        <w:jc w:val="left"/>
      </w:pPr>
      <w:r>
        <w:rPr>
          <w:rFonts w:ascii="Arial" w:cs="Arial" w:eastAsia="Arial" w:hAnsi="Arial"/>
          <w:color w:val="333333"/>
          <w:sz w:val="22"/>
          <w:szCs w:val="22"/>
        </w:rPr>
        <w:t xml:space="preserve">The bootstrap argument is structurally sound but empirically unvalidated. No quantum computer has yet performed a materials simulation that could not be done classically. No topological qubit has outperformed a transmon on any benchmark. The argument concerns architectural trajectory, not current capability. Furthermore, the timeline involves stacking two developing trajectories: fault-tolerant quantum computing (years to a decade) and commercial fusion (15–25 years). The compounding uncertainty is substantial. These caveats do not invalidate the structural argument — they define the risk profile that stakeholders need to evaluate.</w:t>
      </w:r>
    </w:p>
    <w:p>
      <w:pPr>
        <w:pBdr>
          <w:bottom w:val="single" w:color="2E75B6" w:sz="6" w:space="8"/>
        </w:pBdr>
        <w:spacing w:before="400" w:after="200"/>
      </w:pPr>
      <w:r>
        <w:rPr>
          <w:rFonts w:ascii="Arial" w:cs="Arial" w:eastAsia="Arial" w:hAnsi="Arial"/>
          <w:b/>
          <w:bCs/>
          <w:color w:val="1B3A5C"/>
          <w:sz w:val="32"/>
          <w:szCs w:val="32"/>
        </w:rPr>
        <w:t xml:space="preserve">4. Formal Verification as Deductive Engineering</w:t>
      </w:r>
    </w:p>
    <w:p>
      <w:pPr>
        <w:spacing w:before="320" w:after="160"/>
      </w:pPr>
      <w:r>
        <w:rPr>
          <w:rFonts w:ascii="Arial" w:cs="Arial" w:eastAsia="Arial" w:hAnsi="Arial"/>
          <w:b/>
          <w:bCs/>
          <w:color w:val="2E75B6"/>
          <w:sz w:val="26"/>
          <w:szCs w:val="26"/>
        </w:rPr>
        <w:t xml:space="preserve">4.1 The Inductive Fragility of Quantum Hardware</w:t>
      </w:r>
    </w:p>
    <w:p>
      <w:pPr>
        <w:spacing w:before="120" w:after="120" w:line="300"/>
        <w:jc w:val="left"/>
      </w:pPr>
      <w:r>
        <w:rPr>
          <w:rFonts w:ascii="Arial" w:cs="Arial" w:eastAsia="Arial" w:hAnsi="Arial"/>
          <w:color w:val="333333"/>
          <w:sz w:val="22"/>
          <w:szCs w:val="22"/>
        </w:rPr>
        <w:t xml:space="preserve">Most engineering is inductive: build, test, observe, iterate. Confidence accumulates empirically. This methodology is unusually weak in quantum computing, where foundational physical claims rest on indirect transport measurements that admit multiple interpretations.</w:t>
      </w:r>
    </w:p>
    <w:p>
      <w:pPr>
        <w:spacing w:before="120" w:after="120" w:line="300"/>
        <w:jc w:val="left"/>
      </w:pPr>
      <w:r>
        <w:rPr>
          <w:rFonts w:ascii="Arial" w:cs="Arial" w:eastAsia="Arial" w:hAnsi="Arial"/>
          <w:color w:val="333333"/>
          <w:sz w:val="22"/>
          <w:szCs w:val="22"/>
        </w:rPr>
        <w:t xml:space="preserve">The 2018 retraction of a high-profile Nature paper illustrates the structural risk. Researchers at Delft University of Technology and Microsoft reported a quantized conductance plateau at 2e²/h in hybrid superconducting-semiconducting nanowires, which they interpreted as definitive evidence for Majorana zero modes. Subsequent independent re-analysis revealed that the data processing involved unacknowledged omission of charge jumps and targeted selection of subsets that supported the theoretical predictions while discarding contradictory signals. A comprehensive recalibration shifted the reported plateau values by 8%, pushing them above the quantized threshold. When the raw data were replotted over the full parameter range — including ranges not shown in the original publication — the data fell significantly outside acceptable error margins. The independent expert evaluation found the experimental design acutely vulnerable to confirmation bias.</w:t>
      </w:r>
    </w:p>
    <w:p>
      <w:pPr>
        <w:spacing w:before="120" w:after="120" w:line="300"/>
        <w:jc w:val="left"/>
      </w:pPr>
      <w:r>
        <w:rPr>
          <w:rFonts w:ascii="Arial" w:cs="Arial" w:eastAsia="Arial" w:hAnsi="Arial"/>
          <w:color w:val="333333"/>
          <w:sz w:val="22"/>
          <w:szCs w:val="22"/>
        </w:rPr>
        <w:t xml:space="preserve">The underlying problem is structural, not limited to a single laboratory. Topological zero modes are not the exclusive source of zero-bias conductance peaks. Disordered semiconductor-superconductor hybrid nanowires routinely manifest trivial Andreev bound states that closely mimic Majorana quantization. These trivial peaks can reach or exceed the 2e²/h threshold without the system possessing any topological robustness. The diagnostic challenge is summarized in Table 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Diagnostic Feature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Topological Majorana Zero Mode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Trivial Andreev Bound State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Ontological Origin</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Global topological phase transition</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Local disorder, smooth confinement potentials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Conductance Peak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Strictly quantized at 2e²/h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Often ~2e²/h but unquantized, varies with tuning</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Magnetic Field Stability</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Robust across wide parameter ranges</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Sensitive to Zeeman field variations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Fano Factor (Low Bias)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Approaches zero (resonant tunneling)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Finite (cross-reflection)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Epistemological Status</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Requires deductive global proof</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Susceptible to inductive confirmation bias</w:t>
            </w:r>
          </w:p>
        </w:tc>
      </w:tr>
    </w:tbl>
    <w:p>
      <w:pPr>
        <w:spacing w:before="80" w:after="200"/>
      </w:pPr>
      <w:r>
        <w:rPr>
          <w:rFonts w:ascii="Arial" w:cs="Arial" w:eastAsia="Arial" w:hAnsi="Arial"/>
          <w:i/>
          <w:iCs/>
          <w:color w:val="666666"/>
          <w:sz w:val="20"/>
          <w:szCs w:val="20"/>
        </w:rPr>
        <w:t xml:space="preserve">Table 2: Comparative diagnostic signatures of Majorana zero modes versus trivial Andreev bound states.</w:t>
      </w:r>
    </w:p>
    <w:p>
      <w:pPr>
        <w:spacing w:before="320" w:after="160"/>
      </w:pPr>
      <w:r>
        <w:rPr>
          <w:rFonts w:ascii="Arial" w:cs="Arial" w:eastAsia="Arial" w:hAnsi="Arial"/>
          <w:b/>
          <w:bCs/>
          <w:color w:val="2E75B6"/>
          <w:sz w:val="26"/>
          <w:szCs w:val="26"/>
        </w:rPr>
        <w:t xml:space="preserve">4.2 The Persistent Ambiguity of Majorana 1</w:t>
      </w:r>
    </w:p>
    <w:p>
      <w:pPr>
        <w:spacing w:before="120" w:after="120" w:line="300"/>
        <w:jc w:val="left"/>
      </w:pPr>
      <w:r>
        <w:rPr>
          <w:rFonts w:ascii="Arial" w:cs="Arial" w:eastAsia="Arial" w:hAnsi="Arial"/>
          <w:color w:val="333333"/>
          <w:sz w:val="22"/>
          <w:szCs w:val="22"/>
        </w:rPr>
        <w:t xml:space="preserve">The epistemological vulnerabilities demonstrated in the 2018 retraction persist in recent hardware announcements. Microsoft’s February 2025 Majorana 1 unveiling generated intense scrutiny. Critics have identified that the Topological Gap Protocol used to verify the phase transition is sensitive to parameter selection — depending on the magnetic field range chosen for analysis, the same physical device can be classified as topologically gapped or trivially gapless. At the March 2025 American Physical Society meeting, while Z-basis measurements showed parity switching between even and odd states, X-basis parity measurements were described by attending experts as indistinguishable from random jitter or mesoscopic noise. The Wikipedia article on Majorana 1 notes that the publicly available demonstration does not test coherence of the two-level quantum system — a notable gap compared to other QPUs that demonstrate both coherent quantum information and coherent logical operations.</w:t>
      </w:r>
    </w:p>
    <w:p>
      <w:pPr>
        <w:spacing w:before="320" w:after="160"/>
      </w:pPr>
      <w:r>
        <w:rPr>
          <w:rFonts w:ascii="Arial" w:cs="Arial" w:eastAsia="Arial" w:hAnsi="Arial"/>
          <w:b/>
          <w:bCs/>
          <w:color w:val="2E75B6"/>
          <w:sz w:val="26"/>
          <w:szCs w:val="26"/>
        </w:rPr>
        <w:t xml:space="preserve">4.3 The Deductive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
              <w:bottom w:val="single" w:color="2E75B6" w:sz="1"/>
              <w:right w:val="single" w:color="2E75B6" w:sz="1"/>
            </w:tcBorders>
            <w:shd w:fill="D5E8F0" w:val="clear"/>
            <w:tcMar>
              <w:top w:type="dxa" w:w="160"/>
              <w:left w:type="dxa" w:w="240"/>
              <w:bottom w:type="dxa" w:w="160"/>
              <w:right w:type="dxa" w:w="240"/>
            </w:tcMar>
          </w:tcPr>
          <w:p>
            <w:pPr>
              <w:spacing w:before="0" w:after="80"/>
            </w:pPr>
            <w:r>
              <w:rPr>
                <w:rFonts w:ascii="Arial" w:cs="Arial" w:eastAsia="Arial" w:hAnsi="Arial"/>
                <w:b/>
                <w:bCs/>
                <w:color w:val="1B3A5C"/>
                <w:sz w:val="22"/>
                <w:szCs w:val="22"/>
              </w:rPr>
              <w:t xml:space="preserve">Core Proposition: Formal verification is a deductive approach to engineering.</w:t>
            </w:r>
          </w:p>
          <w:p>
            <w:pPr>
              <w:spacing w:before="0" w:after="0" w:line="300"/>
            </w:pPr>
            <w:r>
              <w:rPr>
                <w:rFonts w:ascii="Arial" w:cs="Arial" w:eastAsia="Arial" w:hAnsi="Arial"/>
                <w:color w:val="333333"/>
                <w:sz w:val="22"/>
                <w:szCs w:val="22"/>
              </w:rPr>
              <w:t xml:space="preserve">Rather than accumulating inductive confidence through empirical observation, formal verification starts from axioms and definitions, constructs chains of logically necessary implications, and arrives at conclusions that hold universally within the model. If the gap condition is satisfied, then topological protection follows — not probably, not in a particular sample, but necessarily.</w:t>
            </w:r>
          </w:p>
        </w:tc>
      </w:tr>
    </w:tbl>
    <w:p>
      <w:pPr>
        <w:spacing w:before="120" w:after="0"/>
      </w:pPr>
    </w:p>
    <w:p>
      <w:pPr>
        <w:spacing w:before="120" w:after="120" w:line="300"/>
        <w:jc w:val="left"/>
      </w:pPr>
      <w:r>
        <w:rPr>
          <w:rFonts w:ascii="Arial" w:cs="Arial" w:eastAsia="Arial" w:hAnsi="Arial"/>
          <w:color w:val="333333"/>
          <w:sz w:val="22"/>
          <w:szCs w:val="22"/>
        </w:rPr>
        <w:t xml:space="preserve">In a regime where you cannot directly observe the phenomena you are engineering around, a deductive backbone — a formally verified chain from algebraic structure to physical prediction — becomes the primary means of distinguishing real topological phases from measurement artifacts. This is not a theoretical luxury. It is the methodological complement to an experimental programme whose inductive track record includes a major retraction and ongoing disputes about the interpretation of its flagship results.</w:t>
      </w:r>
    </w:p>
    <w:p>
      <w:pPr>
        <w:spacing w:before="320" w:after="160"/>
      </w:pPr>
      <w:r>
        <w:rPr>
          <w:rFonts w:ascii="Arial" w:cs="Arial" w:eastAsia="Arial" w:hAnsi="Arial"/>
          <w:b/>
          <w:bCs/>
          <w:color w:val="2E75B6"/>
          <w:sz w:val="26"/>
          <w:szCs w:val="26"/>
        </w:rPr>
        <w:t xml:space="preserve">4.4 The Geometry of State as Proof of Concept</w:t>
      </w:r>
    </w:p>
    <w:p>
      <w:pPr>
        <w:spacing w:before="120" w:after="120" w:line="300"/>
        <w:jc w:val="left"/>
      </w:pPr>
      <w:r>
        <w:rPr>
          <w:rFonts w:ascii="Arial" w:cs="Arial" w:eastAsia="Arial" w:hAnsi="Arial"/>
          <w:color w:val="333333"/>
          <w:sz w:val="22"/>
          <w:szCs w:val="22"/>
        </w:rPr>
        <w:t xml:space="preserve">The Geometry of State repository (github.com/GoS-Architect) demonstrates this methodology at small scale in Lean 4. The formalization chain proceeds from Clifford algebra construction — building on Mathlib’s existing CliffordAlgebra infrastructure — through gamma matrix representation, spectral gap conditions, and Majorana edge mode existence. Seven theorems, zero external axioms taken on faith, zero incomplete proofs.</w:t>
      </w:r>
    </w:p>
    <w:p>
      <w:pPr>
        <w:spacing w:before="120" w:after="120" w:line="300"/>
        <w:jc w:val="left"/>
      </w:pPr>
      <w:r>
        <w:rPr>
          <w:rFonts w:ascii="Arial" w:cs="Arial" w:eastAsia="Arial" w:hAnsi="Arial"/>
          <w:color w:val="333333"/>
          <w:sz w:val="22"/>
          <w:szCs w:val="22"/>
        </w:rPr>
        <w:t xml:space="preserve">The scope of this formalization should be stated precisely. It covers the algebraic structure from Clifford generators through the spectral gap condition to edge mode existence in the idealized Kitaev chain setting. It does not yet cover device physics (disorder models, spin-orbit coupling in 2D heterostructures), measurement theory (the mapping from parity observables to interferometric readout), or quantum error correction protocols. These are genuine extensions of the formalization programme, not claimed accomplishments. What the current chain establishes is the mathematical backbone: the conditions under which topological protection necessarily holds within the algebraic model.</w:t>
      </w:r>
    </w:p>
    <w:p>
      <w:pPr>
        <w:spacing w:before="120" w:after="120" w:line="300"/>
        <w:jc w:val="left"/>
      </w:pPr>
      <w:r>
        <w:rPr>
          <w:rFonts w:ascii="Arial" w:cs="Arial" w:eastAsia="Arial" w:hAnsi="Arial"/>
          <w:color w:val="333333"/>
          <w:sz w:val="22"/>
          <w:szCs w:val="22"/>
        </w:rPr>
        <w:t xml:space="preserve">The choice of Lean 4 specifically reflects both technical and strategic considerations. Lean’s dependent type system provides the expressiveness needed for physics formalizations. Mathlib’s existing Clifford algebra library (formalized by Wieser and Song) provides foundations to build on rather than reinvent. And Microsoft’s own institutional investment in Lean 4 — including SymCrypt cryptographic verification via Aeneas — creates natural alignment between the proof assistant and the hardware vendor whose claims are under examination. Critically, the verification methodology is not specific to Microsoft’s topological approach. Clifford algebra and spectral theory are implementation-agnostic; the same formalization framework transfers to superconducting, trapped-ion, or any architecture where the underlying physics involves quantum many-body Hamiltonians.</w:t>
      </w:r>
    </w:p>
    <w:p>
      <w:pPr>
        <w:pBdr>
          <w:bottom w:val="single" w:color="2E75B6" w:sz="6" w:space="8"/>
        </w:pBdr>
        <w:spacing w:before="400" w:after="200"/>
      </w:pPr>
      <w:r>
        <w:rPr>
          <w:rFonts w:ascii="Arial" w:cs="Arial" w:eastAsia="Arial" w:hAnsi="Arial"/>
          <w:b/>
          <w:bCs/>
          <w:color w:val="1B3A5C"/>
          <w:sz w:val="32"/>
          <w:szCs w:val="32"/>
        </w:rPr>
        <w:t xml:space="preserve">5. The TAS Dialectic: Thesis, Antithesis, Synthesis</w:t>
      </w:r>
    </w:p>
    <w:p>
      <w:pPr>
        <w:spacing w:before="320" w:after="160"/>
      </w:pPr>
      <w:r>
        <w:rPr>
          <w:rFonts w:ascii="Arial" w:cs="Arial" w:eastAsia="Arial" w:hAnsi="Arial"/>
          <w:b/>
          <w:bCs/>
          <w:color w:val="2E75B6"/>
          <w:sz w:val="26"/>
          <w:szCs w:val="26"/>
        </w:rPr>
        <w:t xml:space="preserve">5.1 Simulation as Thesis</w:t>
      </w:r>
    </w:p>
    <w:p>
      <w:pPr>
        <w:spacing w:before="120" w:after="120" w:line="300"/>
        <w:jc w:val="left"/>
      </w:pPr>
      <w:r>
        <w:rPr>
          <w:rFonts w:ascii="Arial" w:cs="Arial" w:eastAsia="Arial" w:hAnsi="Arial"/>
          <w:color w:val="333333"/>
          <w:sz w:val="22"/>
          <w:szCs w:val="22"/>
        </w:rPr>
        <w:t xml:space="preserve">The standard development workflow in computational physics begins with simulation. A researcher writes a program that computes a quantity of interest — the spectral gap of a Hamiltonian, the band structure of a candidate material, the confinement properties of a plasma configuration. The simulation runs, produces numbers, and looks plausible. It embodies implicit mathematical assumptions about the algebra, the metric signature, the boundary conditions — but those assumptions live in the programmer’s head, not in the code. The code performs floating-point arithmetic. It does not know what it is computing or why.</w:t>
      </w:r>
    </w:p>
    <w:p>
      <w:pPr>
        <w:spacing w:before="320" w:after="160"/>
      </w:pPr>
      <w:r>
        <w:rPr>
          <w:rFonts w:ascii="Arial" w:cs="Arial" w:eastAsia="Arial" w:hAnsi="Arial"/>
          <w:b/>
          <w:bCs/>
          <w:color w:val="2E75B6"/>
          <w:sz w:val="26"/>
          <w:szCs w:val="26"/>
        </w:rPr>
        <w:t xml:space="preserve">5.2 The Type Checker as Antithesis</w:t>
      </w:r>
    </w:p>
    <w:p>
      <w:pPr>
        <w:spacing w:before="120" w:after="120" w:line="300"/>
        <w:jc w:val="left"/>
      </w:pPr>
      <w:r>
        <w:rPr>
          <w:rFonts w:ascii="Arial" w:cs="Arial" w:eastAsia="Arial" w:hAnsi="Arial"/>
          <w:color w:val="333333"/>
          <w:sz w:val="22"/>
          <w:szCs w:val="22"/>
        </w:rPr>
        <w:t xml:space="preserve">When the same claim is formalized in a dependently typed proof assistant such as Lean 4, the type system forces every assumption to become explicit. And critically, when the type checker rejects a proof attempt, that rejection is not a bug to be worked around — it is the antithesis. It is the system identifying, with mechanical precision, the exact point where the mathematical structure assumed by the simulation does not follow from the stated premises.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
              <w:bottom w:val="single" w:color="2E75B6" w:sz="1"/>
              <w:right w:val="single" w:color="2E75B6" w:sz="1"/>
            </w:tcBorders>
            <w:shd w:fill="D5E8F0" w:val="clear"/>
            <w:tcMar>
              <w:top w:type="dxa" w:w="160"/>
              <w:left w:type="dxa" w:w="240"/>
              <w:bottom w:type="dxa" w:w="160"/>
              <w:right w:type="dxa" w:w="240"/>
            </w:tcMar>
          </w:tcPr>
          <w:p>
            <w:pPr>
              <w:spacing w:before="0" w:after="80"/>
            </w:pPr>
            <w:r>
              <w:rPr>
                <w:rFonts w:ascii="Arial" w:cs="Arial" w:eastAsia="Arial" w:hAnsi="Arial"/>
                <w:b/>
                <w:bCs/>
                <w:color w:val="1B3A5C"/>
                <w:sz w:val="22"/>
                <w:szCs w:val="22"/>
              </w:rPr>
              <w:t xml:space="preserve">The Type Error as Honest Signal</w:t>
            </w:r>
          </w:p>
          <w:p>
            <w:pPr>
              <w:spacing w:before="0" w:after="0" w:line="300"/>
            </w:pPr>
            <w:r>
              <w:rPr>
                <w:rFonts w:ascii="Arial" w:cs="Arial" w:eastAsia="Arial" w:hAnsi="Arial"/>
                <w:color w:val="333333"/>
                <w:sz w:val="22"/>
                <w:szCs w:val="22"/>
              </w:rPr>
              <w:t xml:space="preserve">A type error in a proof assistant is the most epistemically reliable signal in the entire pipeline. Unlike an experimental measurement that admits multiple interpretations, or a simulation result that depends on hidden assumptions, a type error is a deductive contradiction. It cannot be wrong about what it is telling you: the proposed proof does not follow from the given axioms.</w:t>
            </w:r>
          </w:p>
        </w:tc>
      </w:tr>
    </w:tbl>
    <w:p>
      <w:pPr>
        <w:spacing w:before="120" w:after="0"/>
      </w:pPr>
    </w:p>
    <w:p>
      <w:pPr>
        <w:spacing w:before="120" w:after="120" w:line="300"/>
        <w:jc w:val="left"/>
      </w:pPr>
      <w:r>
        <w:rPr>
          <w:rFonts w:ascii="Arial" w:cs="Arial" w:eastAsia="Arial" w:hAnsi="Arial"/>
          <w:color w:val="333333"/>
          <w:sz w:val="22"/>
          <w:szCs w:val="22"/>
        </w:rPr>
        <w:t xml:space="preserve">This is what distinguishes the TAS dialectic from ordinary debugging. When a simulation produces an unexpected result, the developer adjusts parameters until the output looks right. The reasoning remains opaque. When a type checker rejects a formalization, it produces a structured error that localizes the failure to a specific proposition, identifies which terms have incompatible types, and makes the hidden assumption visible and nameable.</w:t>
      </w:r>
    </w:p>
    <w:p>
      <w:pPr>
        <w:spacing w:before="320" w:after="160"/>
      </w:pPr>
      <w:r>
        <w:rPr>
          <w:rFonts w:ascii="Arial" w:cs="Arial" w:eastAsia="Arial" w:hAnsi="Arial"/>
          <w:b/>
          <w:bCs/>
          <w:color w:val="2E75B6"/>
          <w:sz w:val="26"/>
          <w:szCs w:val="26"/>
        </w:rPr>
        <w:t xml:space="preserve">5.3 Synthesis and Iteration</w:t>
      </w:r>
    </w:p>
    <w:p>
      <w:pPr>
        <w:spacing w:before="120" w:after="120" w:line="300"/>
        <w:jc w:val="left"/>
      </w:pPr>
      <w:r>
        <w:rPr>
          <w:rFonts w:ascii="Arial" w:cs="Arial" w:eastAsia="Arial" w:hAnsi="Arial"/>
          <w:color w:val="333333"/>
          <w:sz w:val="22"/>
          <w:szCs w:val="22"/>
        </w:rPr>
        <w:t xml:space="preserve">The synthesis is the simultaneous refinement of both programs. The type error reveals a hidden assumption in the simulation, which the developer then either justifies formally — adding it as an explicit axiom with stated consequences — or removes, recognizing it was smuggled in without warrant. The simulation becomes tighter because its assumptions are now explicit. The proof becomes tighter because it covers exactly the territory the simulation occupies. The gap between them becomes visible, measurable, and progressively smaller.</w:t>
      </w:r>
    </w:p>
    <w:p>
      <w:pPr>
        <w:spacing w:before="120" w:after="120" w:line="300"/>
        <w:jc w:val="left"/>
      </w:pPr>
      <w:r>
        <w:rPr>
          <w:rFonts w:ascii="Arial" w:cs="Arial" w:eastAsia="Arial" w:hAnsi="Arial"/>
          <w:color w:val="333333"/>
          <w:sz w:val="22"/>
          <w:szCs w:val="22"/>
        </w:rPr>
        <w:t xml:space="preserve">Each synthesis generates a new thesis. The refined simulation is formalized again. The type checker finds the next hidden assumption. The loop iterates, converging toward a state where the simulation computes exactly what the proof guarantees and nothing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C45B28" w:sz="12"/>
              <w:bottom w:val="single" w:color="2E75B6" w:sz="1"/>
              <w:right w:val="single" w:color="2E75B6" w:sz="1"/>
            </w:tcBorders>
            <w:shd w:fill="FDF6F0" w:val="clear"/>
            <w:tcMar>
              <w:top w:type="dxa" w:w="160"/>
              <w:left w:type="dxa" w:w="240"/>
              <w:bottom w:type="dxa" w:w="160"/>
              <w:right w:type="dxa" w:w="240"/>
            </w:tcMar>
          </w:tcPr>
          <w:p>
            <w:pPr>
              <w:spacing w:before="0" w:after="0" w:line="300"/>
            </w:pPr>
            <w:r>
              <w:rPr>
                <w:rFonts w:ascii="Arial" w:cs="Arial" w:eastAsia="Arial" w:hAnsi="Arial"/>
                <w:i/>
                <w:iCs/>
                <w:color w:val="333333"/>
                <w:sz w:val="22"/>
                <w:szCs w:val="22"/>
              </w:rPr>
              <w:t xml:space="preserve">The Geometry of State workflow demonstrated this concretely. Initial frameworks using HoTT, Geometric Algebra, Sheaf Theory, and Constructor Theory as organizational metaphors could not survive formalization in Lean 4 — the type checker rejected them because the concepts lacked operational definitions. This was not a failure of formalization; it was the antithesis doing its job, surfacing the fact that simulation-level intuitions did not have mathematical content behind them. The synthesis was distillation to the surviving concepts: Clifford algebra, spectral gap, Majorana edge modes — the structures that could be typed.</w:t>
            </w:r>
          </w:p>
        </w:tc>
      </w:tr>
    </w:tbl>
    <w:p>
      <w:pPr>
        <w:pBdr>
          <w:bottom w:val="single" w:color="2E75B6" w:sz="6" w:space="8"/>
        </w:pBdr>
        <w:spacing w:before="400" w:after="200"/>
      </w:pPr>
      <w:r>
        <w:rPr>
          <w:rFonts w:ascii="Arial" w:cs="Arial" w:eastAsia="Arial" w:hAnsi="Arial"/>
          <w:b/>
          <w:bCs/>
          <w:color w:val="1B3A5C"/>
          <w:sz w:val="32"/>
          <w:szCs w:val="32"/>
        </w:rPr>
        <w:t xml:space="preserve">6. Structural Explainability: The XAI Dimension</w:t>
      </w:r>
    </w:p>
    <w:p>
      <w:pPr>
        <w:spacing w:before="320" w:after="160"/>
      </w:pPr>
      <w:r>
        <w:rPr>
          <w:rFonts w:ascii="Arial" w:cs="Arial" w:eastAsia="Arial" w:hAnsi="Arial"/>
          <w:b/>
          <w:bCs/>
          <w:color w:val="2E75B6"/>
          <w:sz w:val="26"/>
          <w:szCs w:val="26"/>
        </w:rPr>
        <w:t xml:space="preserve">6.1 The Limitations of Post-Hoc Interpretability</w:t>
      </w:r>
    </w:p>
    <w:p>
      <w:pPr>
        <w:spacing w:before="120" w:after="120" w:line="300"/>
        <w:jc w:val="left"/>
      </w:pPr>
      <w:r>
        <w:rPr>
          <w:rFonts w:ascii="Arial" w:cs="Arial" w:eastAsia="Arial" w:hAnsi="Arial"/>
          <w:color w:val="333333"/>
          <w:sz w:val="22"/>
          <w:szCs w:val="22"/>
        </w:rPr>
        <w:t xml:space="preserve">Current explainable AI research predominantly relies on post-hoc interpretability methods: attention visualization, SHAP values, saliency maps, Grad-CAM, LIME. These approaches examine what an opaque model did and attempt to reconstruct why it did it. The explanations are approximate, frequently misleading, and fundamentally inductive. Systematic empirical evaluations using the Prediction-Saliency Correlation metric reveal that standard saliency maps exhibit extreme sensitivity to subtle perturbations, often scoring a PSC of 0.12 or below. In numerous instances, post-hoc explanations misrepresent the true predictive mechanisms of the underlying model.</w:t>
      </w:r>
    </w:p>
    <w:p>
      <w:pPr>
        <w:spacing w:before="120" w:after="120" w:line="300"/>
        <w:jc w:val="left"/>
      </w:pPr>
      <w:r>
        <w:rPr>
          <w:rFonts w:ascii="Arial" w:cs="Arial" w:eastAsia="Arial" w:hAnsi="Arial"/>
          <w:color w:val="333333"/>
          <w:sz w:val="22"/>
          <w:szCs w:val="22"/>
        </w:rPr>
        <w:t xml:space="preserve">This is a structural problem, not a technical one. Post-hoc interpretability is bolted onto systems that were not designed to be interpretable. The explanation is always a secondary artifact, disconnected from the computational process that produced the output.</w:t>
      </w:r>
    </w:p>
    <w:p>
      <w:pPr>
        <w:spacing w:before="320" w:after="160"/>
      </w:pPr>
      <w:r>
        <w:rPr>
          <w:rFonts w:ascii="Arial" w:cs="Arial" w:eastAsia="Arial" w:hAnsi="Arial"/>
          <w:b/>
          <w:bCs/>
          <w:color w:val="2E75B6"/>
          <w:sz w:val="26"/>
          <w:szCs w:val="26"/>
        </w:rPr>
        <w:t xml:space="preserve">6.2 Verification-by-Construction as Structural XAI</w:t>
      </w:r>
    </w:p>
    <w:p>
      <w:pPr>
        <w:spacing w:before="120" w:after="120" w:line="300"/>
        <w:jc w:val="left"/>
      </w:pPr>
      <w:r>
        <w:rPr>
          <w:rFonts w:ascii="Arial" w:cs="Arial" w:eastAsia="Arial" w:hAnsi="Arial"/>
          <w:color w:val="333333"/>
          <w:sz w:val="22"/>
          <w:szCs w:val="22"/>
        </w:rPr>
        <w:t xml:space="preserve">The TAS dialectic produces something that most XAI research is attempting to achieve through much weaker methods: a mechanically verifiable reasoning trace. When an AI system participates in the proof development cycle — generating proof terms, proposing lemma structures, suggesting formalization strategies — its contributions are not explained after the fact. They are checked at the point of generation by a type system that either accepts or rejects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
              <w:bottom w:val="single" w:color="2E75B6" w:sz="1"/>
              <w:right w:val="single" w:color="2E75B6" w:sz="1"/>
            </w:tcBorders>
            <w:shd w:fill="D5E8F0" w:val="clear"/>
            <w:tcMar>
              <w:top w:type="dxa" w:w="160"/>
              <w:left w:type="dxa" w:w="240"/>
              <w:bottom w:type="dxa" w:w="160"/>
              <w:right w:type="dxa" w:w="240"/>
            </w:tcMar>
          </w:tcPr>
          <w:p>
            <w:pPr>
              <w:spacing w:before="0" w:after="80"/>
            </w:pPr>
            <w:r>
              <w:rPr>
                <w:rFonts w:ascii="Arial" w:cs="Arial" w:eastAsia="Arial" w:hAnsi="Arial"/>
                <w:b/>
                <w:bCs/>
                <w:color w:val="1B3A5C"/>
                <w:sz w:val="22"/>
                <w:szCs w:val="22"/>
              </w:rPr>
              <w:t xml:space="preserve">Explainability by Construction</w:t>
            </w:r>
          </w:p>
          <w:p>
            <w:pPr>
              <w:spacing w:before="0" w:after="0" w:line="300"/>
            </w:pPr>
            <w:r>
              <w:rPr>
                <w:rFonts w:ascii="Arial" w:cs="Arial" w:eastAsia="Arial" w:hAnsi="Arial"/>
                <w:color w:val="333333"/>
                <w:sz w:val="22"/>
                <w:szCs w:val="22"/>
              </w:rPr>
              <w:t xml:space="preserve">The Lean 4 kernel does not care whether a proof term was generated by a human, a large language model, or a random process. It checks the same logical structure regardless. If the output type-checks, the explanation is the proof itself. If it does not, the type error is the explanation of exactly where and why the reasoning fails.</w:t>
            </w:r>
          </w:p>
        </w:tc>
      </w:tr>
    </w:tbl>
    <w:p>
      <w:pPr>
        <w:spacing w:before="120" w:after="0"/>
      </w:pPr>
    </w:p>
    <w:p>
      <w:pPr>
        <w:spacing w:before="120" w:after="120" w:line="300"/>
        <w:jc w:val="left"/>
      </w:pPr>
      <w:r>
        <w:rPr>
          <w:rFonts w:ascii="Arial" w:cs="Arial" w:eastAsia="Arial" w:hAnsi="Arial"/>
          <w:color w:val="333333"/>
          <w:sz w:val="22"/>
          <w:szCs w:val="22"/>
        </w:rPr>
        <w:t xml:space="preserve">This has implications for AI safety that extend beyond interpretability. The current paradigm for trusting AI systems is empirical evaluation — benchmarks, red-teaming, reinforcement learning from human feedback. These are inductive methods. Formal verification applied to AI-generated reasoning offers something categorically different: deductive guarantees that certain properties hold universally within the model, not just on the test set.</w:t>
      </w:r>
    </w:p>
    <w:p>
      <w:pPr>
        <w:spacing w:before="320" w:after="160"/>
      </w:pPr>
      <w:r>
        <w:rPr>
          <w:rFonts w:ascii="Arial" w:cs="Arial" w:eastAsia="Arial" w:hAnsi="Arial"/>
          <w:b/>
          <w:bCs/>
          <w:color w:val="2E75B6"/>
          <w:sz w:val="26"/>
          <w:szCs w:val="26"/>
        </w:rPr>
        <w:t xml:space="preserve">6.3 Case Example and Scope Boundaries</w:t>
      </w:r>
    </w:p>
    <w:p>
      <w:pPr>
        <w:spacing w:before="120" w:after="120" w:line="300"/>
        <w:jc w:val="left"/>
      </w:pPr>
      <w:r>
        <w:rPr>
          <w:rFonts w:ascii="Arial" w:cs="Arial" w:eastAsia="Arial" w:hAnsi="Arial"/>
          <w:color w:val="333333"/>
          <w:sz w:val="22"/>
          <w:szCs w:val="22"/>
        </w:rPr>
        <w:t xml:space="preserve">During the development of the Geometry of State formalization, Claude generated Lean 4 code that conflated a trivial record equality with the Univalence Axiom — a fundamental error produced by pattern-matching on structural similarity without understanding the mathematical content. Within the TAS loop, the type system caught the error mechanically. The episode is inspectable by anyone reading the conversation history or commit log.</w:t>
      </w:r>
    </w:p>
    <w:p>
      <w:pPr>
        <w:spacing w:before="120" w:after="120" w:line="300"/>
        <w:jc w:val="left"/>
      </w:pPr>
      <w:r>
        <w:rPr>
          <w:rFonts w:ascii="Arial" w:cs="Arial" w:eastAsia="Arial" w:hAnsi="Arial"/>
          <w:color w:val="333333"/>
          <w:sz w:val="22"/>
          <w:szCs w:val="22"/>
        </w:rPr>
        <w:t xml:space="preserve">The scope boundary of structural XAI should be stated precisely. This methodology applies to AI outputs that can be expressed as formal claims checkable by an independent verifier — proof terms, logical propositions, mathematical structures. It does not apply directly to most AI-generated content (natural language, images, open-ended decisions). This is a narrower but categorically stronger guarantee than post-hoc methods provide within their domain. Structural XAI is complementary to mechanistic interpretability research (pursued at Anthropic, DeepMind, and elsewhere), not a replacement. Mechanistic interpretability asks what happens inside the network; structural XAI certifies what comes out. Both are valuable; the document claims only the latter.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Verification Method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Mechanism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Epistemological Status</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Robustness</w:t>
            </w:r>
          </w:p>
        </w:tc>
      </w:tr>
      <w:tr>
        <w:tc>
          <w:tcPr>
            <w:tcW w:type="dxa" w:w="2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Post-Hoc XAI (SHAP, Saliency)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Retrospective feature highlighting</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Inductive, proxy-based</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Weak (PSC ≤ 0.12)</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Code Coverage (DO-254)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Statistical execution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Empirical, bounded by test cases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Moderate (misses deep logic bugs)</w:t>
            </w:r>
          </w:p>
        </w:tc>
      </w:tr>
      <w:tr>
        <w:tc>
          <w:tcPr>
            <w:tcW w:type="dxa" w:w="2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Structural XAI (Neurosymbolic)</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Logic rules integrated into learning</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Deductive, explainable by design</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High (constrained outputs)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Interactive Theorem Proving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Formal type-checking against axioms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Deterministic proof</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60"/>
            </w:pPr>
            <w:r>
              <w:rPr>
                <w:rFonts w:ascii="Arial" w:cs="Arial" w:eastAsia="Arial" w:hAnsi="Arial"/>
                <w:color w:val="333333"/>
                <w:sz w:val="20"/>
                <w:szCs w:val="20"/>
              </w:rPr>
              <w:t xml:space="preserve">Strongest (mechanically verified)</w:t>
            </w:r>
          </w:p>
        </w:tc>
      </w:tr>
    </w:tbl>
    <w:p>
      <w:pPr>
        <w:spacing w:before="80" w:after="200"/>
      </w:pPr>
      <w:r>
        <w:rPr>
          <w:rFonts w:ascii="Arial" w:cs="Arial" w:eastAsia="Arial" w:hAnsi="Arial"/>
          <w:i/>
          <w:iCs/>
          <w:color w:val="666666"/>
          <w:sz w:val="20"/>
          <w:szCs w:val="20"/>
        </w:rPr>
        <w:t xml:space="preserve">Table 3: Comparative robustness of AI and hardware verification paradigms.</w:t>
      </w:r>
    </w:p>
    <w:p>
      <w:pPr>
        <w:pBdr>
          <w:bottom w:val="single" w:color="2E75B6" w:sz="6" w:space="8"/>
        </w:pBdr>
        <w:spacing w:before="400" w:after="200"/>
      </w:pPr>
      <w:r>
        <w:rPr>
          <w:rFonts w:ascii="Arial" w:cs="Arial" w:eastAsia="Arial" w:hAnsi="Arial"/>
          <w:b/>
          <w:bCs/>
          <w:color w:val="1B3A5C"/>
          <w:sz w:val="32"/>
          <w:szCs w:val="32"/>
        </w:rPr>
        <w:t xml:space="preserve">7. Red Team / Blue Team: Adversarial Verification Protocols</w:t>
      </w:r>
    </w:p>
    <w:p>
      <w:pPr>
        <w:spacing w:before="320" w:after="160"/>
      </w:pPr>
      <w:r>
        <w:rPr>
          <w:rFonts w:ascii="Arial" w:cs="Arial" w:eastAsia="Arial" w:hAnsi="Arial"/>
          <w:b/>
          <w:bCs/>
          <w:color w:val="2E75B6"/>
          <w:sz w:val="26"/>
          <w:szCs w:val="26"/>
        </w:rPr>
        <w:t xml:space="preserve">7.1 The Majorana Verification Crisis as Motivating Case</w:t>
      </w:r>
    </w:p>
    <w:p>
      <w:pPr>
        <w:spacing w:before="120" w:after="120" w:line="300"/>
        <w:jc w:val="left"/>
      </w:pPr>
      <w:r>
        <w:rPr>
          <w:rFonts w:ascii="Arial" w:cs="Arial" w:eastAsia="Arial" w:hAnsi="Arial"/>
          <w:color w:val="333333"/>
          <w:sz w:val="22"/>
          <w:szCs w:val="22"/>
        </w:rPr>
        <w:t xml:space="preserve">The quantum computing field currently lacks any structured adversarial verification protocol for its foundational physical claims. Microsoft publishes experimental results in Nature. Independent researchers express skepticism in peer review and on preprint servers. The debate proceeds through qualitative arguments about whether observed signals are consistent with Majorana zero modes or with trivial alternatives. There is no formal mechanism for producing a decisive resolution.</w:t>
      </w:r>
    </w:p>
    <w:p>
      <w:pPr>
        <w:spacing w:before="120" w:after="120" w:line="300"/>
        <w:jc w:val="left"/>
      </w:pPr>
      <w:r>
        <w:rPr>
          <w:rFonts w:ascii="Arial" w:cs="Arial" w:eastAsia="Arial" w:hAnsi="Arial"/>
          <w:color w:val="333333"/>
          <w:sz w:val="22"/>
          <w:szCs w:val="22"/>
        </w:rPr>
        <w:t xml:space="preserve">A red team / blue team protocol applied to the Majorana question would operate differently. The blue team would formalize the complete argument: from the algebraic structure of topological superconductivity, through the conditions under which Majorana zero modes exist, to the predicted experimental signatures. The red team would attempt to construct formal proofs that topologically trivial systems — Andreev bound states, disorder-induced zero-bias conductance peaks — produce identical signatures under the same measurement conditions. If the red team succeeds, the blue team must either strengthen their distinguishing criteria or acknowledge that current experiments cannot differentiate the two cases. If the red team fails, the formal distinction is established deductively.</w:t>
      </w:r>
    </w:p>
    <w:p>
      <w:pPr>
        <w:spacing w:before="120" w:after="120" w:line="300"/>
        <w:jc w:val="left"/>
      </w:pPr>
      <w:r>
        <w:rPr>
          <w:rFonts w:ascii="Arial" w:cs="Arial" w:eastAsia="Arial" w:hAnsi="Arial"/>
          <w:color w:val="333333"/>
          <w:sz w:val="22"/>
          <w:szCs w:val="22"/>
        </w:rPr>
        <w:t xml:space="preserve">The 2018 retraction illustrates what this protocol would have caught. A formal proof that the quantized conductance signature uniquely identifies Majorana zero modes would have required specifying the conditions under which trivial explanations are excluded. That proof would have failed — because smooth potential variations and local impurities induce quasi-Majorana bound states that produce the same conductance signature. The failure would have made the ambiguity visible before publication, not after.</w:t>
      </w:r>
    </w:p>
    <w:p>
      <w:pPr>
        <w:spacing w:before="320" w:after="160"/>
      </w:pPr>
      <w:r>
        <w:rPr>
          <w:rFonts w:ascii="Arial" w:cs="Arial" w:eastAsia="Arial" w:hAnsi="Arial"/>
          <w:b/>
          <w:bCs/>
          <w:color w:val="2E75B6"/>
          <w:sz w:val="26"/>
          <w:szCs w:val="26"/>
        </w:rPr>
        <w:t xml:space="preserve">7.2 The Framework: Roles and Rules of Engagement</w:t>
      </w:r>
    </w:p>
    <w:p>
      <w:pPr>
        <w:spacing w:before="120" w:after="120" w:line="300"/>
        <w:jc w:val="left"/>
      </w:pPr>
      <w:r>
        <w:rPr>
          <w:rFonts w:ascii="Arial" w:cs="Arial" w:eastAsia="Arial" w:hAnsi="Arial"/>
          <w:color w:val="333333"/>
          <w:sz w:val="22"/>
          <w:szCs w:val="22"/>
        </w:rPr>
        <w:t xml:space="preserve">In cybersecurity, the red team / blue team framework formalizes an adversarial relationship with shared rules of engagement and transparent results. The red team produces a reproducible exploit. The blue team demonstrates that the specific attack vector is closed. Both operate within standardized protocols — MITRE ATT&amp;CK, penetration testing standards, CVE disclosure. The formal verification pipeline maps onto this structure with high fidelity.</w:t>
      </w:r>
    </w:p>
    <w:p>
      <w:pPr>
        <w:spacing w:before="120" w:after="120" w:line="300"/>
        <w:jc w:val="left"/>
      </w:pPr>
      <w:r>
        <w:rPr>
          <w:rFonts w:ascii="Arial" w:cs="Arial" w:eastAsia="Arial" w:hAnsi="Arial"/>
          <w:color w:val="333333"/>
          <w:sz w:val="22"/>
          <w:szCs w:val="22"/>
        </w:rPr>
        <w:t xml:space="preserve">The blue team comprises the constructive elements: numerical simulations, AI-assisted hypothesis generation, proof construction in Lean 4, and experimental design that translates formal requirements into measurement protocols. The red team comprises the adversarial elements: the type checker itself, independent formalization from different axiomatic starting points, adversarial simulation that deliberately targets parameter regimes where topological protection should fail, and systematic search for trivial explanations that reproduce claimed experimental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
              <w:bottom w:val="single" w:color="2E75B6" w:sz="1"/>
              <w:right w:val="single" w:color="2E75B6" w:sz="1"/>
            </w:tcBorders>
            <w:shd w:fill="D5E8F0" w:val="clear"/>
            <w:tcMar>
              <w:top w:type="dxa" w:w="160"/>
              <w:left w:type="dxa" w:w="240"/>
              <w:bottom w:type="dxa" w:w="160"/>
              <w:right w:type="dxa" w:w="240"/>
            </w:tcMar>
          </w:tcPr>
          <w:p>
            <w:pPr>
              <w:spacing w:before="0" w:after="80"/>
            </w:pPr>
            <w:r>
              <w:rPr>
                <w:rFonts w:ascii="Arial" w:cs="Arial" w:eastAsia="Arial" w:hAnsi="Arial"/>
                <w:b/>
                <w:bCs/>
                <w:color w:val="1B3A5C"/>
                <w:sz w:val="22"/>
                <w:szCs w:val="22"/>
              </w:rPr>
              <w:t xml:space="preserve">The Red Team’s Exploit is a Type Error</w:t>
            </w:r>
          </w:p>
          <w:p>
            <w:pPr>
              <w:spacing w:before="0" w:after="0" w:line="300"/>
            </w:pPr>
            <w:r>
              <w:rPr>
                <w:rFonts w:ascii="Arial" w:cs="Arial" w:eastAsia="Arial" w:hAnsi="Arial"/>
                <w:color w:val="333333"/>
                <w:sz w:val="22"/>
                <w:szCs w:val="22"/>
              </w:rPr>
              <w:t xml:space="preserve">Just as a security red team produces a reproducible exploit demonstrating a specific vulnerability, the verification red team produces a type error or formal counterexample demonstrating a specific gap in the formal argument. The exploit is not an opinion — it is a mechanically checkable demonstration that the blue team’s construction fails at a precisely identified point.</w:t>
            </w:r>
          </w:p>
        </w:tc>
      </w:tr>
    </w:tbl>
    <w:p>
      <w:pPr>
        <w:spacing w:before="120" w:after="0"/>
      </w:pPr>
    </w:p>
    <w:p>
      <w:pPr>
        <w:spacing w:before="320" w:after="160"/>
      </w:pPr>
      <w:r>
        <w:rPr>
          <w:rFonts w:ascii="Arial" w:cs="Arial" w:eastAsia="Arial" w:hAnsi="Arial"/>
          <w:b/>
          <w:bCs/>
          <w:color w:val="2E75B6"/>
          <w:sz w:val="26"/>
          <w:szCs w:val="26"/>
        </w:rPr>
        <w:t xml:space="preserve">7.3 Aerospace Precedent: DO-254 and Flight-Critical Verification</w:t>
      </w:r>
    </w:p>
    <w:p>
      <w:pPr>
        <w:spacing w:before="120" w:after="120" w:line="300"/>
        <w:jc w:val="left"/>
      </w:pPr>
      <w:r>
        <w:rPr>
          <w:rFonts w:ascii="Arial" w:cs="Arial" w:eastAsia="Arial" w:hAnsi="Arial"/>
          <w:color w:val="333333"/>
          <w:sz w:val="22"/>
          <w:szCs w:val="22"/>
        </w:rPr>
        <w:t xml:space="preserve">The most operationally relevant precedent for quantum hardware verification comes from aerospace, not cybersecurity. Flight-critical avionics systems — fly-by-wire controls, redundant processors — require deterministic reliability under physical hardware failures. The primary threat to such systems is the Single Event Upset: bit flips caused by ionizing radiation striking silicon. This is the precise macroscopic analogue to gamma-ray-induced quasiparticle poisoning in a topological qubit operating inside a dilution refrigerator.</w:t>
      </w:r>
    </w:p>
    <w:p>
      <w:pPr>
        <w:spacing w:before="120" w:after="120" w:line="300"/>
        <w:jc w:val="left"/>
      </w:pPr>
      <w:r>
        <w:rPr>
          <w:rFonts w:ascii="Arial" w:cs="Arial" w:eastAsia="Arial" w:hAnsi="Arial"/>
          <w:color w:val="333333"/>
          <w:sz w:val="22"/>
          <w:szCs w:val="22"/>
        </w:rPr>
        <w:t xml:space="preserve">The aerospace industry learned decades ago that hardware-in-the-loop testing is insufficient for guaranteeing fault coverage across millions of logic gates. The industry standard RTCA/DO-254 explicitly requires rigorous verification coverage for complex electronic hardware, and historical data shows that conventional coverage metrics identify less than 4% of deep, structurally embedded logic bugs. The aviation industry therefore pioneered the use of mechanical theorem provers to formally verify microprocessor logic — ensuring that fault-tolerant instructions are mathematically guaranteed to execute correctly under predefined hardware failures.</w:t>
      </w:r>
    </w:p>
    <w:p>
      <w:pPr>
        <w:spacing w:before="120" w:after="120" w:line="300"/>
        <w:jc w:val="left"/>
      </w:pPr>
      <w:r>
        <w:rPr>
          <w:rFonts w:ascii="Arial" w:cs="Arial" w:eastAsia="Arial" w:hAnsi="Arial"/>
          <w:color w:val="333333"/>
          <w:sz w:val="22"/>
          <w:szCs w:val="22"/>
        </w:rPr>
        <w:t xml:space="preserve">The quantum computing industry should adopt this same standard. Thermal noise, phonon cascades, and radiation impacts should be treated not as passive environmental variables but as active adversaries attacking the qubit logic, requiring mathematical proof of resistance. DARPA program managers overseeing the US2QC programme already understand DO-254-equivalent rigor. Framing quantum hardware verification in these terms speaks directly to their evaluation framework.</w:t>
      </w:r>
    </w:p>
    <w:p>
      <w:pPr>
        <w:spacing w:before="320" w:after="160"/>
      </w:pPr>
      <w:r>
        <w:rPr>
          <w:rFonts w:ascii="Arial" w:cs="Arial" w:eastAsia="Arial" w:hAnsi="Arial"/>
          <w:b/>
          <w:bCs/>
          <w:color w:val="2E75B6"/>
          <w:sz w:val="26"/>
          <w:szCs w:val="26"/>
        </w:rPr>
        <w:t xml:space="preserve">7.4 Institutional Design: Who Runs the Red Team</w:t>
      </w:r>
    </w:p>
    <w:p>
      <w:pPr>
        <w:spacing w:before="120" w:after="120" w:line="300"/>
        <w:jc w:val="left"/>
      </w:pPr>
      <w:r>
        <w:rPr>
          <w:rFonts w:ascii="Arial" w:cs="Arial" w:eastAsia="Arial" w:hAnsi="Arial"/>
          <w:color w:val="333333"/>
          <w:sz w:val="22"/>
          <w:szCs w:val="22"/>
        </w:rPr>
        <w:t xml:space="preserve">For the adversarial protocol to be productive, it requires institutional independence. If Microsoft is the blue team, the red team cannot also be Microsoft. The protocol requires shared formal language and type system (ensuring disagreements are mechanically resolvable), clearly defined scope for each verification round, transparent disclosure of both successful proofs and successful refutations, and an explicit iteration protocol when the red team produces an exploit. National laboratories, independent academic groups with Lean 4 expertise, and formal verification firms are natural candidates for the red team role. The institutional design question is non-trivial but addressable — and the quantum computing field will need to address it before its foundational claims can bear the weight of the investment riding on them.</w:t>
      </w:r>
    </w:p>
    <w:p>
      <w:pPr>
        <w:pBdr>
          <w:bottom w:val="single" w:color="2E75B6" w:sz="6" w:space="8"/>
        </w:pBdr>
        <w:spacing w:before="400" w:after="200"/>
      </w:pPr>
      <w:r>
        <w:rPr>
          <w:rFonts w:ascii="Arial" w:cs="Arial" w:eastAsia="Arial" w:hAnsi="Arial"/>
          <w:b/>
          <w:bCs/>
          <w:color w:val="1B3A5C"/>
          <w:sz w:val="32"/>
          <w:szCs w:val="32"/>
        </w:rPr>
        <w:t xml:space="preserve">8. Synthesis and Takeaways</w:t>
      </w:r>
    </w:p>
    <w:p>
      <w:pPr>
        <w:spacing w:before="120" w:after="120" w:line="300"/>
        <w:jc w:val="left"/>
      </w:pPr>
      <w:r>
        <w:rPr>
          <w:rFonts w:ascii="Arial" w:cs="Arial" w:eastAsia="Arial" w:hAnsi="Arial"/>
          <w:color w:val="333333"/>
          <w:sz w:val="22"/>
          <w:szCs w:val="22"/>
        </w:rPr>
        <w:t xml:space="preserve">The analysis converges on interconnected conclusions spanning thermodynamics, materials science, computational infrastructure, verification methodology, explainable AI, and adversarial testing.</w:t>
      </w:r>
    </w:p>
    <w:p>
      <w:pPr>
        <w:spacing w:before="320" w:after="160"/>
      </w:pPr>
      <w:r>
        <w:rPr>
          <w:rFonts w:ascii="Arial" w:cs="Arial" w:eastAsia="Arial" w:hAnsi="Arial"/>
          <w:b/>
          <w:bCs/>
          <w:color w:val="2E75B6"/>
          <w:sz w:val="26"/>
          <w:szCs w:val="26"/>
        </w:rPr>
        <w:t xml:space="preserve">8.1 Topological protection is valuable but does not change the cryogenic requirements.</w:t>
      </w:r>
    </w:p>
    <w:p>
      <w:pPr>
        <w:spacing w:before="120" w:after="120" w:line="300"/>
        <w:jc w:val="left"/>
      </w:pPr>
      <w:r>
        <w:rPr>
          <w:rFonts w:ascii="Arial" w:cs="Arial" w:eastAsia="Arial" w:hAnsi="Arial"/>
          <w:color w:val="333333"/>
          <w:sz w:val="22"/>
          <w:szCs w:val="22"/>
        </w:rPr>
        <w:t xml:space="preserve">Topological qubits require the same millikelvin operating temperatures as superconducting qubits. Their advantage lies in exponential error suppression at those temperatures, translating to reduced qubit overhead (from 1,000:1–10,000:1 with surface codes to 10:1 with 4D geometric LDPC codes) and dramatically smaller cryogenic footprints at scale.</w:t>
      </w:r>
    </w:p>
    <w:p>
      <w:pPr>
        <w:spacing w:before="320" w:after="160"/>
      </w:pPr>
      <w:r>
        <w:rPr>
          <w:rFonts w:ascii="Arial" w:cs="Arial" w:eastAsia="Arial" w:hAnsi="Arial"/>
          <w:b/>
          <w:bCs/>
          <w:color w:val="2E75B6"/>
          <w:sz w:val="26"/>
          <w:szCs w:val="26"/>
        </w:rPr>
        <w:t xml:space="preserve">8.2 The sustainability argument is recursive and structurally sound.</w:t>
      </w:r>
    </w:p>
    <w:p>
      <w:pPr>
        <w:spacing w:before="120" w:after="120" w:line="300"/>
        <w:jc w:val="left"/>
      </w:pPr>
      <w:r>
        <w:rPr>
          <w:rFonts w:ascii="Arial" w:cs="Arial" w:eastAsia="Arial" w:hAnsi="Arial"/>
          <w:color w:val="333333"/>
          <w:sz w:val="22"/>
          <w:szCs w:val="22"/>
        </w:rPr>
        <w:t xml:space="preserve">Classical supercomputers consuming 22 MW are used to simulate the quantum physics needed to design quantum computers that would perform those simulations at 5–10 kW. The thermodynamic advantage is three orders of magnitude, contingent on achieving fault-tolerant quantum computation at scale. The timeline uncertainty is substantial but the structural argument is valid.</w:t>
      </w:r>
    </w:p>
    <w:p>
      <w:pPr>
        <w:spacing w:before="320" w:after="160"/>
      </w:pPr>
      <w:r>
        <w:rPr>
          <w:rFonts w:ascii="Arial" w:cs="Arial" w:eastAsia="Arial" w:hAnsi="Arial"/>
          <w:b/>
          <w:bCs/>
          <w:color w:val="2E75B6"/>
          <w:sz w:val="26"/>
          <w:szCs w:val="26"/>
        </w:rPr>
        <w:t xml:space="preserve">8.3 The mathematical substrate is shared across domains.</w:t>
      </w:r>
    </w:p>
    <w:p>
      <w:pPr>
        <w:spacing w:before="120" w:after="120" w:line="300"/>
        <w:jc w:val="left"/>
      </w:pPr>
      <w:r>
        <w:rPr>
          <w:rFonts w:ascii="Arial" w:cs="Arial" w:eastAsia="Arial" w:hAnsi="Arial"/>
          <w:color w:val="333333"/>
          <w:sz w:val="22"/>
          <w:szCs w:val="22"/>
        </w:rPr>
        <w:t xml:space="preserve">Clifford algebra and geometric structures appear in topological band theory, plasma confinement physics, and the formal verification of quantum systems. Advances in any of these domains create transferable mathematical infrastructure. The verification methodology is implementation-agnostic and transfers across qubit architectures.</w:t>
      </w:r>
    </w:p>
    <w:p>
      <w:pPr>
        <w:spacing w:before="320" w:after="160"/>
      </w:pPr>
      <w:r>
        <w:rPr>
          <w:rFonts w:ascii="Arial" w:cs="Arial" w:eastAsia="Arial" w:hAnsi="Arial"/>
          <w:b/>
          <w:bCs/>
          <w:color w:val="2E75B6"/>
          <w:sz w:val="26"/>
          <w:szCs w:val="26"/>
        </w:rPr>
        <w:t xml:space="preserve">8.4 Formal verification is the deductive complement to inductive engineering.</w:t>
      </w:r>
    </w:p>
    <w:p>
      <w:pPr>
        <w:spacing w:before="120" w:after="120" w:line="300"/>
        <w:jc w:val="left"/>
      </w:pPr>
      <w:r>
        <w:rPr>
          <w:rFonts w:ascii="Arial" w:cs="Arial" w:eastAsia="Arial" w:hAnsi="Arial"/>
          <w:color w:val="333333"/>
          <w:sz w:val="22"/>
          <w:szCs w:val="22"/>
        </w:rPr>
        <w:t xml:space="preserve">In a domain where foundational claims have been retracted and flagship results remain disputed, deductive proof from first principles provides the only reliable method for establishing what must be true about a system’s mathematical structure independent of ambiguous experimental signals. The 2018 retraction is the case study for what happens when this discipline is absent.</w:t>
      </w:r>
    </w:p>
    <w:p>
      <w:pPr>
        <w:spacing w:before="320" w:after="160"/>
      </w:pPr>
      <w:r>
        <w:rPr>
          <w:rFonts w:ascii="Arial" w:cs="Arial" w:eastAsia="Arial" w:hAnsi="Arial"/>
          <w:b/>
          <w:bCs/>
          <w:color w:val="2E75B6"/>
          <w:sz w:val="26"/>
          <w:szCs w:val="26"/>
        </w:rPr>
        <w:t xml:space="preserve">8.5 The TAS dialectic is a convergent methodology.</w:t>
      </w:r>
    </w:p>
    <w:p>
      <w:pPr>
        <w:spacing w:before="120" w:after="120" w:line="300"/>
        <w:jc w:val="left"/>
      </w:pPr>
      <w:r>
        <w:rPr>
          <w:rFonts w:ascii="Arial" w:cs="Arial" w:eastAsia="Arial" w:hAnsi="Arial"/>
          <w:color w:val="333333"/>
          <w:sz w:val="22"/>
          <w:szCs w:val="22"/>
        </w:rPr>
        <w:t xml:space="preserve">The iterative loop of simulation (thesis), type checking (antithesis), and mutual refinement (synthesis) drives both the simulation and the proof toward shared ground truth. Each cycle makes hidden assumptions visible, tightens the correspondence between computation and formal structure, and leaves an inspectable audit trail.</w:t>
      </w:r>
    </w:p>
    <w:p>
      <w:pPr>
        <w:spacing w:before="320" w:after="160"/>
      </w:pPr>
      <w:r>
        <w:rPr>
          <w:rFonts w:ascii="Arial" w:cs="Arial" w:eastAsia="Arial" w:hAnsi="Arial"/>
          <w:b/>
          <w:bCs/>
          <w:color w:val="2E75B6"/>
          <w:sz w:val="26"/>
          <w:szCs w:val="26"/>
        </w:rPr>
        <w:t xml:space="preserve">8.6 Structural explainability emerges from the methodology.</w:t>
      </w:r>
    </w:p>
    <w:p>
      <w:pPr>
        <w:spacing w:before="120" w:after="120" w:line="300"/>
        <w:jc w:val="left"/>
      </w:pPr>
      <w:r>
        <w:rPr>
          <w:rFonts w:ascii="Arial" w:cs="Arial" w:eastAsia="Arial" w:hAnsi="Arial"/>
          <w:color w:val="333333"/>
          <w:sz w:val="22"/>
          <w:szCs w:val="22"/>
        </w:rPr>
        <w:t xml:space="preserve">When AI systems participate in a TAS loop, their outputs are verified by a type checker that is indifferent to their origin. This provides explainability by construction — a stronger guarantee within its scope than post-hoc interpretation, and complementary to mechanistic interpretability research on AI internals.</w:t>
      </w:r>
    </w:p>
    <w:p>
      <w:pPr>
        <w:spacing w:before="320" w:after="160"/>
      </w:pPr>
      <w:r>
        <w:rPr>
          <w:rFonts w:ascii="Arial" w:cs="Arial" w:eastAsia="Arial" w:hAnsi="Arial"/>
          <w:b/>
          <w:bCs/>
          <w:color w:val="2E75B6"/>
          <w:sz w:val="26"/>
          <w:szCs w:val="26"/>
        </w:rPr>
        <w:t xml:space="preserve">8.7 Adversarial verification protocols are the missing discipline.</w:t>
      </w:r>
    </w:p>
    <w:p>
      <w:pPr>
        <w:spacing w:before="120" w:after="120" w:line="300"/>
        <w:jc w:val="left"/>
      </w:pPr>
      <w:r>
        <w:rPr>
          <w:rFonts w:ascii="Arial" w:cs="Arial" w:eastAsia="Arial" w:hAnsi="Arial"/>
          <w:color w:val="333333"/>
          <w:sz w:val="22"/>
          <w:szCs w:val="22"/>
        </w:rPr>
        <w:t xml:space="preserve">The red team / blue team framework, drawing on both cybersecurity and aerospace DO-254 certification, provides the structured adversarial process that quantum computing currently lacks. The red team’s exploit is a type error or formal counterexample; the blue team’s defence is a proof that survives the attack. This protocol requires institutional independence to be credible.</w:t>
      </w:r>
    </w:p>
    <w:p>
      <w:pPr>
        <w:spacing w:before="320" w:after="160"/>
      </w:pPr>
      <w:r>
        <w:rPr>
          <w:rFonts w:ascii="Arial" w:cs="Arial" w:eastAsia="Arial" w:hAnsi="Arial"/>
          <w:b/>
          <w:bCs/>
          <w:color w:val="2E75B6"/>
          <w:sz w:val="26"/>
          <w:szCs w:val="26"/>
        </w:rPr>
        <w:t xml:space="preserve">8.8 The verification gap is the critical bottleneck.</w:t>
      </w:r>
    </w:p>
    <w:p>
      <w:pPr>
        <w:spacing w:before="120" w:after="120" w:line="300"/>
        <w:jc w:val="left"/>
      </w:pPr>
      <w:r>
        <w:rPr>
          <w:rFonts w:ascii="Arial" w:cs="Arial" w:eastAsia="Arial" w:hAnsi="Arial"/>
          <w:color w:val="333333"/>
          <w:sz w:val="22"/>
          <w:szCs w:val="22"/>
        </w:rPr>
        <w:t xml:space="preserve">Billions of dollars in hardware investment rest on theoretical claims about topological protection that have not been independently verified at the mathematical level the claims require. Formal verification of the chain from algebraic axioms to physical predictions — conducted through adversarial TAS protocols with structural AI explainability — is risk management for the quantum computing industry’s most consequential engineering bets.</w:t>
      </w:r>
    </w:p>
    <w:p>
      <w:pPr>
        <w:spacing w:before="400" w:after="0"/>
      </w:pPr>
    </w:p>
    <w:p>
      <w:pPr>
        <w:pBdr>
          <w:top w:val="single" w:color="2E75B6" w:sz="6" w:space="8"/>
        </w:pBdr>
        <w:spacing w:before="200" w:after="120"/>
      </w:pPr>
      <w:r>
        <w:rPr>
          <w:rFonts w:ascii="Arial" w:cs="Arial" w:eastAsia="Arial" w:hAnsi="Arial"/>
          <w:b/>
          <w:bCs/>
          <w:color w:val="1B3A5C"/>
          <w:sz w:val="24"/>
          <w:szCs w:val="24"/>
        </w:rPr>
        <w:t xml:space="preserve">About the Author</w:t>
      </w:r>
    </w:p>
    <w:p>
      <w:pPr>
        <w:spacing w:before="120" w:after="120" w:line="300"/>
        <w:jc w:val="left"/>
      </w:pPr>
      <w:r>
        <w:rPr>
          <w:rFonts w:ascii="Arial" w:cs="Arial" w:eastAsia="Arial" w:hAnsi="Arial"/>
          <w:color w:val="333333"/>
          <w:sz w:val="22"/>
          <w:szCs w:val="22"/>
        </w:rPr>
        <w:t xml:space="preserve">Adrian is a proof engineer with over twenty years of experience in graphic and digital design, transitioning into formal verification engineering with a longer-term trajectory toward quantum computing and energy. The Geometry of State repository (github.com/GoS-Architect) formalizes a chain from Clifford algebra to Majorana edge modes in Lean 4, building on Mathlib’s existing CliffordAlgebra infrastructure, featuring seven theorems with zero dependencies and zero incomplete proofs. The proofs are machine-checked; their correctness is independent of the author’s credentials — which is the entire point of deductive verification. Adrian’s professional focus is on applying rigorous deductive methods to the verification challenges at the intersection of topological quantum materials and formal mathematics.</w:t>
      </w:r>
    </w:p>
    <w:p>
      <w:pPr>
        <w:spacing w:before="200" w:after="0"/>
      </w:pPr>
    </w:p>
    <w:p>
      <w:pPr>
        <w:pBdr>
          <w:top w:val="single" w:color="666666" w:sz="4" w:space="8"/>
        </w:pBdr>
        <w:spacing w:before="100" w:after="80"/>
      </w:pPr>
      <w:r>
        <w:rPr>
          <w:rFonts w:ascii="Arial" w:cs="Arial" w:eastAsia="Arial" w:hAnsi="Arial"/>
          <w:b/>
          <w:bCs/>
          <w:color w:val="1B3A5C"/>
          <w:sz w:val="22"/>
          <w:szCs w:val="22"/>
        </w:rPr>
        <w:t xml:space="preserve">Acknowledgements</w:t>
      </w:r>
    </w:p>
    <w:p>
      <w:pPr>
        <w:spacing w:before="120" w:after="120" w:line="300"/>
        <w:jc w:val="left"/>
      </w:pPr>
      <w:r>
        <w:rPr>
          <w:rFonts w:ascii="Arial" w:cs="Arial" w:eastAsia="Arial" w:hAnsi="Arial"/>
          <w:color w:val="333333"/>
          <w:sz w:val="22"/>
          <w:szCs w:val="22"/>
        </w:rPr>
        <w:t xml:space="preserve">This case study was developed through an adversarial dialectical process using Claude (Anthropic) and Gemini (Google DeepMind) as complementary reasoning tools, with Lean 4 as the deductive verification layer. The document itself is a product of the TAS methodology it describes: theses were proposed, stress-tested across multiple AI systems with different architectures and training biases, and synthesized through iterative refinement. The reasoning trace is transparent by design.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6"/>
        <w:szCs w:val="16"/>
      </w:rPr>
      <w:t xml:space="preserve">Adrian — GoS-Architect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i/>
        <w:iCs/>
        <w:color w:val="666666"/>
        <w:sz w:val="16"/>
        <w:szCs w:val="16"/>
      </w:rPr>
      <w:t xml:space="preserve">Case Study: The Thermodynamic Bootstrap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2026-03-14T17:06:19.314Z</dcterms:created>
  <dcterms:modified xsi:type="dcterms:W3CDTF">2026-03-14T17:06:19.314Z</dcterms:modified>
</cp:coreProperties>
</file>

<file path=docProps/custom.xml><?xml version="1.0" encoding="utf-8"?>
<Properties xmlns="http://schemas.openxmlformats.org/officeDocument/2006/custom-properties" xmlns:vt="http://schemas.openxmlformats.org/officeDocument/2006/docPropsVTypes"/>
</file>