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636e72"/>
          <w:spacing w:val="200"/>
          <w:sz w:val="22"/>
          <w:szCs w:val="22"/>
        </w:rPr>
        <w:t xml:space="preserve">RESEARCH PROPOSAL</w:t>
      </w:r>
    </w:p>
    <w:p>
      <w:pPr>
        <w:spacing w:after="80"/>
        <w:jc w:val="center"/>
      </w:pPr>
      <w:r>
        <w:rPr>
          <w:rFonts w:ascii="Georgia" w:cs="Georgia" w:eastAsia="Georgia" w:hAnsi="Georgia"/>
          <w:b/>
          <w:bCs/>
          <w:color w:val="1a1a2e"/>
          <w:sz w:val="52"/>
          <w:szCs w:val="52"/>
        </w:rPr>
        <w:t xml:space="preserve">The Geometry of State</w:t>
      </w:r>
    </w:p>
    <w:p>
      <w:pPr>
        <w:spacing w:after="400"/>
        <w:jc w:val="center"/>
      </w:pPr>
      <w:r>
        <w:rPr>
          <w:rFonts w:ascii="Georgia" w:cs="Georgia" w:eastAsia="Georgia" w:hAnsi="Georgia"/>
          <w:color w:val="2d3436"/>
          <w:sz w:val="28"/>
          <w:szCs w:val="28"/>
        </w:rPr>
        <w:t xml:space="preserve">Clifford Algebra Foundations for Formally Verified
Topological Quantum Computing and Fusion Energy</w:t>
      </w:r>
    </w:p>
    <w:p>
      <w:pPr>
        <w:spacing w:after="60"/>
        <w:jc w:val="center"/>
      </w:pPr>
      <w:r>
        <w:rPr>
          <w:rFonts w:ascii="Georgia" w:cs="Georgia" w:eastAsia="Georgia" w:hAnsi="Georgia"/>
          <w:color w:val="CCCCCC"/>
          <w:sz w:val="24"/>
          <w:szCs w:val="24"/>
        </w:rPr>
        <w:t xml:space="preserve">───────────────</w:t>
      </w:r>
    </w:p>
    <w:p>
      <w:pPr>
        <w:spacing w:after="200"/>
      </w:pPr>
    </w:p>
    <w:p>
      <w:pPr>
        <w:spacing w:after="80"/>
        <w:jc w:val="center"/>
      </w:pPr>
      <w:r>
        <w:rPr>
          <w:rFonts w:ascii="Georgia" w:cs="Georgia" w:eastAsia="Georgia" w:hAnsi="Georgia"/>
          <w:color w:val="1a1a2e"/>
          <w:sz w:val="28"/>
          <w:szCs w:val="28"/>
        </w:rPr>
        <w:t xml:space="preserve">Adrian Domingo</w:t>
      </w:r>
    </w:p>
    <w:p>
      <w:pPr>
        <w:spacing w:after="80"/>
        <w:jc w:val="center"/>
      </w:pPr>
      <w:r>
        <w:rPr>
          <w:rFonts w:ascii="Georgia" w:cs="Georgia" w:eastAsia="Georgia" w:hAnsi="Georgia"/>
          <w:i/>
          <w:iCs/>
          <w:color w:val="636e72"/>
          <w:sz w:val="22"/>
          <w:szCs w:val="22"/>
        </w:rPr>
        <w:t xml:space="preserve">Independent Researcher</w:t>
      </w:r>
    </w:p>
    <w:p>
      <w:pPr>
        <w:spacing w:after="80"/>
        <w:jc w:val="center"/>
      </w:pPr>
      <w:r>
        <w:rPr>
          <w:rFonts w:ascii="Georgia" w:cs="Georgia" w:eastAsia="Georgia" w:hAnsi="Georgia"/>
          <w:color w:val="636e72"/>
          <w:sz w:val="22"/>
          <w:szCs w:val="22"/>
        </w:rPr>
        <w:t xml:space="preserve">Chicago, Illinois</w:t>
      </w:r>
    </w:p>
    <w:p>
      <w:pPr>
        <w:spacing w:after="400"/>
      </w:pPr>
    </w:p>
    <w:p>
      <w:pPr>
        <w:spacing w:after="80"/>
        <w:jc w:val="center"/>
      </w:pPr>
      <w:r>
        <w:rPr>
          <w:rFonts w:ascii="Georgia" w:cs="Georgia" w:eastAsia="Georgia" w:hAnsi="Georgia"/>
          <w:color w:val="636e72"/>
          <w:sz w:val="22"/>
          <w:szCs w:val="22"/>
        </w:rPr>
        <w:t xml:space="preserve">March 2026</w:t>
      </w:r>
    </w:p>
    <w:p>
      <w:pPr>
        <w:jc w:val="center"/>
      </w:pPr>
      <w:hyperlink w:history="1" r:id="rIdgzvd9eoa1bzhe162o5ja6">
        <w:r>
          <w:rPr>
            <w:rFonts w:ascii="Georgia" w:cs="Georgia" w:eastAsia="Georgia" w:hAnsi="Georgia"/>
            <w:color w:val="2980b9"/>
            <w:sz w:val="20"/>
            <w:szCs w:val="20"/>
            <w:u w:val="single"/>
          </w:rPr>
          <w:t xml:space="preserve">github.com/GoS-Architect/GeometryOfState</w:t>
        </w:r>
      </w:hyperlink>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a1a2e"/>
          <w:sz w:val="32"/>
          <w:szCs w:val="32"/>
        </w:rPr>
        <w:t xml:space="preserve">Executive Summary</w:t>
      </w:r>
    </w:p>
    <w:p>
      <w:pPr>
        <w:spacing w:after="160" w:line="276"/>
      </w:pPr>
      <w:r>
        <w:rPr>
          <w:rFonts w:ascii="Georgia" w:cs="Georgia" w:eastAsia="Georgia" w:hAnsi="Georgia"/>
          <w:sz w:val="24"/>
          <w:szCs w:val="24"/>
        </w:rPr>
        <w:t xml:space="preserve">This proposal outlines a three-year research program built on a demonstrated formal framework: </w:t>
      </w:r>
      <w:r>
        <w:rPr>
          <w:rFonts w:ascii="Georgia" w:cs="Georgia" w:eastAsia="Georgia" w:hAnsi="Georgia"/>
          <w:i/>
          <w:iCs/>
          <w:sz w:val="24"/>
          <w:szCs w:val="24"/>
        </w:rPr>
        <w:t xml:space="preserve">The Geometry of State</w:t>
      </w:r>
      <w:r>
        <w:rPr>
          <w:rFonts w:ascii="Georgia" w:cs="Georgia" w:eastAsia="Georgia" w:hAnsi="Georgia"/>
          <w:sz w:val="24"/>
          <w:szCs w:val="24"/>
        </w:rPr>
        <w:t xml:space="preserve"> (GoS), an 835-line Lean 4 formalization that derives topological invariants from Clifford algebra first principles with zero external dependencies and zero unproven lemmas. The framework has been validated by numerical simulation and is publicly available under MIT license.</w:t>
      </w:r>
    </w:p>
    <w:p>
      <w:pPr>
        <w:spacing w:after="160" w:line="276"/>
      </w:pPr>
      <w:r>
        <w:rPr>
          <w:rFonts w:ascii="Georgia" w:cs="Georgia" w:eastAsia="Georgia" w:hAnsi="Georgia"/>
          <w:sz w:val="24"/>
          <w:szCs w:val="24"/>
        </w:rPr>
        <w:t xml:space="preserve">The core insight is that </w:t>
      </w:r>
      <w:r>
        <w:rPr>
          <w:rFonts w:ascii="Georgia" w:cs="Georgia" w:eastAsia="Georgia" w:hAnsi="Georgia"/>
          <w:b/>
          <w:bCs/>
          <w:sz w:val="24"/>
          <w:szCs w:val="24"/>
        </w:rPr>
        <w:t xml:space="preserve">topological phase transitions are type errors</w:t>
      </w:r>
      <w:r>
        <w:rPr>
          <w:rFonts w:ascii="Georgia" w:cs="Georgia" w:eastAsia="Georgia" w:hAnsi="Georgia"/>
          <w:sz w:val="24"/>
          <w:szCs w:val="24"/>
        </w:rPr>
        <w:t xml:space="preserve"> in the dependent type theory sense. The spectral gap condition required to compute a topological invariant is encoded as a proof obligation. At the phase boundary, this proof obligation becomes undischargeable, rendering the invariant function uncallable. The singularity is not a numerical instability but the absence of a proof term. This insight, implemented and verified by the Lean 4 kernel, provides a unifying algebraic framework that connects condensed matter topology to fusion plasma confinement through shared Cl(3,0) structure.</w:t>
      </w:r>
    </w:p>
    <w:p>
      <w:pPr>
        <w:spacing w:after="160" w:line="276"/>
      </w:pPr>
      <w:r>
        <w:rPr>
          <w:rFonts w:ascii="Georgia" w:cs="Georgia" w:eastAsia="Georgia" w:hAnsi="Georgia"/>
          <w:sz w:val="24"/>
          <w:szCs w:val="24"/>
        </w:rPr>
        <w:t xml:space="preserve">The proposal organizes the research program around three pillars: (1) </w:t>
      </w:r>
      <w:r>
        <w:rPr>
          <w:rFonts w:ascii="Georgia" w:cs="Georgia" w:eastAsia="Georgia" w:hAnsi="Georgia"/>
          <w:b/>
          <w:bCs/>
          <w:sz w:val="24"/>
          <w:szCs w:val="24"/>
        </w:rPr>
        <w:t xml:space="preserve">Formal Verification</w:t>
      </w:r>
      <w:r>
        <w:rPr>
          <w:rFonts w:ascii="Georgia" w:cs="Georgia" w:eastAsia="Georgia" w:hAnsi="Georgia"/>
          <w:sz w:val="24"/>
          <w:szCs w:val="24"/>
        </w:rPr>
        <w:t xml:space="preserve"> of topological quantum systems using dependent type theory; (2) </w:t>
      </w:r>
      <w:r>
        <w:rPr>
          <w:rFonts w:ascii="Georgia" w:cs="Georgia" w:eastAsia="Georgia" w:hAnsi="Georgia"/>
          <w:b/>
          <w:bCs/>
          <w:sz w:val="24"/>
          <w:szCs w:val="24"/>
        </w:rPr>
        <w:t xml:space="preserve">Topological Quantum Computing</w:t>
      </w:r>
      <w:r>
        <w:rPr>
          <w:rFonts w:ascii="Georgia" w:cs="Georgia" w:eastAsia="Georgia" w:hAnsi="Georgia"/>
          <w:sz w:val="24"/>
          <w:szCs w:val="24"/>
        </w:rPr>
        <w:t xml:space="preserve">, addressing the Majorana verification crisis through formally certified hardware design; and (3) </w:t>
      </w:r>
      <w:r>
        <w:rPr>
          <w:rFonts w:ascii="Georgia" w:cs="Georgia" w:eastAsia="Georgia" w:hAnsi="Georgia"/>
          <w:b/>
          <w:bCs/>
          <w:sz w:val="24"/>
          <w:szCs w:val="24"/>
        </w:rPr>
        <w:t xml:space="preserve">Fusion Energy</w:t>
      </w:r>
      <w:r>
        <w:rPr>
          <w:rFonts w:ascii="Georgia" w:cs="Georgia" w:eastAsia="Georgia" w:hAnsi="Georgia"/>
          <w:sz w:val="24"/>
          <w:szCs w:val="24"/>
        </w:rPr>
        <w:t xml:space="preserve">, applying the same Clifford algebra framework to magnetic confinement optimization in stellarators. Each pillar shares a common algebraic foundation and a common verification methodology.</w:t>
      </w:r>
    </w:p>
    <w:p>
      <w:pPr>
        <w:pStyle w:val="Heading1"/>
        <w:spacing w:before="360" w:after="200"/>
      </w:pPr>
      <w:r>
        <w:rPr>
          <w:rFonts w:ascii="Georgia" w:cs="Georgia" w:eastAsia="Georgia" w:hAnsi="Georgia"/>
          <w:b/>
          <w:bCs/>
          <w:color w:val="1a1a2e"/>
          <w:sz w:val="32"/>
          <w:szCs w:val="32"/>
        </w:rPr>
        <w:t xml:space="preserve">1. Background and Motivation</w:t>
      </w:r>
    </w:p>
    <w:p>
      <w:pPr>
        <w:pStyle w:val="Heading2"/>
        <w:spacing w:before="280" w:after="160"/>
      </w:pPr>
      <w:r>
        <w:rPr>
          <w:rFonts w:ascii="Georgia" w:cs="Georgia" w:eastAsia="Georgia" w:hAnsi="Georgia"/>
          <w:b/>
          <w:bCs/>
          <w:color w:val="2d3436"/>
          <w:sz w:val="28"/>
          <w:szCs w:val="28"/>
        </w:rPr>
        <w:t xml:space="preserve">1.1 The Formal Verification Opportunity</w:t>
      </w:r>
    </w:p>
    <w:p>
      <w:pPr>
        <w:spacing w:after="160" w:line="276"/>
      </w:pPr>
      <w:r>
        <w:rPr>
          <w:rFonts w:ascii="Georgia" w:cs="Georgia" w:eastAsia="Georgia" w:hAnsi="Georgia"/>
          <w:sz w:val="24"/>
          <w:szCs w:val="24"/>
        </w:rPr>
        <w:t xml:space="preserve">Formal verification in mathematics and computer science has reached a critical inflection point. The Lean 4 proof assistant and its community library Mathlib now formalize over 210,000 theorems. Major AI laboratories are investing in Lean-based verification to eliminate hallucinations and certify reasoning chains. The Lean-QuantumInfo library has demonstrated that quantum information theory can be formalized at scale, with over 15,000 lines of verified code covering quantum teleportation, error correction, and resource theories.</w:t>
      </w:r>
    </w:p>
    <w:p>
      <w:pPr>
        <w:spacing w:after="160" w:line="276"/>
      </w:pPr>
      <w:r>
        <w:rPr>
          <w:rFonts w:ascii="Georgia" w:cs="Georgia" w:eastAsia="Georgia" w:hAnsi="Georgia"/>
          <w:sz w:val="24"/>
          <w:szCs w:val="24"/>
        </w:rPr>
        <w:t xml:space="preserve">Yet formal verification of </w:t>
      </w:r>
      <w:r>
        <w:rPr>
          <w:rFonts w:ascii="Georgia" w:cs="Georgia" w:eastAsia="Georgia" w:hAnsi="Georgia"/>
          <w:i/>
          <w:iCs/>
          <w:sz w:val="24"/>
          <w:szCs w:val="24"/>
        </w:rPr>
        <w:t xml:space="preserve">topological</w:t>
      </w:r>
      <w:r>
        <w:rPr>
          <w:rFonts w:ascii="Georgia" w:cs="Georgia" w:eastAsia="Georgia" w:hAnsi="Georgia"/>
          <w:sz w:val="24"/>
          <w:szCs w:val="24"/>
        </w:rPr>
        <w:t xml:space="preserve"> quantum systems remains largely unaddressed. The Geometry of State framework fills this gap by starting from the most fundamental algebraic structure available—the Clifford algebra—and deriving topological invariants, edge mode existence, and protection hierarchies as verified consequences. The framework requires no external mathematical libraries, making every step auditable by the Lean 4 kernel alone.</w:t>
      </w:r>
    </w:p>
    <w:p>
      <w:pPr>
        <w:pStyle w:val="Heading2"/>
        <w:spacing w:before="280" w:after="160"/>
      </w:pPr>
      <w:r>
        <w:rPr>
          <w:rFonts w:ascii="Georgia" w:cs="Georgia" w:eastAsia="Georgia" w:hAnsi="Georgia"/>
          <w:b/>
          <w:bCs/>
          <w:color w:val="2d3436"/>
          <w:sz w:val="28"/>
          <w:szCs w:val="28"/>
        </w:rPr>
        <w:t xml:space="preserve">1.2 The Majorana Verification Crisis</w:t>
      </w:r>
    </w:p>
    <w:p>
      <w:pPr>
        <w:spacing w:after="160" w:line="276"/>
      </w:pPr>
      <w:r>
        <w:rPr>
          <w:rFonts w:ascii="Georgia" w:cs="Georgia" w:eastAsia="Georgia" w:hAnsi="Georgia"/>
          <w:sz w:val="24"/>
          <w:szCs w:val="24"/>
        </w:rPr>
        <w:t xml:space="preserve">The topological quantum computing program faces a well-documented epistemological barrier. Andreev Bound States (ABS) can produce zero-bias conductance peaks that are experimentally indistinguishable from genuine Majorana Zero Modes (MZMs). This ambiguity has led to high-profile retractions, including the 2021 withdrawal of quantized Majorana conductance claims from Nature.</w:t>
      </w:r>
    </w:p>
    <w:p>
      <w:pPr>
        <w:spacing w:after="160" w:line="276"/>
      </w:pPr>
      <w:r>
        <w:rPr>
          <w:rFonts w:ascii="Georgia" w:cs="Georgia" w:eastAsia="Georgia" w:hAnsi="Georgia"/>
          <w:sz w:val="24"/>
          <w:szCs w:val="24"/>
        </w:rPr>
        <w:t xml:space="preserve">Microsoft’s February 2025 announcement of the Majorana 1 processor—an eight-qubit InAs/Al device designed around the tetron architecture—brought renewed attention to this challenge. The accompanying Nature paper reported interferometric single-shot parity measurements, but the peer-review file explicitly noted that the results alone do not determine whether the detected low-energy states are topological. Independent physicists have characterized the claim as controversial, with some estimating that topological quantum computing remains decades behind competing platforms.</w:t>
      </w:r>
    </w:p>
    <w:p>
      <w:pPr>
        <w:spacing w:after="160" w:line="276"/>
      </w:pPr>
      <w:r>
        <w:rPr>
          <w:rFonts w:ascii="Georgia" w:cs="Georgia" w:eastAsia="Georgia" w:hAnsi="Georgia"/>
          <w:sz w:val="24"/>
          <w:szCs w:val="24"/>
        </w:rPr>
        <w:t xml:space="preserve">This situation motivates the central question of the proposed research: can formal verification provide the missing certification layer that distinguishes topological from trivial states, not through additional measurement, but through mathematical proof that the system parameters necessarily produce a nontrivial topological invariant?</w:t>
      </w:r>
    </w:p>
    <w:p>
      <w:pPr>
        <w:pStyle w:val="Heading2"/>
        <w:spacing w:before="280" w:after="160"/>
      </w:pPr>
      <w:r>
        <w:rPr>
          <w:rFonts w:ascii="Georgia" w:cs="Georgia" w:eastAsia="Georgia" w:hAnsi="Georgia"/>
          <w:b/>
          <w:bCs/>
          <w:color w:val="2d3436"/>
          <w:sz w:val="28"/>
          <w:szCs w:val="28"/>
        </w:rPr>
        <w:t xml:space="preserve">1.3 The Stellarator Moment in Fusion Energy</w:t>
      </w:r>
    </w:p>
    <w:p>
      <w:pPr>
        <w:spacing w:after="160" w:line="276"/>
      </w:pPr>
      <w:r>
        <w:rPr>
          <w:rFonts w:ascii="Georgia" w:cs="Georgia" w:eastAsia="Georgia" w:hAnsi="Georgia"/>
          <w:sz w:val="24"/>
          <w:szCs w:val="24"/>
        </w:rPr>
        <w:t xml:space="preserve">Stellarator fusion is experiencing a parallel transformation. Germany’s Wendelstein 7-X achieved 500-second discharges with 1.3 GJ of injected energy, validating steady-state operation. Multiple private ventures—Proxima Fusion, Type One Energy, Thea Energy—are advancing stellarator designs toward commercial pilot plants, with Type One Energy publishing the full physics basis for its Infinity Two design and Thea Energy completing preconceptual design of its Helios plant.</w:t>
      </w:r>
    </w:p>
    <w:p>
      <w:pPr>
        <w:spacing w:after="160" w:line="276"/>
      </w:pPr>
      <w:r>
        <w:rPr>
          <w:rFonts w:ascii="Georgia" w:cs="Georgia" w:eastAsia="Georgia" w:hAnsi="Georgia"/>
          <w:sz w:val="24"/>
          <w:szCs w:val="24"/>
        </w:rPr>
        <w:t xml:space="preserve">The Geometry of State framework connects to stellarator physics through a precise algebraic correspondence. The magnetic field in a plasma is a bivector in Cl(3,0)—the same algebraic type as the superfluid rotor field in condensed matter. Magnetic helicity maps to winding number. The Taylor relaxation mechanism (energy decays faster than helicity under resistive diffusion) has a direct formal analog in the protection hierarchy derived from codimension of singularities. Our numerical simulations confirm that on a 48³ spectral grid, energy decays 4.4× faster than helicity, driving convergence to the minimum-energy Beltrami state.</w:t>
      </w:r>
    </w:p>
    <w:p>
      <w:pPr>
        <w:pStyle w:val="Heading1"/>
        <w:spacing w:before="360" w:after="200"/>
      </w:pPr>
      <w:r>
        <w:rPr>
          <w:rFonts w:ascii="Georgia" w:cs="Georgia" w:eastAsia="Georgia" w:hAnsi="Georgia"/>
          <w:b/>
          <w:bCs/>
          <w:color w:val="1a1a2e"/>
          <w:sz w:val="32"/>
          <w:szCs w:val="32"/>
        </w:rPr>
        <w:t xml:space="preserve">2. Research Program</w:t>
      </w:r>
    </w:p>
    <w:p>
      <w:pPr>
        <w:spacing w:after="160" w:line="276"/>
      </w:pPr>
      <w:r>
        <w:rPr>
          <w:rFonts w:ascii="Georgia" w:cs="Georgia" w:eastAsia="Georgia" w:hAnsi="Georgia"/>
          <w:sz w:val="24"/>
          <w:szCs w:val="24"/>
        </w:rPr>
        <w:t xml:space="preserve">The proposed research is organized into three interconnected pillars, each grounded in the same Clifford algebra foundation and Lean 4 verification methodology.</w:t>
      </w:r>
    </w:p>
    <w:p>
      <w:pPr>
        <w:pStyle w:val="Heading2"/>
        <w:spacing w:before="280" w:after="160"/>
      </w:pPr>
      <w:r>
        <w:rPr>
          <w:rFonts w:ascii="Georgia" w:cs="Georgia" w:eastAsia="Georgia" w:hAnsi="Georgia"/>
          <w:b/>
          <w:bCs/>
          <w:color w:val="2d3436"/>
          <w:sz w:val="28"/>
          <w:szCs w:val="28"/>
        </w:rPr>
        <w:t xml:space="preserve">Pillar I: Formal Verification of Topological Quantum Systems</w:t>
      </w:r>
    </w:p>
    <w:p>
      <w:pPr>
        <w:spacing w:after="160" w:line="276"/>
      </w:pPr>
      <w:r>
        <w:rPr>
          <w:rFonts w:ascii="Georgia" w:cs="Georgia" w:eastAsia="Georgia" w:hAnsi="Georgia"/>
          <w:b/>
          <w:bCs/>
          <w:sz w:val="24"/>
          <w:szCs w:val="24"/>
        </w:rPr>
        <w:t xml:space="preserve">Current status. </w:t>
      </w:r>
      <w:r>
        <w:rPr>
          <w:rFonts w:ascii="Georgia" w:cs="Georgia" w:eastAsia="Georgia" w:hAnsi="Georgia"/>
          <w:sz w:val="24"/>
          <w:szCs w:val="24"/>
        </w:rPr>
        <w:t xml:space="preserve">The Geometry of State Lean 4 formalization includes: explicit Cl(2,0) and Cl(3,0) multiplication tables derived from three defining rules; seven verified theorems including six by definitional evaluation (rfl); the gap condition encoded as a dependent type (IsGappedAt); a proof that gapless systems block invariant computation (gapless_blocks_inversion); and complete Majorana edge mode verification for a 3-site Kitaev chain. The entire codebase has zero sorry lemmas and zero external dependencies.</w:t>
      </w:r>
    </w:p>
    <w:p>
      <w:pPr>
        <w:pStyle w:val="Heading3"/>
        <w:spacing w:before="200" w:after="120"/>
      </w:pPr>
      <w:r>
        <w:rPr>
          <w:rFonts w:ascii="Georgia" w:cs="Georgia" w:eastAsia="Georgia" w:hAnsi="Georgia"/>
          <w:b/>
          <w:bCs/>
          <w:i/>
          <w:iCs/>
          <w:color w:val="2d3436"/>
          <w:sz w:val="26"/>
          <w:szCs w:val="26"/>
        </w:rPr>
        <w:t xml:space="preserve">Year 1: Foundation and Generalization</w:t>
      </w:r>
    </w:p>
    <w:p>
      <w:pPr>
        <w:pStyle w:val="ListParagraph"/>
        <w:numPr>
          <w:ilvl w:val="0"/>
          <w:numId w:val="2"/>
        </w:numPr>
        <w:spacing w:after="80" w:line="276"/>
      </w:pPr>
      <w:r>
        <w:rPr>
          <w:rFonts w:ascii="Georgia" w:cs="Georgia" w:eastAsia="Georgia" w:hAnsi="Georgia"/>
          <w:sz w:val="24"/>
          <w:szCs w:val="24"/>
        </w:rPr>
        <w:t xml:space="preserve">Extend Cl(2,0) formalization to full Mathlib integration, connecting the custom implementation to Mathlib’s CliffordAlgebra type. This will enable leveraging the existing 210,000+ theorem library while maintaining the pedagogical clarity of the standalone implementation.</w:t>
      </w:r>
    </w:p>
    <w:p>
      <w:pPr>
        <w:pStyle w:val="ListParagraph"/>
        <w:numPr>
          <w:ilvl w:val="0"/>
          <w:numId w:val="2"/>
        </w:numPr>
        <w:spacing w:after="80" w:line="276"/>
      </w:pPr>
      <w:r>
        <w:rPr>
          <w:rFonts w:ascii="Georgia" w:cs="Georgia" w:eastAsia="Georgia" w:hAnsi="Georgia"/>
          <w:sz w:val="24"/>
          <w:szCs w:val="24"/>
        </w:rPr>
        <w:t xml:space="preserve">Generalize the winding number formalization from the Kitaev chain to the full BdG classification, covering all symmetry classes in the Altland-Zirnbauer tenfold way.</w:t>
      </w:r>
    </w:p>
    <w:p>
      <w:pPr>
        <w:pStyle w:val="ListParagraph"/>
        <w:numPr>
          <w:ilvl w:val="0"/>
          <w:numId w:val="2"/>
        </w:numPr>
        <w:spacing w:after="80" w:line="276"/>
      </w:pPr>
      <w:r>
        <w:rPr>
          <w:rFonts w:ascii="Georgia" w:cs="Georgia" w:eastAsia="Georgia" w:hAnsi="Georgia"/>
          <w:sz w:val="24"/>
          <w:szCs w:val="24"/>
        </w:rPr>
        <w:t xml:space="preserve">Formalize the bulk-boundary correspondence as a Lean 4 theorem linking the winding number to the existence of edge modes for arbitrary chain lengths, moving beyond the current 3-site exhaustive verification.</w:t>
      </w:r>
    </w:p>
    <w:p>
      <w:pPr>
        <w:pStyle w:val="Heading3"/>
        <w:spacing w:before="200" w:after="120"/>
      </w:pPr>
      <w:r>
        <w:rPr>
          <w:rFonts w:ascii="Georgia" w:cs="Georgia" w:eastAsia="Georgia" w:hAnsi="Georgia"/>
          <w:b/>
          <w:bCs/>
          <w:i/>
          <w:iCs/>
          <w:color w:val="2d3436"/>
          <w:sz w:val="26"/>
          <w:szCs w:val="26"/>
        </w:rPr>
        <w:t xml:space="preserve">Year 2: Scaling and Automation</w:t>
      </w:r>
    </w:p>
    <w:p>
      <w:pPr>
        <w:pStyle w:val="ListParagraph"/>
        <w:numPr>
          <w:ilvl w:val="0"/>
          <w:numId w:val="2"/>
        </w:numPr>
        <w:spacing w:after="80" w:line="276"/>
      </w:pPr>
      <w:r>
        <w:rPr>
          <w:rFonts w:ascii="Georgia" w:cs="Georgia" w:eastAsia="Georgia" w:hAnsi="Georgia"/>
          <w:sz w:val="24"/>
          <w:szCs w:val="24"/>
        </w:rPr>
        <w:t xml:space="preserve">Develop tactic automation for topological certification: given Hamiltonian parameters, automatically discharge the IsGappedAt proof obligation or report that the system is at a phase boundary.</w:t>
      </w:r>
    </w:p>
    <w:p>
      <w:pPr>
        <w:pStyle w:val="ListParagraph"/>
        <w:numPr>
          <w:ilvl w:val="0"/>
          <w:numId w:val="2"/>
        </w:numPr>
        <w:spacing w:after="80" w:line="276"/>
      </w:pPr>
      <w:r>
        <w:rPr>
          <w:rFonts w:ascii="Georgia" w:cs="Georgia" w:eastAsia="Georgia" w:hAnsi="Georgia"/>
          <w:sz w:val="24"/>
          <w:szCs w:val="24"/>
        </w:rPr>
        <w:t xml:space="preserve">Formalize the protection hierarchy (unprotected, energetic, topological) as a type-level classification, enabling compile-time guarantees about which protection level a given system achieves.</w:t>
      </w:r>
    </w:p>
    <w:p>
      <w:pPr>
        <w:pStyle w:val="ListParagraph"/>
        <w:numPr>
          <w:ilvl w:val="0"/>
          <w:numId w:val="2"/>
        </w:numPr>
        <w:spacing w:after="80" w:line="276"/>
      </w:pPr>
      <w:r>
        <w:rPr>
          <w:rFonts w:ascii="Georgia" w:cs="Georgia" w:eastAsia="Georgia" w:hAnsi="Georgia"/>
          <w:sz w:val="24"/>
          <w:szCs w:val="24"/>
        </w:rPr>
        <w:t xml:space="preserve">Integrate with the Lean-QuantumInfo library to connect topological invariants with quantum information-theoretic properties (entanglement entropy, quantum error correction codes).</w:t>
      </w:r>
    </w:p>
    <w:p>
      <w:pPr>
        <w:pStyle w:val="Heading3"/>
        <w:spacing w:before="200" w:after="120"/>
      </w:pPr>
      <w:r>
        <w:rPr>
          <w:rFonts w:ascii="Georgia" w:cs="Georgia" w:eastAsia="Georgia" w:hAnsi="Georgia"/>
          <w:b/>
          <w:bCs/>
          <w:i/>
          <w:iCs/>
          <w:color w:val="2d3436"/>
          <w:sz w:val="26"/>
          <w:szCs w:val="26"/>
        </w:rPr>
        <w:t xml:space="preserve">Year 3: Hardware Integration</w:t>
      </w:r>
    </w:p>
    <w:p>
      <w:pPr>
        <w:pStyle w:val="ListParagraph"/>
        <w:numPr>
          <w:ilvl w:val="0"/>
          <w:numId w:val="2"/>
        </w:numPr>
        <w:spacing w:after="80" w:line="276"/>
      </w:pPr>
      <w:r>
        <w:rPr>
          <w:rFonts w:ascii="Georgia" w:cs="Georgia" w:eastAsia="Georgia" w:hAnsi="Georgia"/>
          <w:sz w:val="24"/>
          <w:szCs w:val="24"/>
        </w:rPr>
        <w:t xml:space="preserve">Implement a Digital Triplet proof-of-concept: a pipeline that takes experimental Hamiltonian parameters from quantum hardware telemetry, feeds them through the Lean 4 verification engine, and returns a certification status (topological/trivial/indeterminate).</w:t>
      </w:r>
    </w:p>
    <w:p>
      <w:pPr>
        <w:pStyle w:val="ListParagraph"/>
        <w:numPr>
          <w:ilvl w:val="0"/>
          <w:numId w:val="2"/>
        </w:numPr>
        <w:spacing w:after="80" w:line="276"/>
      </w:pPr>
      <w:r>
        <w:rPr>
          <w:rFonts w:ascii="Georgia" w:cs="Georgia" w:eastAsia="Georgia" w:hAnsi="Georgia"/>
          <w:sz w:val="24"/>
          <w:szCs w:val="24"/>
        </w:rPr>
        <w:t xml:space="preserve">Benchmark verification speed against hardware coherence times to establish the feasibility of real-time topological certification (the Verification Volume metric).</w:t>
      </w:r>
    </w:p>
    <w:p>
      <w:pPr>
        <w:pStyle w:val="ListParagraph"/>
        <w:numPr>
          <w:ilvl w:val="0"/>
          <w:numId w:val="2"/>
        </w:numPr>
        <w:spacing w:after="80" w:line="276"/>
      </w:pPr>
      <w:r>
        <w:rPr>
          <w:rFonts w:ascii="Georgia" w:cs="Georgia" w:eastAsia="Georgia" w:hAnsi="Georgia"/>
          <w:sz w:val="24"/>
          <w:szCs w:val="24"/>
        </w:rPr>
        <w:t xml:space="preserve">Publish the verification toolkit as an open-source library for the Lean 4 community.</w:t>
      </w:r>
    </w:p>
    <w:p>
      <w:pPr>
        <w:pStyle w:val="Heading2"/>
        <w:spacing w:before="280" w:after="160"/>
      </w:pPr>
      <w:r>
        <w:rPr>
          <w:rFonts w:ascii="Georgia" w:cs="Georgia" w:eastAsia="Georgia" w:hAnsi="Georgia"/>
          <w:b/>
          <w:bCs/>
          <w:color w:val="2d3436"/>
          <w:sz w:val="28"/>
          <w:szCs w:val="28"/>
        </w:rPr>
        <w:t xml:space="preserve">Pillar II: Topological Quantum Computing</w:t>
      </w:r>
    </w:p>
    <w:p>
      <w:pPr>
        <w:spacing w:after="160" w:line="276"/>
      </w:pPr>
      <w:r>
        <w:rPr>
          <w:rFonts w:ascii="Georgia" w:cs="Georgia" w:eastAsia="Georgia" w:hAnsi="Georgia"/>
          <w:b/>
          <w:bCs/>
          <w:sz w:val="24"/>
          <w:szCs w:val="24"/>
        </w:rPr>
        <w:t xml:space="preserve">Current status. </w:t>
      </w:r>
      <w:r>
        <w:rPr>
          <w:rFonts w:ascii="Georgia" w:cs="Georgia" w:eastAsia="Georgia" w:hAnsi="Georgia"/>
          <w:sz w:val="24"/>
          <w:szCs w:val="24"/>
        </w:rPr>
        <w:t xml:space="preserve">The framework provides the first formal proof that gapless systems block topological invariant computation (Theorem: gapless_blocks_inversion). The Kitaev chain Hamiltonian is formalized as a Cl(2,0) vector field, with the winding number derived as rotor phase accumulation. All six edge mode theorems for the 3-site chain are verified by definitional evaluation.</w:t>
      </w:r>
    </w:p>
    <w:p>
      <w:pPr>
        <w:pStyle w:val="Heading3"/>
        <w:spacing w:before="200" w:after="120"/>
      </w:pPr>
      <w:r>
        <w:rPr>
          <w:rFonts w:ascii="Georgia" w:cs="Georgia" w:eastAsia="Georgia" w:hAnsi="Georgia"/>
          <w:b/>
          <w:bCs/>
          <w:i/>
          <w:iCs/>
          <w:color w:val="2d3436"/>
          <w:sz w:val="26"/>
          <w:szCs w:val="26"/>
        </w:rPr>
        <w:t xml:space="preserve">Year 1: Formal Majorana Certification</w:t>
      </w:r>
    </w:p>
    <w:p>
      <w:pPr>
        <w:pStyle w:val="ListParagraph"/>
        <w:numPr>
          <w:ilvl w:val="0"/>
          <w:numId w:val="2"/>
        </w:numPr>
        <w:spacing w:after="80" w:line="276"/>
      </w:pPr>
      <w:r>
        <w:rPr>
          <w:rFonts w:ascii="Georgia" w:cs="Georgia" w:eastAsia="Georgia" w:hAnsi="Georgia"/>
          <w:sz w:val="24"/>
          <w:szCs w:val="24"/>
        </w:rPr>
        <w:t xml:space="preserve">Formalize the taxonomy of Majorana imposters (ABS, Yu-Shiba-Rusinov states, quasi-MZMs) as distinct algebraic types in Lean 4, with formally proven distinguishing criteria based on nonlocal correlations and spin-selective Andreev reflection signatures.</w:t>
      </w:r>
    </w:p>
    <w:p>
      <w:pPr>
        <w:pStyle w:val="ListParagraph"/>
        <w:numPr>
          <w:ilvl w:val="0"/>
          <w:numId w:val="2"/>
        </w:numPr>
        <w:spacing w:after="80" w:line="276"/>
      </w:pPr>
      <w:r>
        <w:rPr>
          <w:rFonts w:ascii="Georgia" w:cs="Georgia" w:eastAsia="Georgia" w:hAnsi="Georgia"/>
          <w:sz w:val="24"/>
          <w:szCs w:val="24"/>
        </w:rPr>
        <w:t xml:space="preserve">Develop a formal specification of the multi-modal verification protocol: the conjunction of topological gap certification, nonlocal transport signatures, and spin texture consistency required to exclude all known imposter categories.</w:t>
      </w:r>
    </w:p>
    <w:p>
      <w:pPr>
        <w:pStyle w:val="ListParagraph"/>
        <w:numPr>
          <w:ilvl w:val="0"/>
          <w:numId w:val="2"/>
        </w:numPr>
        <w:spacing w:after="80" w:line="276"/>
      </w:pPr>
      <w:r>
        <w:rPr>
          <w:rFonts w:ascii="Georgia" w:cs="Georgia" w:eastAsia="Georgia" w:hAnsi="Georgia"/>
          <w:sz w:val="24"/>
          <w:szCs w:val="24"/>
        </w:rPr>
        <w:t xml:space="preserve">Formalize the Clifford algebra isomorphism between Majorana operators (γᵢγⱼ = −γⱼγᵢ) and Cl(n,0) basis vectors (eᵢeⱼ = −eⱼeᵢ) as a Lean 4 structure-preserving map.</w:t>
      </w:r>
    </w:p>
    <w:p>
      <w:pPr>
        <w:pStyle w:val="Heading3"/>
        <w:spacing w:before="200" w:after="120"/>
      </w:pPr>
      <w:r>
        <w:rPr>
          <w:rFonts w:ascii="Georgia" w:cs="Georgia" w:eastAsia="Georgia" w:hAnsi="Georgia"/>
          <w:b/>
          <w:bCs/>
          <w:i/>
          <w:iCs/>
          <w:color w:val="2d3436"/>
          <w:sz w:val="26"/>
          <w:szCs w:val="26"/>
        </w:rPr>
        <w:t xml:space="preserve">Year 2: Tetron Architecture Analysis</w:t>
      </w:r>
    </w:p>
    <w:p>
      <w:pPr>
        <w:pStyle w:val="ListParagraph"/>
        <w:numPr>
          <w:ilvl w:val="0"/>
          <w:numId w:val="2"/>
        </w:numPr>
        <w:spacing w:after="80" w:line="276"/>
      </w:pPr>
      <w:r>
        <w:rPr>
          <w:rFonts w:ascii="Georgia" w:cs="Georgia" w:eastAsia="Georgia" w:hAnsi="Georgia"/>
          <w:sz w:val="24"/>
          <w:szCs w:val="24"/>
        </w:rPr>
        <w:t xml:space="preserve">Apply the formal framework to the InAs/Al tetron architecture used in Microsoft’s Majorana 1 design. Formalize the two-wire tetron geometry and derive the conditions under which parity-based readout correctly reflects the topological state.</w:t>
      </w:r>
    </w:p>
    <w:p>
      <w:pPr>
        <w:pStyle w:val="ListParagraph"/>
        <w:numPr>
          <w:ilvl w:val="0"/>
          <w:numId w:val="2"/>
        </w:numPr>
        <w:spacing w:after="80" w:line="276"/>
      </w:pPr>
      <w:r>
        <w:rPr>
          <w:rFonts w:ascii="Georgia" w:cs="Georgia" w:eastAsia="Georgia" w:hAnsi="Georgia"/>
          <w:sz w:val="24"/>
          <w:szCs w:val="24"/>
        </w:rPr>
        <w:t xml:space="preserve">Model the critical distinction between topological gap protocol (TGP) measurements and genuine topological certification, formalizing what the interferometric measurement proves and what it does not.</w:t>
      </w:r>
    </w:p>
    <w:p>
      <w:pPr>
        <w:pStyle w:val="ListParagraph"/>
        <w:numPr>
          <w:ilvl w:val="0"/>
          <w:numId w:val="2"/>
        </w:numPr>
        <w:spacing w:after="80" w:line="276"/>
      </w:pPr>
      <w:r>
        <w:rPr>
          <w:rFonts w:ascii="Georgia" w:cs="Georgia" w:eastAsia="Georgia" w:hAnsi="Georgia"/>
          <w:sz w:val="24"/>
          <w:szCs w:val="24"/>
        </w:rPr>
        <w:t xml:space="preserve">Develop formal specifications for braiding operations in the measurement-based paradigm, building toward Stage 4 of the Digital Triplet verification workflow.</w:t>
      </w:r>
    </w:p>
    <w:p>
      <w:pPr>
        <w:pStyle w:val="Heading3"/>
        <w:spacing w:before="200" w:after="120"/>
      </w:pPr>
      <w:r>
        <w:rPr>
          <w:rFonts w:ascii="Georgia" w:cs="Georgia" w:eastAsia="Georgia" w:hAnsi="Georgia"/>
          <w:b/>
          <w:bCs/>
          <w:i/>
          <w:iCs/>
          <w:color w:val="2d3436"/>
          <w:sz w:val="26"/>
          <w:szCs w:val="26"/>
        </w:rPr>
        <w:t xml:space="preserve">Year 3: Publication and Community Building</w:t>
      </w:r>
    </w:p>
    <w:p>
      <w:pPr>
        <w:pStyle w:val="ListParagraph"/>
        <w:numPr>
          <w:ilvl w:val="0"/>
          <w:numId w:val="2"/>
        </w:numPr>
        <w:spacing w:after="80" w:line="276"/>
      </w:pPr>
      <w:r>
        <w:rPr>
          <w:rFonts w:ascii="Georgia" w:cs="Georgia" w:eastAsia="Georgia" w:hAnsi="Georgia"/>
          <w:sz w:val="24"/>
          <w:szCs w:val="24"/>
        </w:rPr>
        <w:t xml:space="preserve">Submit formal results to venues at the intersection of formal methods and quantum computing (QPL, LICS, ITP).</w:t>
      </w:r>
    </w:p>
    <w:p>
      <w:pPr>
        <w:pStyle w:val="ListParagraph"/>
        <w:numPr>
          <w:ilvl w:val="0"/>
          <w:numId w:val="2"/>
        </w:numPr>
        <w:spacing w:after="80" w:line="276"/>
      </w:pPr>
      <w:r>
        <w:rPr>
          <w:rFonts w:ascii="Georgia" w:cs="Georgia" w:eastAsia="Georgia" w:hAnsi="Georgia"/>
          <w:sz w:val="24"/>
          <w:szCs w:val="24"/>
        </w:rPr>
        <w:t xml:space="preserve">Engage with Microsoft Station Q, the Lean-QuantumInfo collaboration (QFormal), and DOE Quantum Information Science Research Centers to propose integration of formal verification into quantum hardware development pipelines.</w:t>
      </w:r>
    </w:p>
    <w:p>
      <w:pPr>
        <w:pStyle w:val="ListParagraph"/>
        <w:numPr>
          <w:ilvl w:val="0"/>
          <w:numId w:val="2"/>
        </w:numPr>
        <w:spacing w:after="80" w:line="276"/>
      </w:pPr>
      <w:r>
        <w:rPr>
          <w:rFonts w:ascii="Georgia" w:cs="Georgia" w:eastAsia="Georgia" w:hAnsi="Georgia"/>
          <w:sz w:val="24"/>
          <w:szCs w:val="24"/>
        </w:rPr>
        <w:t xml:space="preserve">Release a self-contained tutorial and benchmark suite demonstrating how topological certification can be applied to any parameterized BdG Hamiltonian.</w:t>
      </w:r>
    </w:p>
    <w:p>
      <w:pPr>
        <w:pStyle w:val="Heading2"/>
        <w:spacing w:before="280" w:after="160"/>
      </w:pPr>
      <w:r>
        <w:rPr>
          <w:rFonts w:ascii="Georgia" w:cs="Georgia" w:eastAsia="Georgia" w:hAnsi="Georgia"/>
          <w:b/>
          <w:bCs/>
          <w:color w:val="2d3436"/>
          <w:sz w:val="28"/>
          <w:szCs w:val="28"/>
        </w:rPr>
        <w:t xml:space="preserve">Pillar III: Fusion Energy</w:t>
      </w:r>
    </w:p>
    <w:p>
      <w:pPr>
        <w:spacing w:after="160" w:line="276"/>
      </w:pPr>
      <w:r>
        <w:rPr>
          <w:rFonts w:ascii="Georgia" w:cs="Georgia" w:eastAsia="Georgia" w:hAnsi="Georgia"/>
          <w:b/>
          <w:bCs/>
          <w:sz w:val="24"/>
          <w:szCs w:val="24"/>
        </w:rPr>
        <w:t xml:space="preserve">Current status. </w:t>
      </w:r>
      <w:r>
        <w:rPr>
          <w:rFonts w:ascii="Georgia" w:cs="Georgia" w:eastAsia="Georgia" w:hAnsi="Georgia"/>
          <w:sz w:val="24"/>
          <w:szCs w:val="24"/>
        </w:rPr>
        <w:t xml:space="preserve">The framework extends Cl(3,0) rotor fields to model magnetic bivectors in plasma, with numerical validation of Taylor relaxation on a 48³ spectral grid. The protection hierarchy (points in 2D are unprotected; knotted filaments in 3D provide topological protection) provides a formal basis for the stellarator advantage: 3D magnetic topology resists disruption through discrete knot invariants.</w:t>
      </w:r>
    </w:p>
    <w:p>
      <w:pPr>
        <w:pStyle w:val="Heading3"/>
        <w:spacing w:before="200" w:after="120"/>
      </w:pPr>
      <w:r>
        <w:rPr>
          <w:rFonts w:ascii="Georgia" w:cs="Georgia" w:eastAsia="Georgia" w:hAnsi="Georgia"/>
          <w:b/>
          <w:bCs/>
          <w:i/>
          <w:iCs/>
          <w:color w:val="2d3436"/>
          <w:sz w:val="26"/>
          <w:szCs w:val="26"/>
        </w:rPr>
        <w:t xml:space="preserve">Year 1: MHD Formalization</w:t>
      </w:r>
    </w:p>
    <w:p>
      <w:pPr>
        <w:pStyle w:val="ListParagraph"/>
        <w:numPr>
          <w:ilvl w:val="0"/>
          <w:numId w:val="2"/>
        </w:numPr>
        <w:spacing w:after="80" w:line="276"/>
      </w:pPr>
      <w:r>
        <w:rPr>
          <w:rFonts w:ascii="Georgia" w:cs="Georgia" w:eastAsia="Georgia" w:hAnsi="Georgia"/>
          <w:sz w:val="24"/>
          <w:szCs w:val="24"/>
        </w:rPr>
        <w:t xml:space="preserve">Formalize the magnetic bivector representation in Cl(3,0) and the Taylor relaxation theorem: resistive diffusion drives multi-scale magnetic fields toward the minimum-energy Beltrami state at fixed helicity.</w:t>
      </w:r>
    </w:p>
    <w:p>
      <w:pPr>
        <w:pStyle w:val="ListParagraph"/>
        <w:numPr>
          <w:ilvl w:val="0"/>
          <w:numId w:val="2"/>
        </w:numPr>
        <w:spacing w:after="80" w:line="276"/>
      </w:pPr>
      <w:r>
        <w:rPr>
          <w:rFonts w:ascii="Georgia" w:cs="Georgia" w:eastAsia="Georgia" w:hAnsi="Georgia"/>
          <w:sz w:val="24"/>
          <w:szCs w:val="24"/>
        </w:rPr>
        <w:t xml:space="preserve">Encode the helicity conservation constraint as a type-level invariant, analogous to IsGappedAt for the condensed matter case.</w:t>
      </w:r>
    </w:p>
    <w:p>
      <w:pPr>
        <w:pStyle w:val="ListParagraph"/>
        <w:numPr>
          <w:ilvl w:val="0"/>
          <w:numId w:val="2"/>
        </w:numPr>
        <w:spacing w:after="80" w:line="276"/>
      </w:pPr>
      <w:r>
        <w:rPr>
          <w:rFonts w:ascii="Georgia" w:cs="Georgia" w:eastAsia="Georgia" w:hAnsi="Georgia"/>
          <w:sz w:val="24"/>
          <w:szCs w:val="24"/>
        </w:rPr>
        <w:t xml:space="preserve">Extend numerical simulations to realistic stellarator geometries, benchmarking against Wendelstein 7-X operational data where available.</w:t>
      </w:r>
    </w:p>
    <w:p>
      <w:pPr>
        <w:pStyle w:val="Heading3"/>
        <w:spacing w:before="200" w:after="120"/>
      </w:pPr>
      <w:r>
        <w:rPr>
          <w:rFonts w:ascii="Georgia" w:cs="Georgia" w:eastAsia="Georgia" w:hAnsi="Georgia"/>
          <w:b/>
          <w:bCs/>
          <w:i/>
          <w:iCs/>
          <w:color w:val="2d3436"/>
          <w:sz w:val="26"/>
          <w:szCs w:val="26"/>
        </w:rPr>
        <w:t xml:space="preserve">Year 2: Stellarator Optimization</w:t>
      </w:r>
    </w:p>
    <w:p>
      <w:pPr>
        <w:pStyle w:val="ListParagraph"/>
        <w:numPr>
          <w:ilvl w:val="0"/>
          <w:numId w:val="2"/>
        </w:numPr>
        <w:spacing w:after="80" w:line="276"/>
      </w:pPr>
      <w:r>
        <w:rPr>
          <w:rFonts w:ascii="Georgia" w:cs="Georgia" w:eastAsia="Georgia" w:hAnsi="Georgia"/>
          <w:sz w:val="24"/>
          <w:szCs w:val="24"/>
        </w:rPr>
        <w:t xml:space="preserve">Develop a formal framework for classifying magnetic field line topologies by their protection level (unprotected/energetic/topological), providing rigorous criteria for when a confinement configuration achieves topological stability.</w:t>
      </w:r>
    </w:p>
    <w:p>
      <w:pPr>
        <w:pStyle w:val="ListParagraph"/>
        <w:numPr>
          <w:ilvl w:val="0"/>
          <w:numId w:val="2"/>
        </w:numPr>
        <w:spacing w:after="80" w:line="276"/>
      </w:pPr>
      <w:r>
        <w:rPr>
          <w:rFonts w:ascii="Georgia" w:cs="Georgia" w:eastAsia="Georgia" w:hAnsi="Georgia"/>
          <w:sz w:val="24"/>
          <w:szCs w:val="24"/>
        </w:rPr>
        <w:t xml:space="preserve">Investigate connections between the Simons Collaboration’s work on hidden symmetries in stellarators and the Clifford algebra classification of magnetic field structures.</w:t>
      </w:r>
    </w:p>
    <w:p>
      <w:pPr>
        <w:pStyle w:val="ListParagraph"/>
        <w:numPr>
          <w:ilvl w:val="0"/>
          <w:numId w:val="2"/>
        </w:numPr>
        <w:spacing w:after="80" w:line="276"/>
      </w:pPr>
      <w:r>
        <w:rPr>
          <w:rFonts w:ascii="Georgia" w:cs="Georgia" w:eastAsia="Georgia" w:hAnsi="Georgia"/>
          <w:sz w:val="24"/>
          <w:szCs w:val="24"/>
        </w:rPr>
        <w:t xml:space="preserve">Apply the formal divertor topology analysis (turnstile mechanisms, x-point classification) to stellarator configurations from the QUASR database.</w:t>
      </w:r>
    </w:p>
    <w:p>
      <w:pPr>
        <w:pStyle w:val="Heading3"/>
        <w:spacing w:before="200" w:after="120"/>
      </w:pPr>
      <w:r>
        <w:rPr>
          <w:rFonts w:ascii="Georgia" w:cs="Georgia" w:eastAsia="Georgia" w:hAnsi="Georgia"/>
          <w:b/>
          <w:bCs/>
          <w:i/>
          <w:iCs/>
          <w:color w:val="2d3436"/>
          <w:sz w:val="26"/>
          <w:szCs w:val="26"/>
        </w:rPr>
        <w:t xml:space="preserve">Year 3: Cross-Pillar Integration</w:t>
      </w:r>
    </w:p>
    <w:p>
      <w:pPr>
        <w:pStyle w:val="ListParagraph"/>
        <w:numPr>
          <w:ilvl w:val="0"/>
          <w:numId w:val="2"/>
        </w:numPr>
        <w:spacing w:after="80" w:line="276"/>
      </w:pPr>
      <w:r>
        <w:rPr>
          <w:rFonts w:ascii="Georgia" w:cs="Georgia" w:eastAsia="Georgia" w:hAnsi="Georgia"/>
          <w:sz w:val="24"/>
          <w:szCs w:val="24"/>
        </w:rPr>
        <w:t xml:space="preserve">Publish the unified Cl(3,0) framework connecting condensed matter topology and MHD as a single formalized theory.</w:t>
      </w:r>
    </w:p>
    <w:p>
      <w:pPr>
        <w:pStyle w:val="ListParagraph"/>
        <w:numPr>
          <w:ilvl w:val="0"/>
          <w:numId w:val="2"/>
        </w:numPr>
        <w:spacing w:after="80" w:line="276"/>
      </w:pPr>
      <w:r>
        <w:rPr>
          <w:rFonts w:ascii="Georgia" w:cs="Georgia" w:eastAsia="Georgia" w:hAnsi="Georgia"/>
          <w:sz w:val="24"/>
          <w:szCs w:val="24"/>
        </w:rPr>
        <w:t xml:space="preserve">Demonstrate that the same Lean 4 verification engine can certify both topological quantum states and magnetic confinement configurations, establishing formal verification as a cross-domain methodology.</w:t>
      </w:r>
    </w:p>
    <w:p>
      <w:pPr>
        <w:pStyle w:val="ListParagraph"/>
        <w:numPr>
          <w:ilvl w:val="0"/>
          <w:numId w:val="2"/>
        </w:numPr>
        <w:spacing w:after="80" w:line="276"/>
      </w:pPr>
      <w:r>
        <w:rPr>
          <w:rFonts w:ascii="Georgia" w:cs="Georgia" w:eastAsia="Georgia" w:hAnsi="Georgia"/>
          <w:sz w:val="24"/>
          <w:szCs w:val="24"/>
        </w:rPr>
        <w:t xml:space="preserve">Develop design optimization tools that use formal constraints (topological protection requirements) to guide stellarator coil configurations.</w:t>
      </w:r>
    </w:p>
    <w:p>
      <w:r>
        <w:br w:type="page"/>
      </w:r>
    </w:p>
    <w:p>
      <w:pPr>
        <w:pStyle w:val="Heading1"/>
        <w:spacing w:before="360" w:after="200"/>
      </w:pPr>
      <w:r>
        <w:rPr>
          <w:rFonts w:ascii="Georgia" w:cs="Georgia" w:eastAsia="Georgia" w:hAnsi="Georgia"/>
          <w:b/>
          <w:bCs/>
          <w:color w:val="1a1a2e"/>
          <w:sz w:val="32"/>
          <w:szCs w:val="32"/>
        </w:rPr>
        <w:t xml:space="preserve">3. Existing Results and Validation</w:t>
      </w:r>
    </w:p>
    <w:p>
      <w:pPr>
        <w:spacing w:after="160" w:line="276"/>
      </w:pPr>
      <w:r>
        <w:rPr>
          <w:rFonts w:ascii="Georgia" w:cs="Georgia" w:eastAsia="Georgia" w:hAnsi="Georgia"/>
          <w:sz w:val="24"/>
          <w:szCs w:val="24"/>
        </w:rPr>
        <w:t xml:space="preserve">The following results are complete, publicly available, and independently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Artifact</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Lean 4 Formalization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835 lines, Cl(2,0) + Cl(3,0), 7 theorems, 0 sorry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Complete, MIT licensed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gapless_blocks_inversion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Formal proof: gapless systems block invariant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Verified by Lean 4 kernel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Edge Mode Theorems (6)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Bulk-boundary correspondence for 3-site chain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All proved by rfl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Taylor Relaxation Sim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48³ grid, energy decays 4.4× faster than helicity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Matches formal prediction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GP Vortex Simulations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2D/3D Gross-Pitaevskii dynamics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Validates protection hierarchy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White Paper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6-page paper with full axiom accounting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Published, GitHub</w:t>
            </w:r>
          </w:p>
        </w:tc>
      </w:tr>
    </w:tbl>
    <w:p>
      <w:pPr>
        <w:spacing w:after="200"/>
      </w:pPr>
    </w:p>
    <w:p>
      <w:pPr>
        <w:spacing w:after="160" w:line="276"/>
      </w:pPr>
      <w:r>
        <w:rPr>
          <w:rFonts w:ascii="Georgia" w:cs="Georgia" w:eastAsia="Georgia" w:hAnsi="Georgia"/>
          <w:sz w:val="24"/>
          <w:szCs w:val="24"/>
        </w:rPr>
        <w:t xml:space="preserve">The axiom accounting methodology is a distinctive feature of this work. The framework explicitly separates what is derived purely from Cl(n,0) rules (requiring zero axioms) from what requires empirical physics input (e.g., GP evolution, resistive MHD decay rates). This transparency allows any reviewer to trace every claim to its foundation.</w:t>
      </w:r>
    </w:p>
    <w:p>
      <w:pPr>
        <w:pStyle w:val="Heading1"/>
        <w:spacing w:before="360" w:after="200"/>
      </w:pPr>
      <w:r>
        <w:rPr>
          <w:rFonts w:ascii="Georgia" w:cs="Georgia" w:eastAsia="Georgia" w:hAnsi="Georgia"/>
          <w:b/>
          <w:bCs/>
          <w:color w:val="1a1a2e"/>
          <w:sz w:val="32"/>
          <w:szCs w:val="32"/>
        </w:rPr>
        <w:t xml:space="preserve">4. Methodology</w:t>
      </w:r>
    </w:p>
    <w:p>
      <w:pPr>
        <w:pStyle w:val="Heading2"/>
        <w:spacing w:before="280" w:after="160"/>
      </w:pPr>
      <w:r>
        <w:rPr>
          <w:rFonts w:ascii="Georgia" w:cs="Georgia" w:eastAsia="Georgia" w:hAnsi="Georgia"/>
          <w:b/>
          <w:bCs/>
          <w:color w:val="2d3436"/>
          <w:sz w:val="28"/>
          <w:szCs w:val="28"/>
        </w:rPr>
        <w:t xml:space="preserve">4.1 Formal Methods</w:t>
      </w:r>
    </w:p>
    <w:p>
      <w:pPr>
        <w:spacing w:after="160" w:line="276"/>
      </w:pPr>
      <w:r>
        <w:rPr>
          <w:rFonts w:ascii="Georgia" w:cs="Georgia" w:eastAsia="Georgia" w:hAnsi="Georgia"/>
          <w:sz w:val="24"/>
          <w:szCs w:val="24"/>
        </w:rPr>
        <w:t xml:space="preserve">All theoretical results will be formalized in Lean 4, with compilation against the Lean 4 kernel as the sole acceptance criterion for mathematical claims. The research will maintain the zero-axiom standard established in the existing codebase: any assumption that cannot be derived from the Clifford algebra rules or proved from first principles will be explicitly flagged as an empirical input in the axiom accounting ledger.</w:t>
      </w:r>
    </w:p>
    <w:p>
      <w:pPr>
        <w:pStyle w:val="Heading2"/>
        <w:spacing w:before="280" w:after="160"/>
      </w:pPr>
      <w:r>
        <w:rPr>
          <w:rFonts w:ascii="Georgia" w:cs="Georgia" w:eastAsia="Georgia" w:hAnsi="Georgia"/>
          <w:b/>
          <w:bCs/>
          <w:color w:val="2d3436"/>
          <w:sz w:val="28"/>
          <w:szCs w:val="28"/>
        </w:rPr>
        <w:t xml:space="preserve">4.2 Numerical Validation</w:t>
      </w:r>
    </w:p>
    <w:p>
      <w:pPr>
        <w:spacing w:after="160" w:line="276"/>
      </w:pPr>
      <w:r>
        <w:rPr>
          <w:rFonts w:ascii="Georgia" w:cs="Georgia" w:eastAsia="Georgia" w:hAnsi="Georgia"/>
          <w:sz w:val="24"/>
          <w:szCs w:val="24"/>
        </w:rPr>
        <w:t xml:space="preserve">Every formal prediction will be paired with a numerical simulation testing the prediction quantitatively. The validation protocol follows the established pattern: simulations that succeed where the formal framework predicts satisfiable preconditions, and fail (or produce undefined results) where the framework predicts unsatisfiable proof obligations. The current simulation suite (Python 3.12, NumPy, with JAX-based GPU solvers for 3D systems) will be extended as the formal framework grows.</w:t>
      </w:r>
    </w:p>
    <w:p>
      <w:pPr>
        <w:pStyle w:val="Heading2"/>
        <w:spacing w:before="280" w:after="160"/>
      </w:pPr>
      <w:r>
        <w:rPr>
          <w:rFonts w:ascii="Georgia" w:cs="Georgia" w:eastAsia="Georgia" w:hAnsi="Georgia"/>
          <w:b/>
          <w:bCs/>
          <w:color w:val="2d3436"/>
          <w:sz w:val="28"/>
          <w:szCs w:val="28"/>
        </w:rPr>
        <w:t xml:space="preserve">4.3 Open Science</w:t>
      </w:r>
    </w:p>
    <w:p>
      <w:pPr>
        <w:spacing w:after="160" w:line="276"/>
      </w:pPr>
      <w:r>
        <w:rPr>
          <w:rFonts w:ascii="Georgia" w:cs="Georgia" w:eastAsia="Georgia" w:hAnsi="Georgia"/>
          <w:sz w:val="24"/>
          <w:szCs w:val="24"/>
        </w:rPr>
        <w:t xml:space="preserve">All code, proofs, simulations, and data will remain publicly available under the MIT license on GitHub. The research program follows a “compiler is the credential” philosophy: the primary deliverable at each milestone is code that compiles and simulations that reproduce. This approach is designed to lower the barrier for external verification and to enable collaboration with the broader Lean 4 and physics communities.</w:t>
      </w:r>
    </w:p>
    <w:p>
      <w:pPr>
        <w:pStyle w:val="Heading1"/>
        <w:spacing w:before="360" w:after="200"/>
      </w:pPr>
      <w:r>
        <w:rPr>
          <w:rFonts w:ascii="Georgia" w:cs="Georgia" w:eastAsia="Georgia" w:hAnsi="Georgia"/>
          <w:b/>
          <w:bCs/>
          <w:color w:val="1a1a2e"/>
          <w:sz w:val="32"/>
          <w:szCs w:val="32"/>
        </w:rPr>
        <w:t xml:space="preserve">5. Strategic Alignment</w:t>
      </w:r>
    </w:p>
    <w:p>
      <w:pPr>
        <w:spacing w:after="160" w:line="276"/>
      </w:pPr>
      <w:r>
        <w:rPr>
          <w:rFonts w:ascii="Georgia" w:cs="Georgia" w:eastAsia="Georgia" w:hAnsi="Georgia"/>
          <w:sz w:val="24"/>
          <w:szCs w:val="24"/>
        </w:rPr>
        <w:t xml:space="preserve">This research program addresses priorities across multiple federal funding landscapes and private-sector initiatives.</w:t>
      </w:r>
    </w:p>
    <w:p>
      <w:pPr>
        <w:pStyle w:val="Heading2"/>
        <w:spacing w:before="280" w:after="160"/>
      </w:pPr>
      <w:r>
        <w:rPr>
          <w:rFonts w:ascii="Georgia" w:cs="Georgia" w:eastAsia="Georgia" w:hAnsi="Georgia"/>
          <w:b/>
          <w:bCs/>
          <w:color w:val="2d3436"/>
          <w:sz w:val="28"/>
          <w:szCs w:val="28"/>
        </w:rPr>
        <w:t xml:space="preserve">5.1 Quantum Information Science</w:t>
      </w:r>
    </w:p>
    <w:p>
      <w:pPr>
        <w:spacing w:after="160" w:line="276"/>
      </w:pPr>
      <w:r>
        <w:rPr>
          <w:rFonts w:ascii="Georgia" w:cs="Georgia" w:eastAsia="Georgia" w:hAnsi="Georgia"/>
          <w:sz w:val="24"/>
          <w:szCs w:val="24"/>
        </w:rPr>
        <w:t xml:space="preserve">The White House Office of Science and Technology Policy has identified quantum information science as the second-highest emerging technology priority after AI for the FY 2027 budget. The DOE Quantum Leadership Act of 2025 proposes $2.5 billion across FY 2026–2030. DARPA’s Quantum Benchmarking Initiative (QBI), launched in November 2025 with $250 million in additional appropriations, specifically seeks approaches to verify and validate proposed paths to fault-tolerant quantum computing—precisely the capability this research delivers.</w:t>
      </w:r>
    </w:p>
    <w:p>
      <w:pPr>
        <w:pStyle w:val="Heading2"/>
        <w:spacing w:before="280" w:after="160"/>
      </w:pPr>
      <w:r>
        <w:rPr>
          <w:rFonts w:ascii="Georgia" w:cs="Georgia" w:eastAsia="Georgia" w:hAnsi="Georgia"/>
          <w:b/>
          <w:bCs/>
          <w:color w:val="2d3436"/>
          <w:sz w:val="28"/>
          <w:szCs w:val="28"/>
        </w:rPr>
        <w:t xml:space="preserve">5.2 Formal Verification and AI Safety</w:t>
      </w:r>
    </w:p>
    <w:p>
      <w:pPr>
        <w:spacing w:after="160" w:line="276"/>
      </w:pPr>
      <w:r>
        <w:rPr>
          <w:rFonts w:ascii="Georgia" w:cs="Georgia" w:eastAsia="Georgia" w:hAnsi="Georgia"/>
          <w:sz w:val="24"/>
          <w:szCs w:val="24"/>
        </w:rPr>
        <w:t xml:space="preserve">The convergence of formal verification and AI represents a significant funding opportunity. Lean 4 is being adopted by major AI laboratories as a foundation for hallucination-free reasoning. This research extends that verification capability to quantum hardware, addressing a recognized gap: current formal verification tools can certify quantum circuits and algorithms, but cannot certify the topological properties of the physical substrates those circuits run on. The proposed work fills this gap.</w:t>
      </w:r>
    </w:p>
    <w:p>
      <w:pPr>
        <w:pStyle w:val="Heading2"/>
        <w:spacing w:before="280" w:after="160"/>
      </w:pPr>
      <w:r>
        <w:rPr>
          <w:rFonts w:ascii="Georgia" w:cs="Georgia" w:eastAsia="Georgia" w:hAnsi="Georgia"/>
          <w:b/>
          <w:bCs/>
          <w:color w:val="2d3436"/>
          <w:sz w:val="28"/>
          <w:szCs w:val="28"/>
        </w:rPr>
        <w:t xml:space="preserve">5.3 Fusion Energy</w:t>
      </w:r>
    </w:p>
    <w:p>
      <w:pPr>
        <w:spacing w:after="160" w:line="276"/>
      </w:pPr>
      <w:r>
        <w:rPr>
          <w:rFonts w:ascii="Georgia" w:cs="Georgia" w:eastAsia="Georgia" w:hAnsi="Georgia"/>
          <w:sz w:val="24"/>
          <w:szCs w:val="24"/>
        </w:rPr>
        <w:t xml:space="preserve">DOE Fusion Energy Sciences supports stellarator research through the U.S. participation in W7-X and through the Milestone-Based Fusion Development Program, which includes stellarator ventures Thea Energy and Type One Energy. The NSF-funded Simons Collaboration on Hidden Symmetries and Fusion Energy directly studies the mathematical structures (magnetic field topology, optimization of confinement) that this research formalizes. The proposed Cl(3,0) framework provides a new mathematical tool for these existing programs.</w:t>
      </w:r>
    </w:p>
    <w:p>
      <w:pPr>
        <w:pStyle w:val="Heading2"/>
        <w:spacing w:before="280" w:after="160"/>
      </w:pPr>
      <w:r>
        <w:rPr>
          <w:rFonts w:ascii="Georgia" w:cs="Georgia" w:eastAsia="Georgia" w:hAnsi="Georgia"/>
          <w:b/>
          <w:bCs/>
          <w:color w:val="2d3436"/>
          <w:sz w:val="28"/>
          <w:szCs w:val="28"/>
        </w:rPr>
        <w:t xml:space="preserve">5.4 Target Institutions and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Institution/Program</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Alignment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Federal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DARPA QBI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Verification of fault-tolerant quantum architectures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Federal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DOE NQISRCs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Formal methods for quantum hardware certification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Federal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NSF NQNI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Quantum infrastructure and verification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Federal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DOE Fusion Energy Sciences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Stellarator magnetic topology optimization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Academic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Simons Collaboration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Hidden symmetries, magnetic field topology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Academic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QFormal / Lean-QuantumInfo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Lean 4 quantum formalization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Industry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Microsoft Station Q</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Majorana verification, tetron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Industry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Stellarator ventures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Magnetic confinement optimization</w:t>
            </w:r>
          </w:p>
        </w:tc>
      </w:tr>
    </w:tbl>
    <w:p>
      <w:r>
        <w:br w:type="page"/>
      </w:r>
    </w:p>
    <w:p>
      <w:pPr>
        <w:pStyle w:val="Heading1"/>
        <w:spacing w:before="360" w:after="200"/>
      </w:pPr>
      <w:r>
        <w:rPr>
          <w:rFonts w:ascii="Georgia" w:cs="Georgia" w:eastAsia="Georgia" w:hAnsi="Georgia"/>
          <w:b/>
          <w:bCs/>
          <w:color w:val="1a1a2e"/>
          <w:sz w:val="32"/>
          <w:szCs w:val="32"/>
        </w:rPr>
        <w:t xml:space="preserve">6.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200"/>
        <w:gridCol w:w="1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Quarter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Pillar I: Verification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Pillar II: Quantum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Pillar III: Fusion</w:t>
            </w:r>
          </w:p>
        </w:tc>
        <w:tc>
          <w:tcPr>
            <w:tcW w:type="dxa" w:w="1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Y1 Q1–Q2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Mathlib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Imposter taxonomy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MHD formalization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Lean 4 library v2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Y1 Q3–Q4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BdG generalization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Multi-modal spec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Stellarator sims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First paper (ITP)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Y2 Q1–Q2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Tactic automation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Tetron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Topology classifier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Lean-QuantumInfo PR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Y2 Q3–Q4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Protection hierarchy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Braiding specs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Simons collab</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Second paper (QPL)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Y3 Q1–Q2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Digital Triplet PoC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Benchmark suite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Cross-pillar unify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Open-source toolkit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Y3 Q3–Q4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VV benchmarks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Community 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Optimization tools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Capstone paper</w:t>
            </w:r>
          </w:p>
        </w:tc>
      </w:tr>
    </w:tbl>
    <w:p>
      <w:pPr>
        <w:spacing w:after="200"/>
      </w:pPr>
    </w:p>
    <w:p>
      <w:pPr>
        <w:pStyle w:val="Heading1"/>
        <w:spacing w:before="360" w:after="200"/>
      </w:pPr>
      <w:r>
        <w:rPr>
          <w:rFonts w:ascii="Georgia" w:cs="Georgia" w:eastAsia="Georgia" w:hAnsi="Georgia"/>
          <w:b/>
          <w:bCs/>
          <w:color w:val="1a1a2e"/>
          <w:sz w:val="32"/>
          <w:szCs w:val="32"/>
        </w:rPr>
        <w:t xml:space="preserve">7. Budget Overview</w:t>
      </w:r>
    </w:p>
    <w:p>
      <w:pPr>
        <w:spacing w:after="160" w:line="276"/>
      </w:pPr>
      <w:r>
        <w:rPr>
          <w:rFonts w:ascii="Georgia" w:cs="Georgia" w:eastAsia="Georgia" w:hAnsi="Georgia"/>
          <w:sz w:val="24"/>
          <w:szCs w:val="24"/>
        </w:rPr>
        <w:t xml:space="preserve">Budget estimates are provided as guidance and are adaptable to the funding mechanism. The research can be structured as a single integrated program or as modular projects aligned with individual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Year 1</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Year 2</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Year 3</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PI Salary + Benefits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$85,000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$88,000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$91,000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Graduate/Postdoc Researcher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$55,000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$57,000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$59,000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Computing (GPU clusters, cloud)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$20,000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$20,000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Travel (conferences, collaboration)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$10,000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$12,000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Publication and open-access fees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$3,000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$4,000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Total Direct Costs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$165,000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$178,000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20"/>
                <w:szCs w:val="20"/>
              </w:rPr>
              <w:t xml:space="preserve">$186,000</w:t>
            </w:r>
          </w:p>
        </w:tc>
      </w:tr>
    </w:tbl>
    <w:p>
      <w:pPr>
        <w:spacing w:after="100"/>
      </w:pPr>
    </w:p>
    <w:p>
      <w:pPr>
        <w:spacing w:after="160" w:line="276"/>
      </w:pPr>
      <w:r>
        <w:rPr>
          <w:rFonts w:ascii="Georgia" w:cs="Georgia" w:eastAsia="Georgia" w:hAnsi="Georgia"/>
          <w:sz w:val="24"/>
          <w:szCs w:val="24"/>
        </w:rPr>
        <w:t xml:space="preserve">Total estimated direct costs: $529,000 over three years. Indirect costs vary by host institution. The program is designed to be viable at smaller scales; Pillar I alone could be pursued as a focused postdoctoral project at approximately $140,000/year.</w:t>
      </w:r>
    </w:p>
    <w:p>
      <w:pPr>
        <w:pStyle w:val="Heading1"/>
        <w:spacing w:before="360" w:after="200"/>
      </w:pPr>
      <w:r>
        <w:rPr>
          <w:rFonts w:ascii="Georgia" w:cs="Georgia" w:eastAsia="Georgia" w:hAnsi="Georgia"/>
          <w:b/>
          <w:bCs/>
          <w:color w:val="1a1a2e"/>
          <w:sz w:val="32"/>
          <w:szCs w:val="32"/>
        </w:rPr>
        <w:t xml:space="preserve">8. Principal Investigator</w:t>
      </w:r>
    </w:p>
    <w:p>
      <w:pPr>
        <w:spacing w:after="160" w:line="276"/>
      </w:pPr>
      <w:r>
        <w:rPr>
          <w:rFonts w:ascii="Georgia" w:cs="Georgia" w:eastAsia="Georgia" w:hAnsi="Georgia"/>
          <w:sz w:val="24"/>
          <w:szCs w:val="24"/>
        </w:rPr>
        <w:t xml:space="preserve">Adrian Domingo is an independent researcher with a graphic design background who has spent the past year developing the Geometry of State framework through intensive self-directed study of topology, formal verification, and computational physics, with AI tools as the primary implementation medium. This proposal is transparent about what this background includes and what it does not.</w:t>
      </w:r>
    </w:p>
    <w:p>
      <w:pPr>
        <w:spacing w:after="160" w:line="276"/>
      </w:pPr>
      <w:r>
        <w:rPr>
          <w:rFonts w:ascii="Georgia" w:cs="Georgia" w:eastAsia="Georgia" w:hAnsi="Georgia"/>
          <w:b/>
          <w:bCs/>
          <w:sz w:val="24"/>
          <w:szCs w:val="24"/>
        </w:rPr>
        <w:t xml:space="preserve">What the PI brings: </w:t>
      </w:r>
      <w:r>
        <w:rPr>
          <w:rFonts w:ascii="Georgia" w:cs="Georgia" w:eastAsia="Georgia" w:hAnsi="Georgia"/>
          <w:sz w:val="24"/>
          <w:szCs w:val="24"/>
        </w:rPr>
        <w:t xml:space="preserve">A demonstrated ability to synthesize insights across domains (Clifford algebra, topological physics, formal verification, MHD) into a unified, working framework. The existing codebase—835 lines of zero-dependency Lean 4 with zero unproven lemmas, validated by multiple numerical simulations—constitutes a concrete artifact that can be evaluated on its merits. The PI has strong visual communication skills applicable to presenting complex mathematical structures, and a consistent track record of updating conclusions when evidence contradicts hypotheses.</w:t>
      </w:r>
    </w:p>
    <w:p>
      <w:pPr>
        <w:spacing w:after="160" w:line="276"/>
      </w:pPr>
      <w:r>
        <w:rPr>
          <w:rFonts w:ascii="Georgia" w:cs="Georgia" w:eastAsia="Georgia" w:hAnsi="Georgia"/>
          <w:b/>
          <w:bCs/>
          <w:sz w:val="24"/>
          <w:szCs w:val="24"/>
        </w:rPr>
        <w:t xml:space="preserve">What the PI seeks: </w:t>
      </w:r>
      <w:r>
        <w:rPr>
          <w:rFonts w:ascii="Georgia" w:cs="Georgia" w:eastAsia="Georgia" w:hAnsi="Georgia"/>
          <w:sz w:val="24"/>
          <w:szCs w:val="24"/>
        </w:rPr>
        <w:t xml:space="preserve">Institutional affiliation, access to domain experts (condensed matter experimentalists, Lean 4 developers, plasma physicists), and the research infrastructure to scale the framework from its current proof-of-concept to a production-quality verification toolkit. The PI is suited to a research position that values cross-domain synthesis and formal implementation, with mentorship from established researchers in the target domains.</w:t>
      </w:r>
    </w:p>
    <w:p>
      <w:pPr>
        <w:spacing w:after="160" w:line="276"/>
      </w:pPr>
      <w:r>
        <w:rPr>
          <w:rFonts w:ascii="Georgia" w:cs="Georgia" w:eastAsia="Georgia" w:hAnsi="Georgia"/>
          <w:sz w:val="24"/>
          <w:szCs w:val="24"/>
        </w:rPr>
        <w:t xml:space="preserve">The complete codebase, white paper, and simulation suite are available for review at </w:t>
      </w:r>
      <w:hyperlink w:history="1" r:id="rIdlhmmi4hdk7ugbwqcasojq">
        <w:r>
          <w:rPr>
            <w:rFonts w:ascii="Georgia" w:cs="Georgia" w:eastAsia="Georgia" w:hAnsi="Georgia"/>
            <w:color w:val="2980b9"/>
            <w:sz w:val="24"/>
            <w:szCs w:val="24"/>
            <w:u w:val="single"/>
          </w:rPr>
          <w:t xml:space="preserve">github.com/GoS-Architect/GeometryOfState</w:t>
        </w:r>
      </w:hyperlink>
      <w:r>
        <w:rPr>
          <w:rFonts w:ascii="Georgia" w:cs="Georgia" w:eastAsia="Georgia" w:hAnsi="Georgia"/>
          <w:sz w:val="24"/>
          <w:szCs w:val="24"/>
        </w:rPr>
        <w:t xml:space="preserve">. The compiler is the credential.</w:t>
      </w:r>
    </w:p>
    <w:p>
      <w:pPr>
        <w:pStyle w:val="Heading1"/>
        <w:spacing w:before="360" w:after="200"/>
      </w:pPr>
      <w:r>
        <w:rPr>
          <w:rFonts w:ascii="Georgia" w:cs="Georgia" w:eastAsia="Georgia" w:hAnsi="Georgia"/>
          <w:b/>
          <w:bCs/>
          <w:color w:val="1a1a2e"/>
          <w:sz w:val="32"/>
          <w:szCs w:val="32"/>
        </w:rPr>
        <w:t xml:space="preserve">9. Conclusion</w:t>
      </w:r>
    </w:p>
    <w:p>
      <w:pPr>
        <w:spacing w:after="160" w:line="276"/>
      </w:pPr>
      <w:r>
        <w:rPr>
          <w:rFonts w:ascii="Georgia" w:cs="Georgia" w:eastAsia="Georgia" w:hAnsi="Georgia"/>
          <w:sz w:val="24"/>
          <w:szCs w:val="24"/>
        </w:rPr>
        <w:t xml:space="preserve">The Geometry of State framework demonstrates that a single Clifford algebra foundation can unify topological quantum computing and fusion plasma confinement under a common formal verification methodology. The core insight—that topological phase transitions are type errors—is not a metaphor but a verified theorem. The proposed three-year research program extends this foundation into a practical toolkit for certifying topological quantum hardware, optimizing stellarator magnetic confinement, and establishing formal verification as a standard methodology for physics at the intersection of topology and computation.</w:t>
      </w:r>
    </w:p>
    <w:p>
      <w:pPr>
        <w:spacing w:after="160" w:line="276"/>
      </w:pPr>
      <w:r>
        <w:rPr>
          <w:rFonts w:ascii="Georgia" w:cs="Georgia" w:eastAsia="Georgia" w:hAnsi="Georgia"/>
          <w:sz w:val="24"/>
          <w:szCs w:val="24"/>
        </w:rPr>
        <w:t xml:space="preserve">The research is grounded in existing results, aligned with current federal and private-sector investment priorities, and structured to produce verifiable, open-source deliverables at every milestone. The framework’s radical transparency—zero axioms, zero unproven lemmas, publicly auditable code—provides a model for how AI-assisted research can maintain rigorous intellectual standards while enabling rapid cross-domain synthesis.</w:t>
      </w:r>
    </w:p>
    <w:p>
      <w:pPr>
        <w:spacing w:after="400"/>
      </w:pPr>
    </w:p>
    <w:p>
      <w:pPr>
        <w:pStyle w:val="Heading1"/>
        <w:spacing w:before="360" w:after="200"/>
      </w:pPr>
      <w:r>
        <w:rPr>
          <w:rFonts w:ascii="Georgia" w:cs="Georgia" w:eastAsia="Georgia" w:hAnsi="Georgia"/>
          <w:b/>
          <w:bCs/>
          <w:color w:val="1a1a2e"/>
          <w:sz w:val="32"/>
          <w:szCs w:val="32"/>
        </w:rPr>
        <w:t xml:space="preserve">References</w:t>
      </w:r>
    </w:p>
    <w:p>
      <w:pPr>
        <w:spacing w:after="160" w:line="276"/>
      </w:pPr>
      <w:r>
        <w:rPr>
          <w:rFonts w:ascii="Georgia" w:cs="Georgia" w:eastAsia="Georgia" w:hAnsi="Georgia"/>
          <w:sz w:val="20"/>
          <w:szCs w:val="20"/>
        </w:rPr>
        <w:t xml:space="preserve">[1] Domingo, A. The Geometry of State: Deriving Topological Invariants from Clifford Algebra. GitHub/GoS-Architect, March 2026.</w:t>
      </w:r>
    </w:p>
    <w:p>
      <w:pPr>
        <w:spacing w:after="160" w:line="276"/>
      </w:pPr>
      <w:r>
        <w:rPr>
          <w:rFonts w:ascii="Georgia" w:cs="Georgia" w:eastAsia="Georgia" w:hAnsi="Georgia"/>
          <w:sz w:val="20"/>
          <w:szCs w:val="20"/>
        </w:rPr>
        <w:t xml:space="preserve">[2] Kitaev, A. Y. Unpaired Majorana fermions in quantum wires. Physics-Uspekhi 44, 131 (2001).</w:t>
      </w:r>
    </w:p>
    <w:p>
      <w:pPr>
        <w:spacing w:after="160" w:line="276"/>
      </w:pPr>
      <w:r>
        <w:rPr>
          <w:rFonts w:ascii="Georgia" w:cs="Georgia" w:eastAsia="Georgia" w:hAnsi="Georgia"/>
          <w:sz w:val="20"/>
          <w:szCs w:val="20"/>
        </w:rPr>
        <w:t xml:space="preserve">[3] Aghaee, M. et al. Interferometric single-shot parity measurement in InAs–Al hybrid devices. Nature 638, 651 (2025).</w:t>
      </w:r>
    </w:p>
    <w:p>
      <w:pPr>
        <w:spacing w:after="160" w:line="276"/>
      </w:pPr>
      <w:r>
        <w:rPr>
          <w:rFonts w:ascii="Georgia" w:cs="Georgia" w:eastAsia="Georgia" w:hAnsi="Georgia"/>
          <w:sz w:val="20"/>
          <w:szCs w:val="20"/>
        </w:rPr>
        <w:t xml:space="preserve">[4] Pan, H. &amp; Das Sarma, S. Physical mechanisms for zero-bias conductance peaks in Majorana nanowires. Phys. Rev. Research 2, 013377 (2020).</w:t>
      </w:r>
    </w:p>
    <w:p>
      <w:pPr>
        <w:spacing w:after="160" w:line="276"/>
      </w:pPr>
      <w:r>
        <w:rPr>
          <w:rFonts w:ascii="Georgia" w:cs="Georgia" w:eastAsia="Georgia" w:hAnsi="Georgia"/>
          <w:sz w:val="20"/>
          <w:szCs w:val="20"/>
        </w:rPr>
        <w:t xml:space="preserve">[5] de Moura, L. &amp; Ullrich, S. The Lean 4 Theorem Prover and Programming Language. CADE-28 (2021).</w:t>
      </w:r>
    </w:p>
    <w:p>
      <w:pPr>
        <w:spacing w:after="160" w:line="276"/>
      </w:pPr>
      <w:r>
        <w:rPr>
          <w:rFonts w:ascii="Georgia" w:cs="Georgia" w:eastAsia="Georgia" w:hAnsi="Georgia"/>
          <w:sz w:val="20"/>
          <w:szCs w:val="20"/>
        </w:rPr>
        <w:t xml:space="preserve">[6] Meiburg, A. et al. Lean-QuantumInfo: Formalized quantum information theory. arXiv:2510.08672 (2025).</w:t>
      </w:r>
    </w:p>
    <w:p>
      <w:pPr>
        <w:spacing w:after="160" w:line="276"/>
      </w:pPr>
      <w:r>
        <w:rPr>
          <w:rFonts w:ascii="Georgia" w:cs="Georgia" w:eastAsia="Georgia" w:hAnsi="Georgia"/>
          <w:sz w:val="20"/>
          <w:szCs w:val="20"/>
        </w:rPr>
        <w:t xml:space="preserve">[7] Schnyder, A. P. et al. Classification of topological insulators and superconductors. Phys. Rev. B 78, 195125 (2008).</w:t>
      </w:r>
    </w:p>
    <w:p>
      <w:pPr>
        <w:spacing w:after="160" w:line="276"/>
      </w:pPr>
      <w:r>
        <w:rPr>
          <w:rFonts w:ascii="Georgia" w:cs="Georgia" w:eastAsia="Georgia" w:hAnsi="Georgia"/>
          <w:sz w:val="20"/>
          <w:szCs w:val="20"/>
        </w:rPr>
        <w:t xml:space="preserve">[8] Taylor, J. B. Relaxation of toroidal plasma and generation of reverse magnetic fields. Phys. Rev. Lett. 33, 1139 (1974).</w:t>
      </w:r>
    </w:p>
    <w:p>
      <w:pPr>
        <w:spacing w:after="160" w:line="276"/>
      </w:pPr>
      <w:r>
        <w:rPr>
          <w:rFonts w:ascii="Georgia" w:cs="Georgia" w:eastAsia="Georgia" w:hAnsi="Georgia"/>
          <w:sz w:val="20"/>
          <w:szCs w:val="20"/>
        </w:rPr>
        <w:t xml:space="preserve">[9] Hegna, C. C. et al. The Infinity Two fusion pilot plant baseline plasma physics design. J. Plasma Phys. (2025).</w:t>
      </w:r>
    </w:p>
    <w:p>
      <w:pPr>
        <w:spacing w:after="160" w:line="276"/>
      </w:pPr>
      <w:r>
        <w:rPr>
          <w:rFonts w:ascii="Georgia" w:cs="Georgia" w:eastAsia="Georgia" w:hAnsi="Georgia"/>
          <w:sz w:val="20"/>
          <w:szCs w:val="20"/>
        </w:rPr>
        <w:t xml:space="preserve">[10] Gates, D. A. et al. Stellarator fusion systems enabled by arrays of planar coils. Nucl. Fusion 65, 026052 (2025).</w:t>
      </w:r>
    </w:p>
    <w:p>
      <w:pPr>
        <w:spacing w:after="160" w:line="276"/>
      </w:pPr>
      <w:r>
        <w:rPr>
          <w:rFonts w:ascii="Georgia" w:cs="Georgia" w:eastAsia="Georgia" w:hAnsi="Georgia"/>
          <w:sz w:val="20"/>
          <w:szCs w:val="20"/>
        </w:rPr>
        <w:t xml:space="preserve">[11] Burby, J. W. et al. Nonperturbative Guiding Center Model for Magnetized Plasmas. Phys. Rev. Lett. 134, 175101 (2025).</w:t>
      </w:r>
    </w:p>
    <w:p>
      <w:pPr>
        <w:spacing w:after="160" w:line="276"/>
      </w:pPr>
      <w:r>
        <w:rPr>
          <w:rFonts w:ascii="Georgia" w:cs="Georgia" w:eastAsia="Georgia" w:hAnsi="Georgia"/>
          <w:sz w:val="20"/>
          <w:szCs w:val="20"/>
        </w:rPr>
        <w:t xml:space="preserve">[12] Schreiber, U. &amp; Shulman, M. Quantum Gauge Field Theory in Cohesive Homotopy Type Theory. EPTCS 158, 109–126 (2014).</w:t>
      </w:r>
    </w:p>
    <w:p>
      <w:pPr>
        <w:spacing w:after="160" w:line="276"/>
      </w:pPr>
      <w:r>
        <w:rPr>
          <w:rFonts w:ascii="Georgia" w:cs="Georgia" w:eastAsia="Georgia" w:hAnsi="Georgia"/>
          <w:sz w:val="20"/>
          <w:szCs w:val="20"/>
        </w:rPr>
        <w:t xml:space="preserve">[13] DARPA. Quantum Benchmarking Initiative (QBI). Broad Agency Announcement PA-26-02 (2025).</w:t>
      </w:r>
    </w:p>
    <w:p>
      <w:pPr>
        <w:spacing w:after="160" w:line="276"/>
      </w:pPr>
      <w:r>
        <w:rPr>
          <w:rFonts w:ascii="Georgia" w:cs="Georgia" w:eastAsia="Georgia" w:hAnsi="Georgia"/>
          <w:sz w:val="20"/>
          <w:szCs w:val="20"/>
        </w:rPr>
        <w:t xml:space="preserve">[14] National Quantum Initiative Supplement to the President’s FY 2025 Budget. OSTP/NQCO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Georgia" w:cs="Georgia" w:eastAsia="Georgia" w:hAnsi="Georgia"/>
        <w:i/>
        <w:iCs/>
        <w:color w:val="999999"/>
        <w:sz w:val="18"/>
        <w:szCs w:val="18"/>
      </w:rPr>
      <w:t xml:space="preserve">The Geometry of State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d3436"/>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zvd9eoa1bzhe162o5ja6" Type="http://schemas.openxmlformats.org/officeDocument/2006/relationships/hyperlink" Target="https://github.com/GoS-Architect/GeometryOfState" TargetMode="External"/><Relationship Id="rIdlhmmi4hdk7ugbwqcasojq" Type="http://schemas.openxmlformats.org/officeDocument/2006/relationships/hyperlink" Target="https://github.com/GoS-Architect/GeometryOfStat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2026-03-13T06:42:47.249Z</dcterms:created>
  <dcterms:modified xsi:type="dcterms:W3CDTF">2026-03-13T06:42:47.250Z</dcterms:modified>
</cp:coreProperties>
</file>

<file path=docProps/custom.xml><?xml version="1.0" encoding="utf-8"?>
<Properties xmlns="http://schemas.openxmlformats.org/officeDocument/2006/custom-properties" xmlns:vt="http://schemas.openxmlformats.org/officeDocument/2006/docPropsVTypes"/>
</file>