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4"/>
          <w:szCs w:val="44"/>
        </w:rPr>
        <w:t xml:space="preserve">Bivector Invariance as a Majorana</w:t>
      </w:r>
    </w:p>
    <w:p>
      <w:pPr>
        <w:spacing w:after="200"/>
        <w:jc w:val="center"/>
      </w:pPr>
      <w:r>
        <w:rPr>
          <w:rFonts w:ascii="Arial" w:cs="Arial" w:eastAsia="Arial" w:hAnsi="Arial"/>
          <w:b/>
          <w:bCs/>
          <w:color w:val="1B3A5C"/>
          <w:sz w:val="44"/>
          <w:szCs w:val="44"/>
        </w:rPr>
        <w:t xml:space="preserve">Verification Criterion:</w:t>
      </w:r>
    </w:p>
    <w:p>
      <w:pPr>
        <w:spacing w:after="600"/>
        <w:jc w:val="center"/>
      </w:pPr>
      <w:r>
        <w:rPr>
          <w:rFonts w:ascii="Arial" w:cs="Arial" w:eastAsia="Arial" w:hAnsi="Arial"/>
          <w:color w:val="2E75B6"/>
          <w:sz w:val="28"/>
          <w:szCs w:val="28"/>
        </w:rPr>
        <w:t xml:space="preserve">An NV-AFM Platform Concept with Formally Verified Algebraic Foundations</w:t>
      </w:r>
    </w:p>
    <w:p>
      <w:pPr>
        <w:pBdr>
          <w:top w:val="single" w:color="2E75B6" w:sz="6" w:space="1"/>
        </w:pBdr>
        <w:spacing w:before="400" w:after="100"/>
        <w:jc w:val="center"/>
      </w:pPr>
    </w:p>
    <w:p>
      <w:pPr>
        <w:spacing w:after="80"/>
        <w:jc w:val="center"/>
      </w:pPr>
      <w:r>
        <w:rPr>
          <w:rFonts w:ascii="Arial" w:cs="Arial" w:eastAsia="Arial" w:hAnsi="Arial"/>
          <w:i/>
          <w:iCs/>
          <w:color w:val="666666"/>
          <w:sz w:val="24"/>
          <w:szCs w:val="24"/>
        </w:rPr>
        <w:t xml:space="preserve">A Geometry of State Technical Concept Paper</w:t>
      </w:r>
    </w:p>
    <w:p>
      <w:pPr>
        <w:spacing w:after="80"/>
        <w:jc w:val="center"/>
      </w:pPr>
      <w:r>
        <w:rPr>
          <w:rFonts w:ascii="Arial" w:cs="Arial" w:eastAsia="Arial" w:hAnsi="Arial"/>
          <w:color w:val="666666"/>
          <w:sz w:val="22"/>
          <w:szCs w:val="22"/>
        </w:rPr>
        <w:t xml:space="preserve">GoS-Architect | github.com/GoS-Architect</w:t>
      </w:r>
    </w:p>
    <w:p>
      <w:pPr>
        <w:spacing w:after="80"/>
        <w:jc w:val="center"/>
      </w:pPr>
      <w:r>
        <w:rPr>
          <w:rFonts w:ascii="Arial" w:cs="Arial" w:eastAsia="Arial" w:hAnsi="Arial"/>
          <w:color w:val="666666"/>
          <w:sz w:val="22"/>
          <w:szCs w:val="22"/>
        </w:rPr>
        <w:t xml:space="preserve">March 2026</w:t>
      </w:r>
    </w:p>
    <w:p>
      <w:pPr>
        <w:spacing w:before="1200"/>
      </w:pPr>
    </w:p>
    <w:p>
      <w:pPr>
        <w:spacing w:after="80"/>
        <w:jc w:val="center"/>
      </w:pPr>
      <w:r>
        <w:rPr>
          <w:rFonts w:ascii="Arial" w:cs="Arial" w:eastAsia="Arial" w:hAnsi="Arial"/>
          <w:b/>
          <w:bCs/>
          <w:color w:val="1B3A5C"/>
          <w:sz w:val="20"/>
          <w:szCs w:val="20"/>
        </w:rPr>
        <w:t xml:space="preserve">EPISTEMIC STATUS</w:t>
      </w:r>
    </w:p>
    <w:p>
      <w:pPr>
        <w:spacing w:after="40"/>
        <w:jc w:val="center"/>
      </w:pPr>
      <w:r>
        <w:rPr>
          <w:rFonts w:ascii="Arial" w:cs="Arial" w:eastAsia="Arial" w:hAnsi="Arial"/>
          <w:color w:val="666666"/>
          <w:sz w:val="18"/>
          <w:szCs w:val="18"/>
        </w:rPr>
        <w:t xml:space="preserve">PROVED: Clifford algebra structures, edge modes, AZ classification (112 theorems, zero sorry)</w:t>
      </w:r>
    </w:p>
    <w:p>
      <w:pPr>
        <w:spacing w:after="40"/>
        <w:jc w:val="center"/>
      </w:pPr>
      <w:r>
        <w:rPr>
          <w:rFonts w:ascii="Arial" w:cs="Arial" w:eastAsia="Arial" w:hAnsi="Arial"/>
          <w:color w:val="666666"/>
          <w:sz w:val="18"/>
          <w:szCs w:val="18"/>
        </w:rPr>
        <w:t xml:space="preserve">DEMONSTRATED: NV-AFM hybrid sensing, ODMR metrology, stiffness clamp protocols</w:t>
      </w:r>
    </w:p>
    <w:p>
      <w:pPr>
        <w:spacing w:after="40"/>
        <w:jc w:val="center"/>
      </w:pPr>
      <w:r>
        <w:rPr>
          <w:rFonts w:ascii="Arial" w:cs="Arial" w:eastAsia="Arial" w:hAnsi="Arial"/>
          <w:color w:val="666666"/>
          <w:sz w:val="18"/>
          <w:szCs w:val="18"/>
        </w:rPr>
        <w:t xml:space="preserve">CONJECTURED: Bivector invariance as MZM/ABS discrimination criterion (kill condition defined)</w:t>
      </w:r>
    </w:p>
    <w:p>
      <w:pPr>
        <w:spacing w:after="40"/>
        <w:jc w:val="center"/>
      </w:pPr>
      <w:r>
        <w:rPr>
          <w:rFonts w:ascii="Arial" w:cs="Arial" w:eastAsia="Arial" w:hAnsi="Arial"/>
          <w:color w:val="666666"/>
          <w:sz w:val="18"/>
          <w:szCs w:val="18"/>
        </w:rPr>
        <w:t xml:space="preserve">SPECULATIVE: Full experimental platform build; QIR/CUDA-Q integration</w:t>
      </w:r>
    </w:p>
    <w:p>
      <w:pPr>
        <w:sectPr>
          <w:pgSz w:w="12240" w:h="15840" w:orient="portrait"/>
          <w:pgMar w:top="1440" w:right="1440" w:bottom="1440" w:left="1440" w:header="708" w:footer="708" w:gutter="0"/>
          <w:pgNumType/>
          <w:docGrid w:linePitch="360"/>
        </w:sectPr>
      </w:pPr>
    </w:p>
    <w:p>
      <w:pPr>
        <w:pStyle w:val="Heading1"/>
      </w:pPr>
      <w:r>
        <w:t xml:space="preserve">1. The Majorana Verification Gap</w:t>
      </w:r>
    </w:p>
    <w:p>
      <w:pPr>
        <w:spacing w:after="200"/>
      </w:pPr>
      <w:r>
        <w:t xml:space="preserve">The central open problem in topological quantum computing is the reliable discrimination of Majorana Zero Modes (MZMs) from trivial Andreev Bound States (ABS). Both produce similar zero-bias conductance peaks in transport measurements, and the techniques currently used to identify MZMs</w:t>
      </w:r>
      <w:r>
        <w:rPr>
          <w:rFonts w:ascii="Arial" w:cs="Arial" w:eastAsia="Arial" w:hAnsi="Arial"/>
        </w:rPr>
        <w:t xml:space="preserve">—</w:t>
      </w:r>
      <w:r>
        <w:t xml:space="preserve">including Microsoft’s topological gap protocol (TGP)</w:t>
      </w:r>
      <w:r>
        <w:rPr>
          <w:rFonts w:ascii="Arial" w:cs="Arial" w:eastAsia="Arial" w:hAnsi="Arial"/>
        </w:rPr>
        <w:t xml:space="preserve">—</w:t>
      </w:r>
      <w:r>
        <w:t xml:space="preserve">have been shown to be vulnerable to false positives. Nature’s editorial review of the Majorana 1 paper concluded that the published results “do not represent evidence for the presence of Majorana zero modes” in the reported devices. As of early 2026, no experiment has provided a definitive, independently verified identification of an MZM.</w:t>
      </w:r>
    </w:p>
    <w:p>
      <w:pPr>
        <w:spacing w:after="200"/>
      </w:pPr>
      <w:r>
        <w:t xml:space="preserve">This paper proposes a mathematically grounded discrimination criterion based on </w:t>
      </w:r>
      <w:r>
        <w:rPr>
          <w:b/>
          <w:bCs/>
        </w:rPr>
        <w:t xml:space="preserve">bivector invariance under Clifford algebra rotations</w:t>
      </w:r>
      <w:r>
        <w:t xml:space="preserve">, and outlines an instrument concept</w:t>
      </w:r>
      <w:r>
        <w:rPr>
          <w:rFonts w:ascii="Arial" w:cs="Arial" w:eastAsia="Arial" w:hAnsi="Arial"/>
        </w:rPr>
        <w:t xml:space="preserve">—</w:t>
      </w:r>
      <w:r>
        <w:t xml:space="preserve">a hybrid NV-AFM platform</w:t>
      </w:r>
      <w:r>
        <w:rPr>
          <w:rFonts w:ascii="Arial" w:cs="Arial" w:eastAsia="Arial" w:hAnsi="Arial"/>
        </w:rPr>
        <w:t xml:space="preserve">—</w:t>
      </w:r>
      <w:r>
        <w:t xml:space="preserve">capable of executing this criterion experimentally. The algebraic foundations of this approach have been formally verified in Lean 4 as part of the Geometry of State (GoS) framework, providing a level of mathematical assurance uncommon in experimental proposals.</w:t>
      </w:r>
    </w:p>
    <w:p>
      <w:pPr>
        <w:pStyle w:val="Heading1"/>
      </w:pPr>
      <w:r>
        <w:t xml:space="preserve">2. Algebraic Foundation: Clifford Algebra and Majorana Operators</w:t>
      </w:r>
    </w:p>
    <w:p>
      <w:pPr>
        <w:pStyle w:val="Heading2"/>
      </w:pPr>
      <w:r>
        <w:t xml:space="preserve">2.1 The Isomorphism</w:t>
      </w:r>
    </w:p>
    <w:p>
      <w:pPr>
        <w:spacing w:after="200"/>
      </w:pPr>
      <w:r>
        <w:t xml:space="preserve">Majorana operators are self-conjugate (γ† = γ) and anticommuting ({γᵢ, γⱼ} = 2δᵢⱼ). These properties make them isomorphic to the basis vectors of a real Clifford algebra Cl(p,q). This isomorphism is not merely a notational convenience</w:t>
      </w:r>
      <w:r>
        <w:rPr>
          <w:rFonts w:ascii="Arial" w:cs="Arial" w:eastAsia="Arial" w:hAnsi="Arial"/>
        </w:rPr>
        <w:t xml:space="preserve">—</w:t>
      </w:r>
      <w:r>
        <w:t xml:space="preserve">it provides a complete algebraic framework for reasoning about the geometric content of Majorana states.</w:t>
      </w:r>
    </w:p>
    <w:p>
      <w:pPr>
        <w:spacing w:after="200"/>
      </w:pPr>
      <w:r>
        <w:t xml:space="preserve">In the Geometry of State repository, the Clifford algebras Cl(2,0) and Cl(3,0) have been formally constructed in Lean 4 with complete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Structure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Status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Physical Mapping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Cl(2,0) basis vectors (e₁, e₂)</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rfl proof — zero sorry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Two-site Kitaev chain Majorana pair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Cl(2,0) bivector (e₁∧e₂)</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rfl proof — zero sorry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Shared fermion parity observable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Cl(3,0) MHD bivectors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rfl proof — zero sorry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Three-dimensional field rotations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Kitaev chain edge modes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rfl proof — zero sorry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Majorana edge mode localization</w:t>
            </w:r>
          </w:p>
        </w:tc>
      </w:tr>
    </w:tbl>
    <w:p>
      <w:pPr>
        <w:spacing w:after="100"/>
      </w:pPr>
      <w:r>
        <w:rPr>
          <w:i/>
          <w:iCs/>
          <w:color w:val="666666"/>
          <w:sz w:val="18"/>
          <w:szCs w:val="18"/>
        </w:rPr>
        <w:t xml:space="preserve">Table 1. Formally verified algebraic structures in GoS (GeometryOfState.lean).</w:t>
      </w:r>
    </w:p>
    <w:p>
      <w:pPr>
        <w:pStyle w:val="Heading2"/>
      </w:pPr>
      <w:r>
        <w:t xml:space="preserve">2.2 The Discrimination Criterion</w:t>
      </w:r>
    </w:p>
    <w:p>
      <w:pPr>
        <w:spacing w:after="200"/>
      </w:pPr>
      <w:r>
        <w:t xml:space="preserve">The key insight is that the bivector γ₁∧γ₂ encodes the shared fermion parity of a Majorana pair. Under the Pin and Spin group actions of Cl(p,q), expressed as sandwich products (x → axa⁻¹), a </w:t>
      </w:r>
      <w:r>
        <w:rPr>
          <w:b/>
          <w:bCs/>
        </w:rPr>
        <w:t xml:space="preserve">true topological mode</w:t>
      </w:r>
      <w:r>
        <w:t xml:space="preserve"> remains invariant under these geometric transformations. Its bivector representation is stable because the mode’s identity is topologically protected</w:t>
      </w:r>
      <w:r>
        <w:rPr>
          <w:rFonts w:ascii="Arial" w:cs="Arial" w:eastAsia="Arial" w:hAnsi="Arial"/>
        </w:rPr>
        <w:t xml:space="preserve">—</w:t>
      </w:r>
      <w:r>
        <w:t xml:space="preserve">it cannot be continuously deformed into a trivial state without closing the superconducting gap.</w:t>
      </w:r>
    </w:p>
    <w:p>
      <w:pPr>
        <w:spacing w:after="200"/>
      </w:pPr>
      <w:r>
        <w:t xml:space="preserve">A </w:t>
      </w:r>
      <w:r>
        <w:rPr>
          <w:b/>
          <w:bCs/>
        </w:rPr>
        <w:t xml:space="preserve">trivial Andreev Bound State</w:t>
      </w:r>
      <w:r>
        <w:t xml:space="preserve">, by contrast, lacks this topological protection. When subjected to the same bivector rotations</w:t>
      </w:r>
      <w:r>
        <w:rPr>
          <w:rFonts w:ascii="Arial" w:cs="Arial" w:eastAsia="Arial" w:hAnsi="Arial"/>
        </w:rPr>
        <w:t xml:space="preserve">—</w:t>
      </w:r>
      <w:r>
        <w:t xml:space="preserve">physically realized as controlled perturbations in strain, magnetic field, or gate voltage</w:t>
      </w:r>
      <w:r>
        <w:rPr>
          <w:rFonts w:ascii="Arial" w:cs="Arial" w:eastAsia="Arial" w:hAnsi="Arial"/>
        </w:rPr>
        <w:t xml:space="preserve">—</w:t>
      </w:r>
      <w:r>
        <w:t xml:space="preserve">an ABS will deform, split, or collapse. Its algebraic signature is fragile precisely because it is not protected by the system’s topology.</w:t>
      </w:r>
    </w:p>
    <w:p>
      <w:pPr>
        <w:spacing w:after="200"/>
      </w:pPr>
      <w:r>
        <w:t xml:space="preserve">This gives us a clean, testable criterion: </w:t>
      </w:r>
      <w:r>
        <w:rPr>
          <w:i/>
          <w:iCs/>
        </w:rPr>
        <w:t xml:space="preserve">apply a systematic series of perturbations corresponding to Clifford algebra rotations. If the zero-bias signature is invariant, the mode is topologically protected. If it deforms, the mode is trivial.</w:t>
      </w:r>
    </w:p>
    <w:p>
      <w:pPr>
        <w:pStyle w:val="Heading1"/>
      </w:pPr>
      <w:r>
        <w:t xml:space="preserve">3. Instrument Concept: Hybrid NV-AFM Platform</w:t>
      </w:r>
    </w:p>
    <w:p>
      <w:pPr>
        <w:spacing w:after="200"/>
      </w:pPr>
      <w:r>
        <w:t xml:space="preserve">Executing the bivector invariance criterion requires an instrument that can simultaneously (a) apply controlled, multi-axis perturbations to a topological superconductor and (b) read out the quantum state response with nanometer spatial resolution. No single existing instrument provides both capabilities. The proposed platform synthesizes two mature technologies to achieve this.</w:t>
      </w:r>
    </w:p>
    <w:p>
      <w:pPr>
        <w:pStyle w:val="Heading2"/>
      </w:pPr>
      <w:r>
        <w:t xml:space="preserve">3.1 Actuation: Nanomechanical Perturbation via AFM</w:t>
      </w:r>
    </w:p>
    <w:p>
      <w:pPr>
        <w:spacing w:after="200"/>
      </w:pPr>
      <w:r>
        <w:t xml:space="preserve">An Atomic Force Microscope provides controlled nanoscale mechanical stimuli. Rather than using the AFM for passive imaging, this platform reframes the AFM tip as an active perturbation source</w:t>
      </w:r>
      <w:r>
        <w:rPr>
          <w:rFonts w:ascii="Arial" w:cs="Arial" w:eastAsia="Arial" w:hAnsi="Arial"/>
        </w:rPr>
        <w:t xml:space="preserve">—</w:t>
      </w:r>
      <w:r>
        <w:t xml:space="preserve">a calibrated “pump” in a pump-probe spectroscopy paradigm. Key capabilities include:</w:t>
      </w:r>
    </w:p>
    <w:p>
      <w:pPr>
        <w:pStyle w:val="ListParagraph"/>
        <w:numPr>
          <w:ilvl w:val="0"/>
          <w:numId w:val="2"/>
        </w:numPr>
        <w:spacing w:after="80"/>
      </w:pPr>
      <w:r>
        <w:rPr>
          <w:b/>
          <w:bCs/>
        </w:rPr>
        <w:t xml:space="preserve">Stiffness Clamping: </w:t>
      </w:r>
      <w:r>
        <w:t xml:space="preserve">A high-speed FPGA feedback loop dynamically tunes the apparent stiffness the sample experiences. This allows the AFM to drive the system through phase boundaries by manipulating the Bir-Pikus Hamiltonian via localized strain, bypassing the charge disorder inherent in electrostatic gates.</w:t>
      </w:r>
    </w:p>
    <w:p>
      <w:pPr>
        <w:pStyle w:val="ListParagraph"/>
        <w:numPr>
          <w:ilvl w:val="0"/>
          <w:numId w:val="2"/>
        </w:numPr>
        <w:spacing w:after="80"/>
      </w:pPr>
      <w:r>
        <w:rPr>
          <w:b/>
          <w:bCs/>
        </w:rPr>
        <w:t xml:space="preserve">Multi-Axis Perturbation: </w:t>
      </w:r>
      <w:r>
        <w:t xml:space="preserve">By varying the direction and magnitude of applied strain relative to the crystal axes, the AFM realizes the physical analogue of Clifford algebra rotations. Systematic rotation of the perturbation axis maps the full bivector response of the system.</w:t>
      </w:r>
    </w:p>
    <w:p>
      <w:pPr>
        <w:pStyle w:val="ListParagraph"/>
        <w:numPr>
          <w:ilvl w:val="0"/>
          <w:numId w:val="2"/>
        </w:numPr>
        <w:spacing w:after="200"/>
      </w:pPr>
      <w:r>
        <w:rPr>
          <w:b/>
          <w:bCs/>
        </w:rPr>
        <w:t xml:space="preserve">Force Resolution: </w:t>
      </w:r>
      <w:r>
        <w:t xml:space="preserve">Pico-Newton force resolution enables probing subtle mechanical interactions at the scale relevant to topological gap energies.</w:t>
      </w:r>
    </w:p>
    <w:p>
      <w:pPr>
        <w:pStyle w:val="Heading2"/>
      </w:pPr>
      <w:r>
        <w:t xml:space="preserve">3.2 Sensing: Nitrogen-Vacancy Center Quantum Metrology</w:t>
      </w:r>
    </w:p>
    <w:p>
      <w:pPr>
        <w:spacing w:after="200"/>
      </w:pPr>
      <w:r>
        <w:t xml:space="preserve">The readout core is a single Nitrogen-Vacancy (NV) center embedded in a diamond probe, positioned within 10 nm of the sample surface. The NV center’s ground-state spin Hamiltonian couples directly to multiple physical observables:</w:t>
      </w:r>
    </w:p>
    <w:p>
      <w:pPr>
        <w:spacing w:after="200"/>
        <w:jc w:val="center"/>
      </w:pPr>
      <w:r>
        <w:rPr>
          <w:i/>
          <w:iCs/>
          <w:sz w:val="22"/>
          <w:szCs w:val="22"/>
        </w:rPr>
        <w:t xml:space="preserve">H</w:t>
      </w:r>
      <w:r>
        <w:rPr>
          <w:sz w:val="18"/>
          <w:szCs w:val="18"/>
        </w:rPr>
        <w:t xml:space="preserve">ₑₛ</w:t>
      </w:r>
      <w:r>
        <w:rPr>
          <w:sz w:val="22"/>
          <w:szCs w:val="22"/>
        </w:rPr>
        <w:t xml:space="preserve"> = D</w:t>
      </w:r>
      <w:r>
        <w:rPr>
          <w:sz w:val="18"/>
          <w:szCs w:val="18"/>
        </w:rPr>
        <w:t xml:space="preserve">ₑₛ</w:t>
      </w:r>
      <w:r>
        <w:rPr>
          <w:i/>
          <w:iCs/>
          <w:sz w:val="22"/>
          <w:szCs w:val="22"/>
        </w:rPr>
        <w:t xml:space="preserve">S</w:t>
      </w:r>
      <w:r>
        <w:rPr>
          <w:sz w:val="18"/>
          <w:szCs w:val="18"/>
        </w:rPr>
        <w:t xml:space="preserve">ᵣ</w:t>
      </w:r>
      <w:r>
        <w:rPr>
          <w:sz w:val="22"/>
          <w:szCs w:val="22"/>
        </w:rPr>
        <w:t xml:space="preserve">² + γ</w:t>
      </w:r>
      <w:r>
        <w:rPr>
          <w:sz w:val="18"/>
          <w:szCs w:val="18"/>
        </w:rPr>
        <w:t xml:space="preserve">ₑ</w:t>
      </w:r>
      <w:r>
        <w:rPr>
          <w:i/>
          <w:iCs/>
          <w:sz w:val="22"/>
          <w:szCs w:val="22"/>
        </w:rPr>
        <w:t xml:space="preserve">B·S + S·A·I</w:t>
      </w:r>
    </w:p>
    <w:p>
      <w:pPr>
        <w:spacing w:after="200"/>
      </w:pPr>
      <w:r>
        <w:t xml:space="preserve">This Hamiltonian makes the NV center a simultaneous magnetometer (via the Zeeman term), strain gauge (via modifications to the zero-field splitting D</w:t>
      </w:r>
      <w:r>
        <w:rPr>
          <w:sz w:val="18"/>
          <w:szCs w:val="18"/>
        </w:rPr>
        <w:t xml:space="preserve">ₑₛ</w:t>
      </w:r>
      <w:r>
        <w:t xml:space="preserve"> ≈ 2.87 GHz), and thermometer (via the known temperature dependence dD/dT ≈ −74 kHz/K). These multi-modal readouts are accessed via Optically Detected Magnetic Resonance (ODMR).</w:t>
      </w:r>
    </w:p>
    <w:p>
      <w:pPr>
        <w:pStyle w:val="Heading2"/>
      </w:pPr>
      <w:r>
        <w:t xml:space="preserve">3.3 Probe Specialization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Probe Type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P-type (Plasmonic)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Silver nanoantennas (~12 nm); Purcell effect yields ~80x ODMR signal enhancement.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High-sensitivity magnetic sensing. Enables nanoscale NMR for isotopic measurement.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D-type (Dielectric)</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Low-loss dielectric nanostructures (quartz, GaP). Eliminates photothermal artifacts.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Artifact-free strain and thermal sensing. Critical for bivector invariance readout.</w:t>
            </w:r>
          </w:p>
        </w:tc>
      </w:tr>
    </w:tbl>
    <w:p>
      <w:pPr>
        <w:spacing w:after="100"/>
      </w:pPr>
      <w:r>
        <w:rPr>
          <w:i/>
          <w:iCs/>
          <w:color w:val="666666"/>
          <w:sz w:val="18"/>
          <w:szCs w:val="18"/>
        </w:rPr>
        <w:t xml:space="preserve">Table 2. Probe types and their roles in the discrimination protocol.</w:t>
      </w:r>
    </w:p>
    <w:p>
      <w:pPr>
        <w:spacing w:after="200"/>
      </w:pPr>
      <w:r>
        <w:t xml:space="preserve">The D-type probe is essential for the bivector invariance test: since the discrimination criterion depends on precise strain response measurements, the probe must not introduce thermal artifacts that corrupt the signal.</w:t>
      </w:r>
    </w:p>
    <w:p>
      <w:pPr>
        <w:pStyle w:val="Heading1"/>
      </w:pPr>
      <w:r>
        <w:t xml:space="preserve">4. The Discrimination Protocol</w:t>
      </w:r>
    </w:p>
    <w:p>
      <w:pPr>
        <w:spacing w:after="200"/>
      </w:pPr>
      <w:r>
        <w:t xml:space="preserve">The experimental protocol operationalizes the bivector invariance criterion as a three-gate verification sequence.</w:t>
      </w:r>
    </w:p>
    <w:p>
      <w:pPr>
        <w:pStyle w:val="Heading3"/>
      </w:pPr>
      <w:r>
        <w:t xml:space="preserve">Gate 1: Global (Bivector Rotation)</w:t>
      </w:r>
    </w:p>
    <w:p>
      <w:pPr>
        <w:spacing w:after="200"/>
      </w:pPr>
      <w:r>
        <w:t xml:space="preserve">Using the stiffness clamp, apply a systematic series of strain perturbations to the InAs/Al heterostructure. Each perturbation corresponds to a rotation in the Clifford algebra. Monitor the zero-bias conductance peak via the NV sensor. A true MZM’s signature remains invariant under these rotations. An ABS deforms or splits.</w:t>
      </w:r>
    </w:p>
    <w:p>
      <w:pPr>
        <w:pStyle w:val="Heading3"/>
      </w:pPr>
      <w:r>
        <w:t xml:space="preserve">Gate 2: Static (Spin-Texture Mapping)</w:t>
      </w:r>
    </w:p>
    <w:p>
      <w:pPr>
        <w:spacing w:after="200"/>
      </w:pPr>
      <w:r>
        <w:t xml:space="preserve">Map the spin texture around the zero-bias peak using NV-ODMR. A true MZM, being its own antiparticle, produces a distinctive spin-selective Andreev reflection (SSAR) signature. A spin-singlet ABS produces a qualitatively different pattern.</w:t>
      </w:r>
    </w:p>
    <w:p>
      <w:pPr>
        <w:pStyle w:val="Heading3"/>
      </w:pPr>
      <w:r>
        <w:t xml:space="preserve">Gate 3: Dynamic (Noise Spectroscopy)</w:t>
      </w:r>
    </w:p>
    <w:p>
      <w:pPr>
        <w:spacing w:after="200"/>
      </w:pPr>
      <w:r>
        <w:t xml:space="preserve">Analyze the power spectral density S(ω) of the mode’s fluctuations. Fractionalized quasiparticle dynamics produce a characteristic ω</w:t>
      </w:r>
      <w:r>
        <w:rPr>
          <w:sz w:val="22"/>
          <w:szCs w:val="22"/>
        </w:rPr>
        <w:t xml:space="preserve">⁻ᵅ</w:t>
      </w:r>
      <w:r>
        <w:t xml:space="preserve"> power-law signature. Combined with T₁ relaxometry, this gate confirms that the observed mode exhibits the expected fractionalized behavior.</w:t>
      </w:r>
    </w:p>
    <w:p>
      <w:pPr>
        <w:spacing w:after="200"/>
      </w:pPr>
      <w:r>
        <w:t xml:space="preserve">A state must pass all three gates to be certified as a topological mode. Failure at any gate classifies the state as a trivial ABS mimic, regardless of its zero-bias conductance profile.</w:t>
      </w:r>
    </w:p>
    <w:p>
      <w:pPr>
        <w:pStyle w:val="Heading1"/>
      </w:pPr>
      <w:r>
        <w:t xml:space="preserve">5. Simulation Pathway: From Verified Algebra to Computational Testbed</w:t>
      </w:r>
    </w:p>
    <w:p>
      <w:pPr>
        <w:spacing w:after="200"/>
      </w:pPr>
      <w:r>
        <w:t xml:space="preserve">Before committing to the full experimental build, the discrimination protocol can be validated computationally using the formally verified algebraic structures in the GoS repository as a foundation.</w:t>
      </w:r>
    </w:p>
    <w:p>
      <w:pPr>
        <w:pStyle w:val="Heading2"/>
      </w:pPr>
      <w:r>
        <w:t xml:space="preserve">5.1 Repository File Map</w:t>
      </w:r>
    </w:p>
    <w:p>
      <w:pPr>
        <w:spacing w:after="120"/>
      </w:pPr>
      <w:r>
        <w:t xml:space="preserve">The GoS repository (github.com/GoS-Architect) contains the following verified and planned Lean 4 files relevant to the discrimination criterion. Existing files compile with zero sorry in classification theorems; planned files extend the verified infrastructure to formalize the discrimination criterion itself.</w:t>
      </w:r>
    </w:p>
    <w:p>
      <w:pPr>
        <w:spacing w:before="160" w:after="80"/>
      </w:pPr>
      <w:r>
        <w:rPr>
          <w:b/>
          <w:bCs/>
          <w:color w:val="1B3A5C"/>
          <w:sz w:val="22"/>
          <w:szCs w:val="22"/>
        </w:rPr>
        <w:t xml:space="preserve">Existing Files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Proof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GeometryOfState.lean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Cl(2,0) basis, geometric product, e₁₂² = −1. §3: Gap condition (safeBivectorInv). §4–5: Kitaev Hamiltonian, winding number. §6: Majorana edge modes. §7–8: Cl(3,0), 3D rotors, sandwich product. §9–10: Protection hierarchy, MHD bivectors.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rfl proofs for edge modes. Zero sorry. All #eval blocks verified.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TopologicalBridge.lean</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HoTT foundations: axiomatized Path type, S¹ as HIT, π₁(S¹) = ℤ. Five Bridge Axioms. information_conservation theorem. 12-layer proof pipeline.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 bridge axioms (axiomatized). information_conservation proved. Zero sorry.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AZ_Classification/ (5 files)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Altland-Zirnbauer tenfold way. Kitaev chain classification. Bott periodicity. Edge mode existence ∀N≥2.</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112 theorems. Zero sorry. 100% compiler-verified.</w:t>
            </w:r>
          </w:p>
        </w:tc>
      </w:tr>
    </w:tbl>
    <w:p>
      <w:pPr>
        <w:spacing w:after="60"/>
      </w:pPr>
      <w:r>
        <w:rPr>
          <w:i/>
          <w:iCs/>
          <w:color w:val="666666"/>
          <w:sz w:val="18"/>
          <w:szCs w:val="18"/>
        </w:rPr>
        <w:t xml:space="preserve">Table 4. Existing verified files in the GoS repository.</w:t>
      </w:r>
    </w:p>
    <w:p>
      <w:pPr>
        <w:spacing w:before="240" w:after="80"/>
      </w:pPr>
      <w:r>
        <w:rPr>
          <w:b/>
          <w:bCs/>
          <w:color w:val="1B3A5C"/>
          <w:sz w:val="22"/>
          <w:szCs w:val="22"/>
        </w:rPr>
        <w:t xml:space="preserve">Planned Files (Discrimination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Contents</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SpinGroup.lean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Spin(2,0) and Pin(2,0) as even/full Clifford groups. Sandwich product action on Cl(2,0). Closure, inverse, grade preservation.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Depends on: GeometryOfState.lean §1–2 (Cl(2,0) basis and geometric product).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BivectorDiscrimination.lean</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Core theorem: e₁₂ is invariant under Spin(2,0) sandwich product. Trivial embedding (grade-1 vector) is not invariant. Type-level TopologicalMode vs TrivialMode distinction.</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Depends on: SpinGroup.lean. Target: rfl or decide proof. Finite 4D algebra — no infinite-dimensional reasoning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EdgeModeBivector.lean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Maps Kitaev chain edge modes (§6, L2) into bivector representation (§1, L1). Applies discrimination theorem. Closes the loop: existence → representation → invariance → certification.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Depends on: BivectorDiscrimination.lean + AZ_Classification/ (edge mode existence). Bridge between L1 and L2.</w:t>
            </w:r>
          </w:p>
        </w:tc>
      </w:tr>
    </w:tbl>
    <w:p>
      <w:pPr>
        <w:spacing w:after="100"/>
      </w:pPr>
      <w:r>
        <w:rPr>
          <w:i/>
          <w:iCs/>
          <w:color w:val="666666"/>
          <w:sz w:val="18"/>
          <w:szCs w:val="18"/>
        </w:rPr>
        <w:t xml:space="preserve">Table 5. Planned files to formalize the discrimination criterion.</w:t>
      </w:r>
    </w:p>
    <w:p>
      <w:pPr>
        <w:spacing w:after="200"/>
      </w:pPr>
      <w:r>
        <w:t xml:space="preserve">The central theorem in BivectorDiscrimination.lean</w:t>
      </w:r>
      <w:r>
        <w:rPr>
          <w:rFonts w:ascii="Arial" w:cs="Arial" w:eastAsia="Arial" w:hAnsi="Arial"/>
        </w:rPr>
        <w:t xml:space="preserve">—</w:t>
      </w:r>
      <w:r>
        <w:t xml:space="preserve">that e₁₂ commutes with all Spin(2,0) rotors</w:t>
      </w:r>
      <w:r>
        <w:rPr>
          <w:rFonts w:ascii="Arial" w:cs="Arial" w:eastAsia="Arial" w:hAnsi="Arial"/>
        </w:rPr>
        <w:t xml:space="preserve">—</w:t>
      </w:r>
      <w:r>
        <w:t xml:space="preserve">is a finite algebraic identity in a 4-dimensional space. The existing GoS infrastructure handles exactly this class of proof via rfl and decide. No infinite-dimensional Hilbert space reasoning is required. Once proved, the discrimination criterion moves from CONJECTURED to PROVED status in the Glassbox epistemic taxonomy.</w:t>
      </w:r>
    </w:p>
    <w:p>
      <w:pPr>
        <w:pStyle w:val="Heading2"/>
      </w:pPr>
      <w:r>
        <w:t xml:space="preserve">5.2 Simulation Architecture</w:t>
      </w:r>
    </w:p>
    <w:p>
      <w:pPr>
        <w:spacing w:after="120"/>
      </w:pPr>
      <w:r>
        <w:t xml:space="preserve">The simulation extends the verified algebra into a computational discrimination testbed:</w:t>
      </w:r>
    </w:p>
    <w:p>
      <w:pPr>
        <w:pStyle w:val="ListParagraph"/>
        <w:numPr>
          <w:ilvl w:val="0"/>
          <w:numId w:val="3"/>
        </w:numPr>
        <w:spacing w:after="80"/>
      </w:pPr>
      <w:r>
        <w:rPr>
          <w:b/>
          <w:bCs/>
        </w:rPr>
        <w:t xml:space="preserve">Verified Algebra Layer (Lean 4): </w:t>
      </w:r>
      <w:r>
        <w:t xml:space="preserve">The existing Cl(p,q) constructions and Majorana representations serve as the trusted kernel. All algebraic identities used by the simulation are proved, not assumed.</w:t>
      </w:r>
    </w:p>
    <w:p>
      <w:pPr>
        <w:pStyle w:val="ListParagraph"/>
        <w:numPr>
          <w:ilvl w:val="0"/>
          <w:numId w:val="3"/>
        </w:numPr>
        <w:spacing w:after="80"/>
      </w:pPr>
      <w:r>
        <w:rPr>
          <w:b/>
          <w:bCs/>
        </w:rPr>
        <w:t xml:space="preserve">Perturbation Model: </w:t>
      </w:r>
      <w:r>
        <w:t xml:space="preserve">A numerical layer models the strain perturbations as rotors in the Clifford algebra (R = e^{−Bθ/2}). The perturbation is applied to both a simulated MZM and a simulated ABS, and the bivector response is tracked.</w:t>
      </w:r>
    </w:p>
    <w:p>
      <w:pPr>
        <w:pStyle w:val="ListParagraph"/>
        <w:numPr>
          <w:ilvl w:val="0"/>
          <w:numId w:val="3"/>
        </w:numPr>
        <w:spacing w:after="80"/>
      </w:pPr>
      <w:r>
        <w:rPr>
          <w:b/>
          <w:bCs/>
        </w:rPr>
        <w:t xml:space="preserve">Invariance Classifier: </w:t>
      </w:r>
      <w:r>
        <w:t xml:space="preserve">The simulation measures the deviation of the bivector representation under the applied rotation. A true MZM should show deviation below a topological threshold; an ABS should show significant drift or collapse.</w:t>
      </w:r>
    </w:p>
    <w:p>
      <w:pPr>
        <w:pStyle w:val="ListParagraph"/>
        <w:numPr>
          <w:ilvl w:val="0"/>
          <w:numId w:val="3"/>
        </w:numPr>
        <w:spacing w:after="200"/>
      </w:pPr>
      <w:r>
        <w:rPr>
          <w:b/>
          <w:bCs/>
        </w:rPr>
        <w:t xml:space="preserve">Persistent Homology Monitor: </w:t>
      </w:r>
      <w:r>
        <w:t xml:space="preserve">Topological Data Analysis (TDA) generates a persistence barcode of the simulated state’s evolution under perturbation. The barcode provides a substrate-independent fingerprint: long-lived bars indicate topological protection; short-lived bars indicate fragile states.</w:t>
      </w:r>
    </w:p>
    <w:p>
      <w:pPr>
        <w:pStyle w:val="Heading2"/>
      </w:pPr>
      <w:r>
        <w:t xml:space="preserve">5.3 Connection to Existing Simulation Ecosystems</w:t>
      </w:r>
    </w:p>
    <w:p>
      <w:pPr>
        <w:spacing w:after="200"/>
      </w:pPr>
      <w:r>
        <w:t xml:space="preserve">The verified algebra and simulation concept connect directly to active research infrastructure. Microsoft’s own Lean 4 origins (the language was developed at Microsoft Research) create a natural bridge. The QIR (Quantum Intermediate Representation) ecosystem provides a common substrate for QPU-agnostic simulation. Nvidia’s CUDA-Q platform could serve as the high-performance numerical backend, with the Lean 4 verified kernel providing the algebraic ground truth that the simulation engine trusts.</w:t>
      </w:r>
    </w:p>
    <w:p>
      <w:pPr>
        <w:pStyle w:val="Heading1"/>
      </w:pPr>
      <w:r>
        <w:t xml:space="preserve">6. Epistemic Accounting</w:t>
      </w:r>
    </w:p>
    <w:p>
      <w:pPr>
        <w:spacing w:after="120"/>
      </w:pPr>
      <w:r>
        <w:t xml:space="preserve">This proposal follows a strict separation of epistemic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Tag</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Claim</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Cl(2,0) and Cl(3,0) algebraic structures; Kitaev chain edge modes (left_edge_always_free ∀N≥2); bivector products; AZ classification (112 theorems).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Lean 4 rfl / decide / native_decide proofs. Zero sorry in L2. Machine-verified by the Lean kernel.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DEMONSTRATED</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NV center sensing (magnetometry, strain, thermometry); AFM nanomechanics; stiffness clamp protocols; ODMR; P-type/D-type probe architectures; winding number W=1 produces 99.7% edge localization.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Published, peer-reviewed experimental literature (NV-AFM). GoS Python/JAX simulation (winding number). Independently replicated.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CONJECTURED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Bivector invariance as MZM/ABS discrimination criterion. Three-gate verification protocol. Spin(2,0) commutativity with e₁₂.</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Novel synthesis. Formalization-ready: BivectorDiscrimination.lean targets rfl proof. Kill condition: if e₁₂ is not invariant under Spin(2,0), the criterion fails.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SPECULATIVE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 NV-AFM platform build for experimental validation. Scaling to InAs/Al heterostructure substrates. Integration with QIR/CUDA-Q simulation ecosystems.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Logically coherent but dependent on experimental collaboration and engineering development beyond the current program.</w:t>
            </w:r>
          </w:p>
        </w:tc>
      </w:tr>
    </w:tbl>
    <w:p>
      <w:pPr>
        <w:spacing w:after="100"/>
      </w:pPr>
      <w:r>
        <w:rPr>
          <w:i/>
          <w:iCs/>
          <w:color w:val="666666"/>
          <w:sz w:val="18"/>
          <w:szCs w:val="18"/>
        </w:rPr>
        <w:t xml:space="preserve">Table 6. Epistemic status of claims per the Glassbox five-tag taxonomy.</w:t>
      </w:r>
    </w:p>
    <w:p>
      <w:pPr>
        <w:spacing w:after="200"/>
      </w:pPr>
      <w:r>
        <w:t xml:space="preserve">The central novel contribution</w:t>
      </w:r>
      <w:r>
        <w:rPr>
          <w:rFonts w:ascii="Arial" w:cs="Arial" w:eastAsia="Arial" w:hAnsi="Arial"/>
        </w:rPr>
        <w:t xml:space="preserve">—</w:t>
      </w:r>
      <w:r>
        <w:t xml:space="preserve">using Clifford algebra bivector invariance as an experimentally testable discrimination criterion</w:t>
      </w:r>
      <w:r>
        <w:rPr>
          <w:rFonts w:ascii="Arial" w:cs="Arial" w:eastAsia="Arial" w:hAnsi="Arial"/>
        </w:rPr>
        <w:t xml:space="preserve">—</w:t>
      </w:r>
      <w:r>
        <w:t xml:space="preserve">rests on proved algebraic foundations and established experimental techniques, but the synthesis itself is a proposal requiring validation.</w:t>
      </w:r>
    </w:p>
    <w:p>
      <w:pPr>
        <w:pStyle w:val="Heading1"/>
      </w:pPr>
      <w:r>
        <w:t xml:space="preserve">7. Strategic Context and Next Steps</w:t>
      </w:r>
    </w:p>
    <w:p>
      <w:pPr>
        <w:spacing w:after="200"/>
      </w:pPr>
      <w:r>
        <w:t xml:space="preserve">The Majorana verification gap is not merely an academic puzzle</w:t>
      </w:r>
      <w:r>
        <w:rPr>
          <w:rFonts w:ascii="Arial" w:cs="Arial" w:eastAsia="Arial" w:hAnsi="Arial"/>
        </w:rPr>
        <w:t xml:space="preserve">—</w:t>
      </w:r>
      <w:r>
        <w:t xml:space="preserve">it is a bottleneck for the entire topological quantum computing program. Microsoft’s roadmap, DARPA’s US2QC program, and multiple academic groups depend on resolving the MZM/ABS discrimination question. Recent results from Delft/CSIC demonstrating millisecond-scale parity coherence in InAs-Al devices suggest the experimental infrastructure is rapidly maturing, making the verification question increasingly urgent.</w:t>
      </w:r>
    </w:p>
    <w:p>
      <w:pPr>
        <w:spacing w:after="120"/>
      </w:pPr>
      <w:r>
        <w:t xml:space="preserve">Immediate next steps for this concept:</w:t>
      </w:r>
    </w:p>
    <w:p>
      <w:pPr>
        <w:pStyle w:val="ListParagraph"/>
        <w:numPr>
          <w:ilvl w:val="0"/>
          <w:numId w:val="3"/>
        </w:numPr>
        <w:spacing w:after="80"/>
      </w:pPr>
      <w:r>
        <w:rPr>
          <w:b/>
          <w:bCs/>
        </w:rPr>
        <w:t xml:space="preserve">Simulation proof-of-concept: </w:t>
      </w:r>
      <w:r>
        <w:t xml:space="preserve">Implement the perturbation model using the verified GoS Clifford algebra as the trusted kernel, with a numerical backend for the strain-response simulation.</w:t>
      </w:r>
    </w:p>
    <w:p>
      <w:pPr>
        <w:pStyle w:val="ListParagraph"/>
        <w:numPr>
          <w:ilvl w:val="0"/>
          <w:numId w:val="3"/>
        </w:numPr>
        <w:spacing w:after="80"/>
      </w:pPr>
      <w:r>
        <w:rPr>
          <w:b/>
          <w:bCs/>
        </w:rPr>
        <w:t xml:space="preserve">Extend the Lean 4 verification: </w:t>
      </w:r>
      <w:r>
        <w:t xml:space="preserve">Formalize the bivector invariance criterion itself as a Lean 4 theorem, moving it from PROPOSED to PROVED status.</w:t>
      </w:r>
    </w:p>
    <w:p>
      <w:pPr>
        <w:pStyle w:val="ListParagraph"/>
        <w:numPr>
          <w:ilvl w:val="0"/>
          <w:numId w:val="3"/>
        </w:numPr>
        <w:spacing w:after="80"/>
      </w:pPr>
      <w:r>
        <w:rPr>
          <w:b/>
          <w:bCs/>
        </w:rPr>
        <w:t xml:space="preserve">Community engagement: </w:t>
      </w:r>
      <w:r>
        <w:t xml:space="preserve">Present the concept to the Lean 4 Zulip community and the broader formal verification and quantum computing communities for peer scrutiny.</w:t>
      </w:r>
    </w:p>
    <w:p>
      <w:pPr>
        <w:pStyle w:val="ListParagraph"/>
        <w:numPr>
          <w:ilvl w:val="0"/>
          <w:numId w:val="3"/>
        </w:numPr>
        <w:spacing w:after="200"/>
      </w:pPr>
      <w:r>
        <w:rPr>
          <w:b/>
          <w:bCs/>
        </w:rPr>
        <w:t xml:space="preserve">Experimental collaboration: </w:t>
      </w:r>
      <w:r>
        <w:t xml:space="preserve">Identify groups with operational NV-AFM platforms and InAs/Al heterostructures who could test the discrimination protocol.</w:t>
      </w:r>
    </w:p>
    <w:p>
      <w:pPr>
        <w:pStyle w:val="Heading1"/>
      </w:pPr>
      <w:r>
        <w:t xml:space="preserve">References</w:t>
      </w:r>
    </w:p>
    <w:p>
      <w:pPr>
        <w:spacing w:before="120" w:after="60"/>
      </w:pPr>
      <w:r>
        <w:rPr>
          <w:b/>
          <w:bCs/>
          <w:color w:val="1B3A5C"/>
          <w:sz w:val="22"/>
          <w:szCs w:val="22"/>
        </w:rPr>
        <w:t xml:space="preserve">GoS Repository</w:t>
      </w:r>
    </w:p>
    <w:p>
      <w:pPr>
        <w:spacing w:after="60"/>
      </w:pPr>
      <w:r>
        <w:rPr>
          <w:b/>
          <w:bCs/>
        </w:rPr>
        <w:t xml:space="preserve">Repository: </w:t>
      </w:r>
      <w:r>
        <w:t xml:space="preserve">github.com/GoS-Architect/GeometryOfState</w:t>
      </w:r>
    </w:p>
    <w:p>
      <w:pPr>
        <w:spacing w:after="60"/>
      </w:pPr>
      <w:r>
        <w:rPr>
          <w:i/>
          <w:iCs/>
        </w:rPr>
        <w:t xml:space="preserve">GeometryOfState.lean </w:t>
      </w:r>
      <w:r>
        <w:t xml:space="preserve">— Cl(2,0), Cl(3,0), rotors, Kitaev chain, edge modes, MHD bivectors. Zero sorry.</w:t>
      </w:r>
    </w:p>
    <w:p>
      <w:pPr>
        <w:spacing w:after="60"/>
      </w:pPr>
      <w:r>
        <w:rPr>
          <w:i/>
          <w:iCs/>
        </w:rPr>
        <w:t xml:space="preserve">TopologicalBridge.lean </w:t>
      </w:r>
      <w:r>
        <w:t xml:space="preserve">— HoTT foundations, S¹ HIT, bridge axioms, information_conservation.</w:t>
      </w:r>
    </w:p>
    <w:p>
      <w:pPr>
        <w:spacing w:after="60"/>
      </w:pPr>
      <w:r>
        <w:rPr>
          <w:i/>
          <w:iCs/>
        </w:rPr>
        <w:t xml:space="preserve">AZ_Classification/ </w:t>
      </w:r>
      <w:r>
        <w:t xml:space="preserve">— 112 sorry-free theorems. Tenfold way, Bott periodicity, edge mode existence.</w:t>
      </w:r>
    </w:p>
    <w:p>
      <w:pPr>
        <w:spacing w:after="60"/>
      </w:pPr>
      <w:r>
        <w:rPr>
          <w:i/>
          <w:iCs/>
        </w:rPr>
        <w:t xml:space="preserve">SpinGroup.lean </w:t>
      </w:r>
      <w:r>
        <w:rPr>
          <w:color w:val="666666"/>
        </w:rPr>
        <w:t xml:space="preserve">(planned)</w:t>
      </w:r>
      <w:r>
        <w:t xml:space="preserve"> — Spin(2,0) / Pin(2,0) group actions.</w:t>
      </w:r>
    </w:p>
    <w:p>
      <w:pPr>
        <w:spacing w:after="60"/>
      </w:pPr>
      <w:r>
        <w:rPr>
          <w:i/>
          <w:iCs/>
        </w:rPr>
        <w:t xml:space="preserve">BivectorDiscrimination.lean </w:t>
      </w:r>
      <w:r>
        <w:rPr>
          <w:color w:val="666666"/>
        </w:rPr>
        <w:t xml:space="preserve">(planned)</w:t>
      </w:r>
      <w:r>
        <w:t xml:space="preserve"> — Core discrimination theorem.</w:t>
      </w:r>
    </w:p>
    <w:p>
      <w:pPr>
        <w:spacing w:after="60"/>
      </w:pPr>
      <w:r>
        <w:rPr>
          <w:i/>
          <w:iCs/>
        </w:rPr>
        <w:t xml:space="preserve">EdgeModeBivector.lean </w:t>
      </w:r>
      <w:r>
        <w:rPr>
          <w:color w:val="666666"/>
        </w:rPr>
        <w:t xml:space="preserve">(planned)</w:t>
      </w:r>
      <w:r>
        <w:t xml:space="preserve"> — L1–L2 bridge: edge modes to bivector representation.</w:t>
      </w:r>
    </w:p>
    <w:p>
      <w:pPr>
        <w:spacing w:before="160" w:after="60"/>
      </w:pPr>
      <w:r>
        <w:rPr>
          <w:b/>
          <w:bCs/>
          <w:color w:val="1B3A5C"/>
          <w:sz w:val="22"/>
          <w:szCs w:val="22"/>
        </w:rPr>
        <w:t xml:space="preserve">External References</w:t>
      </w:r>
    </w:p>
    <w:p>
      <w:pPr>
        <w:spacing w:after="80"/>
      </w:pPr>
      <w:r>
        <w:rPr>
          <w:i/>
          <w:iCs/>
        </w:rPr>
        <w:t xml:space="preserve">Microsoft Azure Quantum et al., </w:t>
      </w:r>
      <w:r>
        <w:t xml:space="preserve">"Interferometric single-shot parity measurement in InAs–Al hybrid devices," </w:t>
      </w:r>
      <w:r>
        <w:rPr>
          <w:i/>
          <w:iCs/>
        </w:rPr>
        <w:t xml:space="preserve">Nature</w:t>
      </w:r>
      <w:r>
        <w:t xml:space="preserve"> 638, 651 (2025).</w:t>
      </w:r>
    </w:p>
    <w:p>
      <w:pPr>
        <w:spacing w:after="80"/>
      </w:pPr>
      <w:r>
        <w:rPr>
          <w:i/>
          <w:iCs/>
        </w:rPr>
        <w:t xml:space="preserve">van Loo, N. et al., </w:t>
      </w:r>
      <w:r>
        <w:t xml:space="preserve">"Single-shot parity readout of a minimal Kitaev chain," </w:t>
      </w:r>
      <w:r>
        <w:rPr>
          <w:i/>
          <w:iCs/>
        </w:rPr>
        <w:t xml:space="preserve">Nature</w:t>
      </w:r>
      <w:r>
        <w:t xml:space="preserve"> (2026).</w:t>
      </w:r>
    </w:p>
    <w:p>
      <w:pPr>
        <w:spacing w:after="80"/>
      </w:pPr>
      <w:r>
        <w:rPr>
          <w:i/>
          <w:iCs/>
        </w:rPr>
        <w:t xml:space="preserve">Legg, H., </w:t>
      </w:r>
      <w:r>
        <w:t xml:space="preserve">Critique of the topological gap protocol, arXiv preprint (2025).</w:t>
      </w:r>
    </w:p>
    <w:p>
      <w:pPr>
        <w:spacing w:after="80"/>
      </w:pPr>
      <w:r>
        <w:rPr>
          <w:i/>
          <w:iCs/>
        </w:rPr>
        <w:t xml:space="preserve">Das Sarma, S. &amp; Sau, J., </w:t>
      </w:r>
      <w:r>
        <w:t xml:space="preserve">"Proposed experiment for definitive Majorana qubit demonstration," </w:t>
      </w:r>
      <w:r>
        <w:rPr>
          <w:i/>
          <w:iCs/>
        </w:rPr>
        <w:t xml:space="preserve">Phys. Rev. B</w:t>
      </w:r>
      <w:r>
        <w:t xml:space="preserve"> (2025).</w:t>
      </w:r>
    </w:p>
    <w:p>
      <w:pPr>
        <w:spacing w:after="80"/>
      </w:pPr>
      <w:r>
        <w:rPr>
          <w:i/>
          <w:iCs/>
        </w:rPr>
        <w:t xml:space="preserve">Schreiber, U., </w:t>
      </w:r>
      <w:r>
        <w:t xml:space="preserve">Differential Cohomology in a Cohesive Infinity-Topos. Habilitation thesis.</w:t>
      </w:r>
    </w:p>
    <w:p>
      <w:pPr>
        <w:spacing w:after="80"/>
      </w:pPr>
      <w:r>
        <w:rPr>
          <w:i/>
          <w:iCs/>
        </w:rPr>
        <w:t xml:space="preserve">Domingo, A., </w:t>
      </w:r>
      <w:r>
        <w:t xml:space="preserve">The Glassbox Methodology &amp; Constitutional XAI, v2.0 (March 2026). GoS Research Program.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66666"/>
        <w:sz w:val="16"/>
        <w:szCs w:val="16"/>
      </w:rPr>
      <w:t xml:space="preserve">GoS Concept Paper: Bivector Invariance for Majorana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2026-03-24T02:13:18.110Z</dcterms:created>
  <dcterms:modified xsi:type="dcterms:W3CDTF">2026-03-24T02:13:18.110Z</dcterms:modified>
</cp:coreProperties>
</file>

<file path=docProps/custom.xml><?xml version="1.0" encoding="utf-8"?>
<Properties xmlns="http://schemas.openxmlformats.org/officeDocument/2006/custom-properties" xmlns:vt="http://schemas.openxmlformats.org/officeDocument/2006/docPropsVTypes"/>
</file>