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00"/>
        <w:jc w:val="center"/>
      </w:pPr>
      <w:r>
        <w:rPr>
          <w:rFonts w:ascii="Arial" w:cs="Arial" w:eastAsia="Arial" w:hAnsi="Arial"/>
          <w:b/>
          <w:bCs/>
          <w:sz w:val="36"/>
          <w:szCs w:val="36"/>
        </w:rPr>
        <w:t xml:space="preserve">QUASIPERIODIC TOPOLOGICAL RATCHET</w:t>
      </w:r>
    </w:p>
    <w:p>
      <w:pPr>
        <w:spacing w:after="80"/>
        <w:jc w:val="center"/>
      </w:pPr>
      <w:r>
        <w:rPr>
          <w:rFonts w:ascii="Arial" w:cs="Arial" w:eastAsia="Arial" w:hAnsi="Arial"/>
          <w:sz w:val="22"/>
          <w:szCs w:val="22"/>
        </w:rPr>
        <w:t xml:space="preserve">Golden-Angle Geodesics, Stone-Wales Defect Networks,</w:t>
      </w:r>
    </w:p>
    <w:p>
      <w:pPr>
        <w:spacing w:after="80"/>
        <w:jc w:val="center"/>
      </w:pPr>
      <w:r>
        <w:rPr>
          <w:rFonts w:ascii="Arial" w:cs="Arial" w:eastAsia="Arial" w:hAnsi="Arial"/>
          <w:sz w:val="22"/>
          <w:szCs w:val="22"/>
        </w:rPr>
        <w:t xml:space="preserve">Majorana Zero Mode Localization, and the Algebraic Ladder</w:t>
      </w:r>
    </w:p>
    <w:p>
      <w:pPr>
        <w:spacing w:after="200"/>
        <w:jc w:val="center"/>
      </w:pPr>
      <w:r>
        <w:rPr>
          <w:rFonts w:ascii="Arial" w:cs="Arial" w:eastAsia="Arial" w:hAnsi="Arial"/>
          <w:i/>
          <w:iCs/>
          <w:sz w:val="20"/>
          <w:szCs w:val="20"/>
        </w:rPr>
        <w:t xml:space="preserve">A Working Thesis — Developed via AI-Assisted Geometric Reasoning</w:t>
      </w:r>
    </w:p>
    <w:p>
      <w:pPr>
        <w:spacing w:after="600"/>
        <w:jc w:val="center"/>
      </w:pPr>
      <w:r>
        <w:rPr>
          <w:rFonts w:ascii="Arial" w:cs="Arial" w:eastAsia="Arial" w:hAnsi="Arial"/>
          <w:sz w:val="20"/>
          <w:szCs w:val="20"/>
        </w:rPr>
        <w:t xml:space="preserve">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5F5F5" w:val="clear"/>
            <w:tcMar>
              <w:top w:type="dxa" w:w="120"/>
              <w:left w:type="dxa" w:w="200"/>
              <w:bottom w:type="dxa" w:w="120"/>
              <w:right w:type="dxa" w:w="200"/>
            </w:tcMar>
          </w:tcPr>
          <w:p>
            <w:pPr>
              <w:spacing w:after="80"/>
            </w:pPr>
            <w:r>
              <w:rPr>
                <w:b/>
                <w:bCs/>
              </w:rPr>
              <w:t xml:space="preserve">Epistemic Status Key</w:t>
            </w:r>
          </w:p>
          <w:p>
            <w:pPr>
              <w:spacing w:after="40"/>
            </w:pPr>
            <w:r>
              <w:rPr>
                <w:b/>
                <w:bCs/>
              </w:rPr>
              <w:t xml:space="preserve">PROVED</w:t>
            </w:r>
            <w:r>
              <w:t xml:space="preserve"> — Formally established in published mathematics or physics.</w:t>
            </w:r>
          </w:p>
          <w:p>
            <w:pPr>
              <w:spacing w:after="40"/>
            </w:pPr>
            <w:r>
              <w:rPr>
                <w:b/>
                <w:bCs/>
              </w:rPr>
              <w:t xml:space="preserve">DEMONSTRATED</w:t>
            </w:r>
            <w:r>
              <w:t xml:space="preserve"> — Computationally or experimentally shown; not fully formalized.</w:t>
            </w:r>
          </w:p>
          <w:p>
            <w:pPr>
              <w:spacing w:after="40"/>
            </w:pPr>
            <w:r>
              <w:rPr>
                <w:b/>
                <w:bCs/>
              </w:rPr>
              <w:t xml:space="preserve">SPECULATIVE</w:t>
            </w:r>
            <w:r>
              <w:t xml:space="preserve"> — Logically coherent extrapolation; not yet established.</w:t>
            </w:r>
          </w:p>
          <w:p>
            <w:pPr>
              <w:spacing w:after="0"/>
            </w:pPr>
            <w:r>
              <w:rPr>
                <w:b/>
                <w:bCs/>
              </w:rPr>
              <w:t xml:space="preserve">CONJECTURED</w:t>
            </w:r>
            <w:r>
              <w:t xml:space="preserve"> — Plausible hypothesis requiring formalization and testing.</w:t>
            </w:r>
          </w:p>
        </w:tc>
      </w:tr>
    </w:tbl>
    <w:p>
      <w:pPr>
        <w:spacing w:after="80"/>
      </w:pPr>
    </w:p>
    <w:p>
      <w:pPr>
        <w:pStyle w:val="Heading1"/>
      </w:pPr>
      <w:r>
        <w:t xml:space="preserve">Abstract</w:t>
      </w:r>
    </w:p>
    <w:p>
      <w:pPr>
        <w:spacing w:after="120"/>
      </w:pPr>
      <w:r>
        <w:t xml:space="preserve">This document records a chain of geometric reasoning that begins with the golden angle and the Penrose P3 tiling, progresses through the buckling of that tiling to a non-Euclidean surface via Stone-Wales defect pairs, and arrives at two convergent conclusions: the natural localization of Majorana zero modes at 5/7 curvature domain walls, and the emergence of a quasiperiodic topological ratchet with broken time-reversal symmetry.</w:t>
      </w:r>
    </w:p>
    <w:p>
      <w:pPr>
        <w:spacing w:after="120"/>
      </w:pPr>
      <w:r>
        <w:t xml:space="preserve">The construction assembles known results from discrete differential geometry, quasicrystal theory, topological condensed matter physics, and Homotopy Type Theory. The assembled object — a golden-angle helical geodesic propagating through a buckled quasiperiodic 5/7 defect network — appears to be novel as a unified construction, though all component pieces are established.</w:t>
      </w:r>
    </w:p>
    <w:p>
      <w:pPr>
        <w:spacing w:after="120"/>
      </w:pPr>
      <w:r>
        <w:t xml:space="preserve">A central gap is identified explicitly: the construction requires a tight-binding Bogoliubov–de Gennes Hamiltonian on the buckled 5/7 lattice to bridge the transition from geometric curvature to topological phase classification. This gap — the coercion of geometry into topology without a Hamiltonian witness — is characterized as a </w:t>
      </w:r>
      <w:r>
        <w:rPr>
          <w:i/>
          <w:iCs/>
        </w:rPr>
        <w:t xml:space="preserve">type error</w:t>
      </w:r>
      <w:r>
        <w:t xml:space="preserve"> in the proof-theoretic sense. The Majorana zero mode sits precisely at this boundary: it is simultaneously the physical prediction and the proof obligation that would close the gap.</w:t>
      </w:r>
    </w:p>
    <w:p>
      <w:pPr>
        <w:spacing w:after="120"/>
      </w:pPr>
      <w:r>
        <w:t xml:space="preserve">The algebraic structure underlying the classification is the Altland-Zirnbauer tenfold way, which is indexed by Clifford algebra periodicity — the same algebraic ladder (</w:t>
      </w:r>
      <w:r>
        <w:rPr>
          <w:rFonts w:ascii="Cambria Math" w:cs="Cambria Math" w:eastAsia="Cambria Math" w:hAnsi="Cambria Math"/>
          <w:i/>
          <w:iCs/>
        </w:rPr>
        <w:t xml:space="preserve">ℝ → ℂ → ℍ → 𝕆</w:t>
      </w:r>
      <w:r>
        <w:t xml:space="preserve">) that loses one fundamental property at each descent. The topological phase transition at the 5/7 boundary is conjectured to be a rung descent on this ladder.</w:t>
      </w:r>
    </w:p>
    <w:p>
      <w:pPr>
        <w:spacing w:after="120"/>
      </w:pPr>
      <w:r>
        <w:t xml:space="preserve">Each step is tagged with its epistemic status. The Lean 4 formalization project (Geometry of State) provides the formal substrate into which the PROVED components are being integrated.</w:t>
      </w:r>
    </w:p>
    <w:p>
      <w:r>
        <w:br w:type="page"/>
      </w:r>
    </w:p>
    <w:p>
      <w:pPr>
        <w:pStyle w:val="Heading1"/>
      </w:pPr>
      <w:r>
        <w:t xml:space="preserve">1. Geometric Foundations</w:t>
      </w:r>
    </w:p>
    <w:p>
      <w:pPr>
        <w:pStyle w:val="Heading2"/>
      </w:pPr>
      <w:r>
        <w:t xml:space="preserve">1.1 The Golden Angle</w:t>
      </w:r>
    </w:p>
    <w:p>
      <w:pPr>
        <w:spacing w:after="120"/>
      </w:pPr>
      <w:r>
        <w:t xml:space="preserve">The golden angle is derived from the golden ratio φ = (1+√5)/2 ≈ 1.61803. Dividing a full circle in the proportion φ:1 yields two arcs of approximately 222.49° and 137.51°. The smaller arc is the golden angle:</w:t>
      </w:r>
    </w:p>
    <w:p>
      <w:pPr>
        <w:spacing w:before="120" w:after="120"/>
        <w:jc w:val="center"/>
      </w:pPr>
      <w:r>
        <w:rPr>
          <w:b/>
          <w:bCs/>
          <w:i/>
          <w:iCs/>
        </w:rPr>
        <w:t xml:space="preserve">θ</w:t>
      </w:r>
      <w:r>
        <w:rPr>
          <w:b/>
          <w:bCs/>
        </w:rPr>
        <w:t xml:space="preserve">g</w:t>
      </w:r>
      <w:r>
        <w:rPr>
          <w:b/>
          <w:bCs/>
        </w:rPr>
        <w:t xml:space="preserve"> = 360° / φ² ≈ 137.5077°</w:t>
      </w:r>
    </w:p>
    <w:p>
      <w:pPr>
        <w:spacing w:after="120"/>
      </w:pPr>
      <w:r>
        <w:t xml:space="preserve">In radians: θg = 2π(2 − φ) ≈ 2.3999 rad. This angle has a critical property: because φ is the number hardest to approximate by rationals (its continued fraction is [1;1,1,1,…]), spacing items by θg guarantees maximal packing — each new element fills the largest available gap. This is the geometric basis for phyllotaxis in plants.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sz="0"/>
              <w:left w:val="none" w:sz="0"/>
              <w:bottom w:val="none" w:sz="0"/>
              <w:right w:val="none" w:sz="0"/>
            </w:tcBorders>
            <w:shd w:fill="E8F5E9" w:val="clear"/>
            <w:tcMar>
              <w:top w:type="dxa" w:w="60"/>
              <w:left w:type="dxa" w:w="100"/>
              <w:bottom w:type="dxa" w:w="60"/>
              <w:right w:type="dxa" w:w="100"/>
            </w:tcMar>
            <w:vAlign w:val="center"/>
          </w:tcPr>
          <w:p>
            <w:r>
              <w:rPr>
                <w:rFonts w:ascii="Arial" w:cs="Arial" w:eastAsia="Arial" w:hAnsi="Arial"/>
                <w:b/>
                <w:bCs/>
                <w:sz w:val="18"/>
                <w:szCs w:val="18"/>
              </w:rPr>
              <w:t xml:space="preserve">PROVED</w:t>
            </w:r>
          </w:p>
        </w:tc>
        <w:tc>
          <w:tcPr>
            <w:tcW w:type="dxa" w:w="7960"/>
            <w:tcBorders>
              <w:top w:val="none" w:sz="0"/>
              <w:left w:val="none" w:sz="0"/>
              <w:bottom w:val="none" w:sz="0"/>
              <w:right w:val="none" w:sz="0"/>
            </w:tcBorders>
            <w:shd w:fill="E8F5E9" w:val="clear"/>
            <w:tcMar>
              <w:top w:type="dxa" w:w="60"/>
              <w:left w:type="dxa" w:w="100"/>
              <w:bottom w:type="dxa" w:w="60"/>
              <w:right w:type="dxa" w:w="100"/>
            </w:tcMar>
          </w:tcPr>
          <w:p>
            <w:pPr>
              <w:spacing w:after="0"/>
            </w:pPr>
            <w:r>
              <w:rPr>
                <w:rFonts w:ascii="Arial" w:cs="Arial" w:eastAsia="Arial" w:hAnsi="Arial"/>
                <w:sz w:val="20"/>
                <w:szCs w:val="20"/>
              </w:rPr>
              <w:t xml:space="preserve">π₁(S¹) ≅ ℤ via HoTT. The golden angle is irrational and transcendental. Phyllotaxis convergence to Fibonacci/φ is mathematically established.</w:t>
            </w:r>
          </w:p>
        </w:tc>
      </w:tr>
    </w:tbl>
    <w:p>
      <w:pPr>
        <w:spacing w:after="80"/>
      </w:pPr>
    </w:p>
    <w:p>
      <w:pPr>
        <w:pStyle w:val="Heading2"/>
      </w:pPr>
      <w:r>
        <w:t xml:space="preserve">1.2 The Golden Angle as a Screw Motion</w:t>
      </w:r>
    </w:p>
    <w:p>
      <w:pPr>
        <w:spacing w:after="120"/>
      </w:pPr>
      <w:r>
        <w:t xml:space="preserve">When the golden angle rotation is combined with a translation along an axis, the result is a screw motion — the fundamental operation of helical geometry. In 3D, a golden-angle screw stepping along an axis generates a path that is doubly quasiperiodic: quasiperiodic in the transverse plane and along the axis simultaneously. The path never closes; it never repeats; it has long-range statistical regularity without short-range periodicity.</w:t>
      </w:r>
    </w:p>
    <w:p>
      <w:pPr>
        <w:spacing w:after="120"/>
      </w:pPr>
      <w:r>
        <w:t xml:space="preserve">This screw is not a loop. Its winding number is not a fixed integer — it accumulates quasiperiodically. This is addressed formally in Section 9.</w:t>
      </w:r>
    </w:p>
    <w:p>
      <w:r>
        <w:br w:type="page"/>
      </w:r>
    </w:p>
    <w:p>
      <w:pPr>
        <w:pStyle w:val="Heading1"/>
      </w:pPr>
      <w:r>
        <w:t xml:space="preserve">2. The Penrose P3 Substrate and 5/7 Geometry</w:t>
      </w:r>
    </w:p>
    <w:p>
      <w:pPr>
        <w:pStyle w:val="Heading2"/>
      </w:pPr>
      <w:r>
        <w:t xml:space="preserve">2.1 Penrose P3 Tiling and φ-Native Structure</w:t>
      </w:r>
    </w:p>
    <w:p>
      <w:pPr>
        <w:spacing w:after="120"/>
      </w:pPr>
      <w:r>
        <w:t xml:space="preserve">The Penrose P3 tiling (thick and thin rhombi) exhibits 5-fold quasiperiodic symmetry. Its structure is φ-native at every level: the rhombus angles are multiples of 36°, and cos 36° = φ/2. The ratio of thick to thin tiles in any infinite P3 tiling approaches φ². The tiling is generated by projection from a 5D integer lattice, and its diffraction pattern shows perfect 5-fold (decagonal) symmetry forbidden by classical crystallography.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sz="0"/>
              <w:left w:val="none" w:sz="0"/>
              <w:bottom w:val="none" w:sz="0"/>
              <w:right w:val="none" w:sz="0"/>
            </w:tcBorders>
            <w:shd w:fill="E8F5E9" w:val="clear"/>
            <w:tcMar>
              <w:top w:type="dxa" w:w="60"/>
              <w:left w:type="dxa" w:w="100"/>
              <w:bottom w:type="dxa" w:w="60"/>
              <w:right w:type="dxa" w:w="100"/>
            </w:tcMar>
            <w:vAlign w:val="center"/>
          </w:tcPr>
          <w:p>
            <w:r>
              <w:rPr>
                <w:rFonts w:ascii="Arial" w:cs="Arial" w:eastAsia="Arial" w:hAnsi="Arial"/>
                <w:b/>
                <w:bCs/>
                <w:sz w:val="18"/>
                <w:szCs w:val="18"/>
              </w:rPr>
              <w:t xml:space="preserve">PROVED</w:t>
            </w:r>
          </w:p>
        </w:tc>
        <w:tc>
          <w:tcPr>
            <w:tcW w:type="dxa" w:w="7960"/>
            <w:tcBorders>
              <w:top w:val="none" w:sz="0"/>
              <w:left w:val="none" w:sz="0"/>
              <w:bottom w:val="none" w:sz="0"/>
              <w:right w:val="none" w:sz="0"/>
            </w:tcBorders>
            <w:shd w:fill="E8F5E9" w:val="clear"/>
            <w:tcMar>
              <w:top w:type="dxa" w:w="60"/>
              <w:left w:type="dxa" w:w="100"/>
              <w:bottom w:type="dxa" w:w="60"/>
              <w:right w:type="dxa" w:w="100"/>
            </w:tcMar>
          </w:tcPr>
          <w:p>
            <w:pPr>
              <w:spacing w:after="0"/>
            </w:pPr>
            <w:r>
              <w:rPr>
                <w:rFonts w:ascii="Arial" w:cs="Arial" w:eastAsia="Arial" w:hAnsi="Arial"/>
                <w:sz w:val="20"/>
                <w:szCs w:val="20"/>
              </w:rPr>
              <w:t xml:space="preserve">Penrose tiling quasiperiodicity, φ-ratio tile counts, and 5D lattice projection are mathematically established. Experimental quasicrystal verification: Shechtman et al. (1984), Nobel Prize in Chemistry 2011.</w:t>
            </w:r>
          </w:p>
        </w:tc>
      </w:tr>
    </w:tbl>
    <w:p>
      <w:pPr>
        <w:spacing w:after="80"/>
      </w:pPr>
    </w:p>
    <w:p>
      <w:pPr>
        <w:pStyle w:val="Heading2"/>
      </w:pPr>
      <w:r>
        <w:t xml:space="preserve">2.2 The 5/7 as Curvature Operators</w:t>
      </w:r>
    </w:p>
    <w:p>
      <w:pPr>
        <w:spacing w:after="120"/>
      </w:pPr>
      <w:r>
        <w:t xml:space="preserve">In a flat hexagonal lattice, 5-fold and 7-fold disclinations act as curvature operators. A pentagon (5) introduces positive Gaussian curvature — the lattice bows toward a sphere. A heptagon (7) introduces negative Gaussian curvature — the lattice saddles toward a hyperbolic surface. The ‘5/7’ designation refers not to a single symmetry group but to a mixed-curvature system with paired sign defects.</w:t>
      </w:r>
    </w:p>
    <w:p>
      <w:pPr>
        <w:spacing w:after="120"/>
      </w:pPr>
      <w:r>
        <w:t xml:space="preserve">By Euler’s theorem, any closed surface topologically equivalent to a sphere requires exactly 12 net pentagons (net positive curvature surplus). The soccer ball / truncated icosahedron (12 pentagons, 20 hexagons) is the canonical realization. Critically, the icosahedral symmetry group is the 3D parent of the same symmetry group that generates Penrose tilings in 2D — they are the same object in different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sz="0"/>
              <w:left w:val="none" w:sz="0"/>
              <w:bottom w:val="none" w:sz="0"/>
              <w:right w:val="none" w:sz="0"/>
            </w:tcBorders>
            <w:shd w:fill="E8F5E9" w:val="clear"/>
            <w:tcMar>
              <w:top w:type="dxa" w:w="60"/>
              <w:left w:type="dxa" w:w="100"/>
              <w:bottom w:type="dxa" w:w="60"/>
              <w:right w:type="dxa" w:w="100"/>
            </w:tcMar>
            <w:vAlign w:val="center"/>
          </w:tcPr>
          <w:p>
            <w:r>
              <w:rPr>
                <w:rFonts w:ascii="Arial" w:cs="Arial" w:eastAsia="Arial" w:hAnsi="Arial"/>
                <w:b/>
                <w:bCs/>
                <w:sz w:val="18"/>
                <w:szCs w:val="18"/>
              </w:rPr>
              <w:t xml:space="preserve">PROVED</w:t>
            </w:r>
          </w:p>
        </w:tc>
        <w:tc>
          <w:tcPr>
            <w:tcW w:type="dxa" w:w="7960"/>
            <w:tcBorders>
              <w:top w:val="none" w:sz="0"/>
              <w:left w:val="none" w:sz="0"/>
              <w:bottom w:val="none" w:sz="0"/>
              <w:right w:val="none" w:sz="0"/>
            </w:tcBorders>
            <w:shd w:fill="E8F5E9" w:val="clear"/>
            <w:tcMar>
              <w:top w:type="dxa" w:w="60"/>
              <w:left w:type="dxa" w:w="100"/>
              <w:bottom w:type="dxa" w:w="60"/>
              <w:right w:type="dxa" w:w="100"/>
            </w:tcMar>
          </w:tcPr>
          <w:p>
            <w:pPr>
              <w:spacing w:after="0"/>
            </w:pPr>
            <w:r>
              <w:rPr>
                <w:rFonts w:ascii="Arial" w:cs="Arial" w:eastAsia="Arial" w:hAnsi="Arial"/>
                <w:sz w:val="20"/>
                <w:szCs w:val="20"/>
              </w:rPr>
              <w:t xml:space="preserve">Disclination curvature assignments, Euler’s theorem (12-pentagon requirement), and icosahedral / Penrose symmetry group relationship are established in topology and discrete geometry.</w:t>
            </w:r>
          </w:p>
        </w:tc>
      </w:tr>
    </w:tbl>
    <w:p>
      <w:pPr>
        <w:spacing w:after="80"/>
      </w:pPr>
    </w:p>
    <w:p>
      <w:r>
        <w:br w:type="page"/>
      </w:r>
    </w:p>
    <w:p>
      <w:pPr>
        <w:pStyle w:val="Heading1"/>
      </w:pPr>
      <w:r>
        <w:t xml:space="preserve">3. Buckling to Non-Euclidean Space</w:t>
      </w:r>
    </w:p>
    <w:p>
      <w:pPr>
        <w:pStyle w:val="Heading2"/>
      </w:pPr>
      <w:r>
        <w:t xml:space="preserve">3.1 The Buckling Mechanism</w:t>
      </w:r>
    </w:p>
    <w:p>
      <w:pPr>
        <w:spacing w:after="120"/>
      </w:pPr>
      <w:r>
        <w:t xml:space="preserve">When a flat Penrose-like tiling buckles, the curvature carried by 5-fold and 7-fold vertices is no longer distributed as a topological label — it becomes physical curvature of the manifold. The tiling becomes a piecewise-flat surface with concentrated Gaussian curvature at vertices, zero curvature on faces.</w:t>
      </w:r>
    </w:p>
    <w:p>
      <w:pPr>
        <w:spacing w:after="120"/>
      </w:pPr>
      <w:r>
        <w:t xml:space="preserve">The resulting surface is not smoothly curved. It is a polyhedral manifold whose global topology is determined by the balance of pentagonal and heptagonal vertices. A net of 12 more pentagons than heptagons closes the surface into a topological sphere. Equal counts produce a flat surface on average with local corrugation.</w:t>
      </w:r>
    </w:p>
    <w:p>
      <w:pPr>
        <w:pStyle w:val="Heading2"/>
      </w:pPr>
      <w:r>
        <w:t xml:space="preserve">3.2 Connection to Physical Materials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sz="0"/>
              <w:left w:val="none" w:sz="0"/>
              <w:bottom w:val="none" w:sz="0"/>
              <w:right w:val="none" w:sz="0"/>
            </w:tcBorders>
            <w:shd w:fill="E8F5E9" w:val="clear"/>
            <w:tcMar>
              <w:top w:type="dxa" w:w="60"/>
              <w:left w:type="dxa" w:w="100"/>
              <w:bottom w:type="dxa" w:w="60"/>
              <w:right w:type="dxa" w:w="100"/>
            </w:tcMar>
            <w:vAlign w:val="center"/>
          </w:tcPr>
          <w:p>
            <w:r>
              <w:rPr>
                <w:rFonts w:ascii="Arial" w:cs="Arial" w:eastAsia="Arial" w:hAnsi="Arial"/>
                <w:b/>
                <w:bCs/>
                <w:sz w:val="18"/>
                <w:szCs w:val="18"/>
              </w:rPr>
              <w:t xml:space="preserve">PROVED</w:t>
            </w:r>
          </w:p>
        </w:tc>
        <w:tc>
          <w:tcPr>
            <w:tcW w:type="dxa" w:w="7960"/>
            <w:tcBorders>
              <w:top w:val="none" w:sz="0"/>
              <w:left w:val="none" w:sz="0"/>
              <w:bottom w:val="none" w:sz="0"/>
              <w:right w:val="none" w:sz="0"/>
            </w:tcBorders>
            <w:shd w:fill="E8F5E9" w:val="clear"/>
            <w:tcMar>
              <w:top w:type="dxa" w:w="60"/>
              <w:left w:type="dxa" w:w="100"/>
              <w:bottom w:type="dxa" w:w="60"/>
              <w:right w:type="dxa" w:w="100"/>
            </w:tcMar>
          </w:tcPr>
          <w:p>
            <w:pPr>
              <w:spacing w:after="0"/>
            </w:pPr>
            <w:r>
              <w:rPr>
                <w:rFonts w:ascii="Arial" w:cs="Arial" w:eastAsia="Arial" w:hAnsi="Arial"/>
                <w:sz w:val="20"/>
                <w:szCs w:val="20"/>
              </w:rPr>
              <w:t xml:space="preserve">Fullerene (C60) structure — 12 pentagons closing a hexagonal lattice into a sphere — is experimentally established. Amorphous graphene with high defect density has been experimentally produced (Toh et al., 2020). Graphene grain boundaries as 5-7 defect chains: Yazyev and Louie (established).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sz="0"/>
              <w:left w:val="none" w:sz="0"/>
              <w:bottom w:val="none" w:sz="0"/>
              <w:right w:val="none" w:sz="0"/>
            </w:tcBorders>
            <w:shd w:fill="FBE9E7" w:val="clear"/>
            <w:tcMar>
              <w:top w:type="dxa" w:w="60"/>
              <w:left w:type="dxa" w:w="100"/>
              <w:bottom w:type="dxa" w:w="60"/>
              <w:right w:type="dxa" w:w="100"/>
            </w:tcMar>
            <w:vAlign w:val="center"/>
          </w:tcPr>
          <w:p>
            <w:r>
              <w:rPr>
                <w:rFonts w:ascii="Arial" w:cs="Arial" w:eastAsia="Arial" w:hAnsi="Arial"/>
                <w:b/>
                <w:bCs/>
                <w:sz w:val="18"/>
                <w:szCs w:val="18"/>
              </w:rPr>
              <w:t xml:space="preserve">SPECULATIVE</w:t>
            </w:r>
          </w:p>
        </w:tc>
        <w:tc>
          <w:tcPr>
            <w:tcW w:type="dxa" w:w="7960"/>
            <w:tcBorders>
              <w:top w:val="none" w:sz="0"/>
              <w:left w:val="none" w:sz="0"/>
              <w:bottom w:val="none" w:sz="0"/>
              <w:right w:val="none" w:sz="0"/>
            </w:tcBorders>
            <w:shd w:fill="FBE9E7" w:val="clear"/>
            <w:tcMar>
              <w:top w:type="dxa" w:w="60"/>
              <w:left w:type="dxa" w:w="100"/>
              <w:bottom w:type="dxa" w:w="60"/>
              <w:right w:type="dxa" w:w="100"/>
            </w:tcMar>
          </w:tcPr>
          <w:p>
            <w:pPr>
              <w:spacing w:after="0"/>
            </w:pPr>
            <w:r>
              <w:rPr>
                <w:rFonts w:ascii="Arial" w:cs="Arial" w:eastAsia="Arial" w:hAnsi="Arial"/>
                <w:sz w:val="20"/>
                <w:szCs w:val="20"/>
              </w:rPr>
              <w:t xml:space="preserve">That a Penrose-seeded defect network, upon buckling, produces a surface with quasiperiodic curvature distribution rather than random or periodic distribution. This is geometrically natural but not yet formalized as a theorem.</w:t>
            </w:r>
          </w:p>
        </w:tc>
      </w:tr>
    </w:tbl>
    <w:p>
      <w:pPr>
        <w:spacing w:after="80"/>
      </w:pPr>
    </w:p>
    <w:p>
      <w:r>
        <w:br w:type="page"/>
      </w:r>
    </w:p>
    <w:p>
      <w:pPr>
        <w:pStyle w:val="Heading1"/>
      </w:pPr>
      <w:r>
        <w:t xml:space="preserve">4. Stone-Wales Defect Construction</w:t>
      </w:r>
    </w:p>
    <w:p>
      <w:pPr>
        <w:pStyle w:val="Heading2"/>
      </w:pPr>
      <w:r>
        <w:t xml:space="preserve">4.1 The SW Defect Mechanism</w:t>
      </w:r>
    </w:p>
    <w:p>
      <w:pPr>
        <w:spacing w:after="120"/>
      </w:pPr>
      <w:r>
        <w:t xml:space="preserve">A Stone-Wales defect is a 90° bond rotation in a hexagonal lattice. Four hexagons become a 5-7-7-5 pentagon-heptagon quartet. Atom count is conserved; only connectivity topology changes. This is a local topological reconfiguration — not a hole, not an impurity.</w:t>
      </w:r>
    </w:p>
    <w:p>
      <w:pPr>
        <w:spacing w:after="120"/>
      </w:pPr>
      <w:r>
        <w:t xml:space="preserve">SW defects come in bonded pairs: a pentagon is always paired with a compensating heptagon at short range. Therefore the buckled surface built from SW defects has curvature that is locally balanced — positive curvature is always accompanied by nearby negative curvature. The global geometry is corrugated and frustrated rather than monotonically curved.</w:t>
      </w:r>
    </w:p>
    <w:p>
      <w:pPr>
        <w:pStyle w:val="Heading2"/>
      </w:pPr>
      <w:r>
        <w:t xml:space="preserve">4.2 Defect Mobility and Dynamic Topology</w:t>
      </w:r>
    </w:p>
    <w:p>
      <w:pPr>
        <w:spacing w:after="120"/>
      </w:pPr>
      <w:r>
        <w:t xml:space="preserve">SW defects are not static. They can migrate through the lattice via successive bond rotations, with a formation energy of approximately 5 eV in graphene. Defect migration moves the 5-7-7-5 quartet one bond-length per step. Defects also annihilate when complementary pairs meet.</w:t>
      </w:r>
    </w:p>
    <w:p>
      <w:pPr>
        <w:spacing w:after="120"/>
      </w:pPr>
      <w:r>
        <w:t xml:space="preserve">This means the tiling built from SW defects is a surface whose topology is propagating. The 5s and 7s are moving through the lattice. The golden-angle screw path therefore traverses a substrate whose curvature structure is dynamically evolving — it is navigating a space that is rewriting its own local geometry as the path advances.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sz="0"/>
              <w:left w:val="none" w:sz="0"/>
              <w:bottom w:val="none" w:sz="0"/>
              <w:right w:val="none" w:sz="0"/>
            </w:tcBorders>
            <w:shd w:fill="E8F5E9" w:val="clear"/>
            <w:tcMar>
              <w:top w:type="dxa" w:w="60"/>
              <w:left w:type="dxa" w:w="100"/>
              <w:bottom w:type="dxa" w:w="60"/>
              <w:right w:type="dxa" w:w="100"/>
            </w:tcMar>
            <w:vAlign w:val="center"/>
          </w:tcPr>
          <w:p>
            <w:r>
              <w:rPr>
                <w:rFonts w:ascii="Arial" w:cs="Arial" w:eastAsia="Arial" w:hAnsi="Arial"/>
                <w:b/>
                <w:bCs/>
                <w:sz w:val="18"/>
                <w:szCs w:val="18"/>
              </w:rPr>
              <w:t xml:space="preserve">PROVED</w:t>
            </w:r>
          </w:p>
        </w:tc>
        <w:tc>
          <w:tcPr>
            <w:tcW w:type="dxa" w:w="7960"/>
            <w:tcBorders>
              <w:top w:val="none" w:sz="0"/>
              <w:left w:val="none" w:sz="0"/>
              <w:bottom w:val="none" w:sz="0"/>
              <w:right w:val="none" w:sz="0"/>
            </w:tcBorders>
            <w:shd w:fill="E8F5E9" w:val="clear"/>
            <w:tcMar>
              <w:top w:type="dxa" w:w="60"/>
              <w:left w:type="dxa" w:w="100"/>
              <w:bottom w:type="dxa" w:w="60"/>
              <w:right w:type="dxa" w:w="100"/>
            </w:tcMar>
          </w:tcPr>
          <w:p>
            <w:pPr>
              <w:spacing w:after="0"/>
            </w:pPr>
            <w:r>
              <w:rPr>
                <w:rFonts w:ascii="Arial" w:cs="Arial" w:eastAsia="Arial" w:hAnsi="Arial"/>
                <w:sz w:val="20"/>
                <w:szCs w:val="20"/>
              </w:rPr>
              <w:t xml:space="preserve">SW defect formation energies, migration mechanisms, and annihilation dynamics are well-established in computational materials science. Defect mobility in graphene is experimentally confirmed by TEM.</w:t>
            </w:r>
          </w:p>
        </w:tc>
      </w:tr>
    </w:tbl>
    <w:p>
      <w:pPr>
        <w:spacing w:after="80"/>
      </w:pPr>
    </w:p>
    <w:p>
      <w:r>
        <w:br w:type="page"/>
      </w:r>
    </w:p>
    <w:p>
      <w:pPr>
        <w:pStyle w:val="Heading1"/>
      </w:pPr>
      <w:r>
        <w:t xml:space="preserve">5. The Grinding Ratchet — 5/7 Prime Incompatibility</w:t>
      </w:r>
    </w:p>
    <w:p>
      <w:pPr>
        <w:pStyle w:val="Heading2"/>
      </w:pPr>
      <w:r>
        <w:t xml:space="preserve">5.1 Gear Analogy and the Significance of Primality</w:t>
      </w:r>
    </w:p>
    <w:p>
      <w:pPr>
        <w:spacing w:after="120"/>
      </w:pPr>
      <w:r>
        <w:t xml:space="preserve">A 5-tooth gear meshing against a 7-tooth gear does not have a clean rotational relationship. gcd(5,7) = 1 — they are coprime. To return to the same configuration requires LCM(5,7) = 35 steps. This maximal incompatibility means the gears grind through every combination before repeating.</w:t>
      </w:r>
    </w:p>
    <w:p>
      <w:pPr>
        <w:spacing w:after="120"/>
      </w:pPr>
      <w:r>
        <w:t xml:space="preserve">The angular mismatch at each 5/7 contact is measurable: pentagon interior angle = 108°; heptagon interior angle ≈ 128.57°; mismatch ≈ 20.57° per contact point. This angular mismatch does not disappear — it propagates as local bond strain, forced lattice rotation, and ultimately bond rotation events. The grinding is the physical process by which SW defects migrate.</w:t>
      </w:r>
    </w:p>
    <w:p>
      <w:pPr>
        <w:pStyle w:val="Heading2"/>
      </w:pPr>
      <w:r>
        <w:t xml:space="preserve">5.2 The Ratchet and Broken Time-Reversal</w:t>
      </w:r>
    </w:p>
    <w:p>
      <w:pPr>
        <w:spacing w:after="120"/>
      </w:pPr>
      <w:r>
        <w:t xml:space="preserve">The 5/7 angular mismatch on an asymmetric quasiperiodic substrate does not grind equally in both directions. The angular deficit creates a preferred slip direction — a ratchet. This asymmetry constitutes broken time-reversal symmetry: the system moves preferentially forward, not equally forward and backward.</w:t>
      </w:r>
    </w:p>
    <w:p>
      <w:pPr>
        <w:spacing w:after="120"/>
      </w:pPr>
      <w:r>
        <w:t xml:space="preserve">The substrate is not merely quasiperiodic in space; it is quasiperiodically timed in its ratchet rhythm. The ‘teeth’ of the gears are the vertices and edges of the Penrose-like tiling — aperiodically spaced, producing structured non-uniform grinding.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sz="0"/>
              <w:left w:val="none" w:sz="0"/>
              <w:bottom w:val="none" w:sz="0"/>
              <w:right w:val="none" w:sz="0"/>
            </w:tcBorders>
            <w:shd w:fill="FFF3E0" w:val="clear"/>
            <w:tcMar>
              <w:top w:type="dxa" w:w="60"/>
              <w:left w:type="dxa" w:w="100"/>
              <w:bottom w:type="dxa" w:w="60"/>
              <w:right w:type="dxa" w:w="100"/>
            </w:tcMar>
            <w:vAlign w:val="center"/>
          </w:tcPr>
          <w:p>
            <w:r>
              <w:rPr>
                <w:rFonts w:ascii="Arial" w:cs="Arial" w:eastAsia="Arial" w:hAnsi="Arial"/>
                <w:b/>
                <w:bCs/>
                <w:sz w:val="18"/>
                <w:szCs w:val="18"/>
              </w:rPr>
              <w:t xml:space="preserve">DEMONSTRATED</w:t>
            </w:r>
          </w:p>
        </w:tc>
        <w:tc>
          <w:tcPr>
            <w:tcW w:type="dxa" w:w="7960"/>
            <w:tcBorders>
              <w:top w:val="none" w:sz="0"/>
              <w:left w:val="none" w:sz="0"/>
              <w:bottom w:val="none" w:sz="0"/>
              <w:right w:val="none" w:sz="0"/>
            </w:tcBorders>
            <w:shd w:fill="FFF3E0" w:val="clear"/>
            <w:tcMar>
              <w:top w:type="dxa" w:w="60"/>
              <w:left w:type="dxa" w:w="100"/>
              <w:bottom w:type="dxa" w:w="60"/>
              <w:right w:type="dxa" w:w="100"/>
            </w:tcMar>
          </w:tcPr>
          <w:p>
            <w:pPr>
              <w:spacing w:after="0"/>
            </w:pPr>
            <w:r>
              <w:rPr>
                <w:rFonts w:ascii="Arial" w:cs="Arial" w:eastAsia="Arial" w:hAnsi="Arial"/>
                <w:sz w:val="20"/>
                <w:szCs w:val="20"/>
              </w:rPr>
              <w:t xml:space="preserve">Ratchet mechanisms arising from geometric asymmetry are well-studied in soft matter physics (Astumian, Hänggi). The ATP synthase molecular motor operates via a geometrically analogous 3/1 asymmetric ratchet. The 5/7 prime incompatibility ratchet in a quasiperiodic lattice specifically has not been formalized.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sz="0"/>
              <w:left w:val="none" w:sz="0"/>
              <w:bottom w:val="none" w:sz="0"/>
              <w:right w:val="none" w:sz="0"/>
            </w:tcBorders>
            <w:shd w:fill="FBE9E7" w:val="clear"/>
            <w:tcMar>
              <w:top w:type="dxa" w:w="60"/>
              <w:left w:type="dxa" w:w="100"/>
              <w:bottom w:type="dxa" w:w="60"/>
              <w:right w:type="dxa" w:w="100"/>
            </w:tcMar>
            <w:vAlign w:val="center"/>
          </w:tcPr>
          <w:p>
            <w:r>
              <w:rPr>
                <w:rFonts w:ascii="Arial" w:cs="Arial" w:eastAsia="Arial" w:hAnsi="Arial"/>
                <w:b/>
                <w:bCs/>
                <w:sz w:val="18"/>
                <w:szCs w:val="18"/>
              </w:rPr>
              <w:t xml:space="preserve">SPECULATIVE</w:t>
            </w:r>
          </w:p>
        </w:tc>
        <w:tc>
          <w:tcPr>
            <w:tcW w:type="dxa" w:w="7960"/>
            <w:tcBorders>
              <w:top w:val="none" w:sz="0"/>
              <w:left w:val="none" w:sz="0"/>
              <w:bottom w:val="none" w:sz="0"/>
              <w:right w:val="none" w:sz="0"/>
            </w:tcBorders>
            <w:shd w:fill="FBE9E7" w:val="clear"/>
            <w:tcMar>
              <w:top w:type="dxa" w:w="60"/>
              <w:left w:type="dxa" w:w="100"/>
              <w:bottom w:type="dxa" w:w="60"/>
              <w:right w:type="dxa" w:w="100"/>
            </w:tcMar>
          </w:tcPr>
          <w:p>
            <w:pPr>
              <w:spacing w:after="0"/>
            </w:pPr>
            <w:r>
              <w:rPr>
                <w:rFonts w:ascii="Arial" w:cs="Arial" w:eastAsia="Arial" w:hAnsi="Arial"/>
                <w:sz w:val="20"/>
                <w:szCs w:val="20"/>
              </w:rPr>
              <w:t xml:space="preserve">That the ratchet’s preferred directionality is stable over long timescales in the presence of thermal noise — this requires a calculation of the Peierls-Nabarro barrier for the specific lattice geometry.</w:t>
            </w:r>
          </w:p>
        </w:tc>
      </w:tr>
    </w:tbl>
    <w:p>
      <w:pPr>
        <w:spacing w:after="80"/>
      </w:pPr>
    </w:p>
    <w:p>
      <w:r>
        <w:br w:type="page"/>
      </w:r>
    </w:p>
    <w:p>
      <w:pPr>
        <w:pStyle w:val="Heading1"/>
      </w:pPr>
      <w:r>
        <w:t xml:space="preserve">6. Majorana Zero Mode Localization</w:t>
      </w:r>
    </w:p>
    <w:p>
      <w:pPr>
        <w:pStyle w:val="Heading2"/>
      </w:pPr>
      <w:r>
        <w:t xml:space="preserve">6.1 MZM Requirements and Their Satisfaction</w:t>
      </w:r>
    </w:p>
    <w:p>
      <w:pPr>
        <w:spacing w:after="120"/>
      </w:pPr>
      <w:r>
        <w:t xml:space="preserve">Majorana zero modes (MZMs) require: (1) a topological bulk phase, (2) a boundary between topological and trivial regions, (3) particle-hole symmetry, and (4) zero-energy pinning protected by topology. The 5/7 Stone-Wales defect boundary is a candidate to satisfy all four conditions geometrically:</w:t>
      </w:r>
    </w:p>
    <w:p>
      <w:pPr>
        <w:spacing w:after="120"/>
      </w:pPr>
      <w:r>
        <w:t xml:space="preserve">Each pentagon carries a curvature excess — a local source of topological charge. Each heptagon carries a curvature deficit — a local sink. The 5-7 interface is a domain wall between opposite curvature signs. MZMs in 1D topological superconductors (Kitaev chain) sit at exactly such domain walls.</w:t>
      </w:r>
    </w:p>
    <w:p>
      <w:pPr>
        <w:pStyle w:val="Heading2"/>
      </w:pPr>
      <w:r>
        <w:t xml:space="preserve">6.2 The Central Gap: Geometry ≠ Topology</w:t>
      </w:r>
    </w:p>
    <w:p>
      <w:pPr>
        <w:spacing w:after="120"/>
      </w:pPr>
      <w:r>
        <w:t xml:space="preserve">This is the singularity of the thesis. Geometric curvature sign change at a 5/7 boundary is </w:t>
      </w:r>
      <w:r>
        <w:rPr>
          <w:i/>
          <w:iCs/>
        </w:rPr>
        <w:t xml:space="preserve">not the same type</w:t>
      </w:r>
      <w:r>
        <w:t xml:space="preserve"> as a topological phase transition in a quantum Hamiltonian. Gaussian curvature is a property of the manifold; a topological phase transition is a property of a Hamiltonian’s eigenspace classified by K-theory or symmetry-protected invariants. The construction maps one onto the other without providing the morphism.</w:t>
      </w:r>
    </w:p>
    <w:p>
      <w:pPr>
        <w:spacing w:after="120"/>
      </w:pPr>
      <w:r>
        <w:t xml:space="preserve">The word “constitutes” in the claim “curvature sign change constitutes the required topological phase transition” is doing all the work and has no proof behind it. What is needed is a Hamiltonian. Specifically:</w:t>
      </w:r>
    </w:p>
    <w:p>
      <w:pPr>
        <w:spacing w:after="120"/>
      </w:pPr>
      <w:r>
        <w:t xml:space="preserve">The missing bridge is: </w:t>
      </w:r>
      <w:r>
        <w:rPr>
          <w:b/>
          <w:bCs/>
        </w:rPr>
        <w:t xml:space="preserve">geometry → Hamiltonian → topological invariant → MZM.</w:t>
      </w:r>
      <w:r>
        <w:t xml:space="preserve"> The first arrow (curvature determines the lattice) is established. The last arrow (winding number w=1 implies unpaired MZM) is established. The middle arrow — what specific tight-binding Hamiltonian does the buckled 5/7 lattice produce, and does its band topology yield w=1? — is the open computation.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sz="0"/>
              <w:left w:val="none" w:sz="0"/>
              <w:bottom w:val="none" w:sz="0"/>
              <w:right w:val="none" w:sz="0"/>
            </w:tcBorders>
            <w:shd w:fill="E8F5E9" w:val="clear"/>
            <w:tcMar>
              <w:top w:type="dxa" w:w="60"/>
              <w:left w:type="dxa" w:w="100"/>
              <w:bottom w:type="dxa" w:w="60"/>
              <w:right w:type="dxa" w:w="100"/>
            </w:tcMar>
            <w:vAlign w:val="center"/>
          </w:tcPr>
          <w:p>
            <w:r>
              <w:rPr>
                <w:rFonts w:ascii="Arial" w:cs="Arial" w:eastAsia="Arial" w:hAnsi="Arial"/>
                <w:b/>
                <w:bCs/>
                <w:sz w:val="18"/>
                <w:szCs w:val="18"/>
              </w:rPr>
              <w:t xml:space="preserve">PROVED</w:t>
            </w:r>
          </w:p>
        </w:tc>
        <w:tc>
          <w:tcPr>
            <w:tcW w:type="dxa" w:w="7960"/>
            <w:tcBorders>
              <w:top w:val="none" w:sz="0"/>
              <w:left w:val="none" w:sz="0"/>
              <w:bottom w:val="none" w:sz="0"/>
              <w:right w:val="none" w:sz="0"/>
            </w:tcBorders>
            <w:shd w:fill="E8F5E9" w:val="clear"/>
            <w:tcMar>
              <w:top w:type="dxa" w:w="60"/>
              <w:left w:type="dxa" w:w="100"/>
              <w:bottom w:type="dxa" w:w="60"/>
              <w:right w:type="dxa" w:w="100"/>
            </w:tcMar>
          </w:tcPr>
          <w:p>
            <w:pPr>
              <w:spacing w:after="0"/>
            </w:pPr>
            <w:r>
              <w:rPr>
                <w:rFonts w:ascii="Arial" w:cs="Arial" w:eastAsia="Arial" w:hAnsi="Arial"/>
                <w:sz w:val="20"/>
                <w:szCs w:val="20"/>
              </w:rPr>
              <w:t xml:space="preserve">Kitaev chain model, MZM localization at domain walls, and MZM requirements (particle-hole symmetry, zero-energy pinning) are established in topological condensed matter physics.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sz="0"/>
              <w:left w:val="none" w:sz="0"/>
              <w:bottom w:val="none" w:sz="0"/>
              <w:right w:val="none" w:sz="0"/>
            </w:tcBorders>
            <w:shd w:fill="F3E5F5" w:val="clear"/>
            <w:tcMar>
              <w:top w:type="dxa" w:w="60"/>
              <w:left w:type="dxa" w:w="100"/>
              <w:bottom w:type="dxa" w:w="60"/>
              <w:right w:type="dxa" w:w="100"/>
            </w:tcMar>
            <w:vAlign w:val="center"/>
          </w:tcPr>
          <w:p>
            <w:r>
              <w:rPr>
                <w:rFonts w:ascii="Arial" w:cs="Arial" w:eastAsia="Arial" w:hAnsi="Arial"/>
                <w:b/>
                <w:bCs/>
                <w:sz w:val="18"/>
                <w:szCs w:val="18"/>
              </w:rPr>
              <w:t xml:space="preserve">CONJECTURED</w:t>
            </w:r>
          </w:p>
        </w:tc>
        <w:tc>
          <w:tcPr>
            <w:tcW w:type="dxa" w:w="7960"/>
            <w:tcBorders>
              <w:top w:val="none" w:sz="0"/>
              <w:left w:val="none" w:sz="0"/>
              <w:bottom w:val="none" w:sz="0"/>
              <w:right w:val="none" w:sz="0"/>
            </w:tcBorders>
            <w:shd w:fill="F3E5F5" w:val="clear"/>
            <w:tcMar>
              <w:top w:type="dxa" w:w="60"/>
              <w:left w:type="dxa" w:w="100"/>
              <w:bottom w:type="dxa" w:w="60"/>
              <w:right w:type="dxa" w:w="100"/>
            </w:tcMar>
          </w:tcPr>
          <w:p>
            <w:pPr>
              <w:spacing w:after="0"/>
            </w:pPr>
            <w:r>
              <w:rPr>
                <w:rFonts w:ascii="Arial" w:cs="Arial" w:eastAsia="Arial" w:hAnsi="Arial"/>
                <w:sz w:val="20"/>
                <w:szCs w:val="20"/>
              </w:rPr>
              <w:t xml:space="preserve">That curvature sign change at 5/7 interfaces in a buckled quasiperiodic lattice constitutes the required topological phase transition. This requires computing the topological invariant (Chern number or Z₂ index) for the specific Hamiltonian of the buckled lattice. This is the central open problem of the thesis.</w:t>
            </w:r>
          </w:p>
        </w:tc>
      </w:tr>
    </w:tbl>
    <w:p>
      <w:pPr>
        <w:spacing w:after="80"/>
      </w:pPr>
    </w:p>
    <w:p>
      <w:pPr>
        <w:pStyle w:val="Heading2"/>
      </w:pPr>
      <w:r>
        <w:t xml:space="preserve">6.3 The Kitaev Chain on the Screw Path</w:t>
      </w:r>
    </w:p>
    <w:p>
      <w:pPr>
        <w:spacing w:after="120"/>
      </w:pPr>
      <w:r>
        <w:t xml:space="preserve">The golden angle screw selects a 1D path through the 2D lattice. The Kitaev chain Hamiltonian is defined on that path:</w:t>
      </w:r>
    </w:p>
    <w:p>
      <w:pPr>
        <w:spacing w:before="120" w:after="120"/>
        <w:jc w:val="center"/>
      </w:pPr>
      <w:r>
        <w:rPr>
          <w:b/>
          <w:bCs/>
        </w:rPr>
        <w:t xml:space="preserve">H = −μ Σ c†</w:t>
      </w:r>
      <w:r>
        <w:rPr>
          <w:b/>
          <w:bCs/>
        </w:rPr>
        <w:t xml:space="preserve">i</w:t>
      </w:r>
      <w:r>
        <w:rPr>
          <w:b/>
          <w:bCs/>
        </w:rPr>
        <w:t xml:space="preserve"> c</w:t>
      </w:r>
      <w:r>
        <w:rPr>
          <w:b/>
          <w:bCs/>
        </w:rPr>
        <w:t xml:space="preserve">i</w:t>
      </w:r>
      <w:r>
        <w:rPr>
          <w:b/>
          <w:bCs/>
        </w:rPr>
        <w:t xml:space="preserve"> − t Σ (c†</w:t>
      </w:r>
      <w:r>
        <w:rPr>
          <w:b/>
          <w:bCs/>
        </w:rPr>
        <w:t xml:space="preserve">i</w:t>
      </w:r>
      <w:r>
        <w:rPr>
          <w:b/>
          <w:bCs/>
        </w:rPr>
        <w:t xml:space="preserve"> c</w:t>
      </w:r>
      <w:r>
        <w:rPr>
          <w:b/>
          <w:bCs/>
        </w:rPr>
        <w:t xml:space="preserve">i+1</w:t>
      </w:r>
      <w:r>
        <w:rPr>
          <w:b/>
          <w:bCs/>
        </w:rPr>
        <w:t xml:space="preserve"> + h.c.) + Δ Σ (c</w:t>
      </w:r>
      <w:r>
        <w:rPr>
          <w:b/>
          <w:bCs/>
        </w:rPr>
        <w:t xml:space="preserve">i</w:t>
      </w:r>
      <w:r>
        <w:rPr>
          <w:b/>
          <w:bCs/>
        </w:rPr>
        <w:t xml:space="preserve"> c</w:t>
      </w:r>
      <w:r>
        <w:rPr>
          <w:b/>
          <w:bCs/>
        </w:rPr>
        <w:t xml:space="preserve">i+1</w:t>
      </w:r>
      <w:r>
        <w:rPr>
          <w:b/>
          <w:bCs/>
        </w:rPr>
        <w:t xml:space="preserve"> + h.c.)</w:t>
      </w:r>
    </w:p>
    <w:p>
      <w:pPr>
        <w:spacing w:after="120"/>
      </w:pPr>
      <w:r>
        <w:t xml:space="preserve">Three terms: chemical potential μ (energy cost per electron at a site), hopping t (tunneling between neighbors), and p-wave superconducting pairing Δ (Cooper pair formation). The topological phase — the one hosting MZMs at the chain ends — occurs when |μ| &lt; 2t.</w:t>
      </w:r>
    </w:p>
    <w:p>
      <w:pPr>
        <w:spacing w:after="120"/>
      </w:pPr>
      <w:r>
        <w:t xml:space="preserve">As the screw passes through pentagonal regions, bond lengths compress (positive curvature), increasing hopping strength t. Through heptagonal regions, bonds stretch (negative curvature), decreasing t. The hopping parameter varies site-by-site, modulated by the curvature the screw traverses.</w:t>
      </w:r>
    </w:p>
    <w:p>
      <w:pPr>
        <w:spacing w:after="120"/>
      </w:pPr>
      <w:r>
        <w:rPr>
          <w:b/>
          <w:bCs/>
        </w:rPr>
        <w:t xml:space="preserve">The falsifiable claim:</w:t>
      </w:r>
      <w:r>
        <w:t xml:space="preserve"> do the geometry-modulated hopping parameters along the screw path satisfy |μ| &lt; 2t(x) at every site x? If so, the entire chain is in the topological phase, the winding number is 1, and MZMs exist at the chain ends. If t drops below μ/2 at some sites, additional domain walls appear — additional MZMs — which may be useful or destructive depending on spacing.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sz="0"/>
              <w:left w:val="none" w:sz="0"/>
              <w:bottom w:val="none" w:sz="0"/>
              <w:right w:val="none" w:sz="0"/>
            </w:tcBorders>
            <w:shd w:fill="F3E5F5" w:val="clear"/>
            <w:tcMar>
              <w:top w:type="dxa" w:w="60"/>
              <w:left w:type="dxa" w:w="100"/>
              <w:bottom w:type="dxa" w:w="60"/>
              <w:right w:type="dxa" w:w="100"/>
            </w:tcMar>
            <w:vAlign w:val="center"/>
          </w:tcPr>
          <w:p>
            <w:r>
              <w:rPr>
                <w:rFonts w:ascii="Arial" w:cs="Arial" w:eastAsia="Arial" w:hAnsi="Arial"/>
                <w:b/>
                <w:bCs/>
                <w:sz w:val="18"/>
                <w:szCs w:val="18"/>
              </w:rPr>
              <w:t xml:space="preserve">CONJECTURED</w:t>
            </w:r>
          </w:p>
        </w:tc>
        <w:tc>
          <w:tcPr>
            <w:tcW w:type="dxa" w:w="7960"/>
            <w:tcBorders>
              <w:top w:val="none" w:sz="0"/>
              <w:left w:val="none" w:sz="0"/>
              <w:bottom w:val="none" w:sz="0"/>
              <w:right w:val="none" w:sz="0"/>
            </w:tcBorders>
            <w:shd w:fill="F3E5F5" w:val="clear"/>
            <w:tcMar>
              <w:top w:type="dxa" w:w="60"/>
              <w:left w:type="dxa" w:w="100"/>
              <w:bottom w:type="dxa" w:w="60"/>
              <w:right w:type="dxa" w:w="100"/>
            </w:tcMar>
          </w:tcPr>
          <w:p>
            <w:pPr>
              <w:spacing w:after="0"/>
            </w:pPr>
            <w:r>
              <w:rPr>
                <w:rFonts w:ascii="Arial" w:cs="Arial" w:eastAsia="Arial" w:hAnsi="Arial"/>
                <w:sz w:val="20"/>
                <w:szCs w:val="20"/>
              </w:rPr>
              <w:t xml:space="preserve">That the golden angle screw selects a stable 1D MZM chain with chiral protection. Stability against SW defect migration is a central open question.</w:t>
            </w:r>
          </w:p>
        </w:tc>
      </w:tr>
    </w:tbl>
    <w:p>
      <w:pPr>
        <w:spacing w:after="80"/>
      </w:pPr>
    </w:p>
    <w:p>
      <w:pPr>
        <w:pStyle w:val="Heading2"/>
      </w:pPr>
      <w:r>
        <w:t xml:space="preserve">6.4 Chirality from the Ratchet</w:t>
      </w:r>
    </w:p>
    <w:p>
      <w:pPr>
        <w:spacing w:after="120"/>
      </w:pPr>
      <w:r>
        <w:t xml:space="preserve">The 5/7 grinding ratchet provides broken time-reversal symmetry — the precise condition needed for chiral Majorana modes. The MZMs selected by the golden angle screw path, in a substrate with ratchet-induced broken time-reversal, are naturally chiral: they propagate in one direction only along the screw path.</w:t>
      </w:r>
    </w:p>
    <w:p>
      <w:pPr>
        <w:pStyle w:val="Heading2"/>
      </w:pPr>
      <w:r>
        <w:t xml:space="preserve">6.5 The Creation/Annihilation Tension</w:t>
      </w:r>
    </w:p>
    <w:p>
      <w:pPr>
        <w:spacing w:after="120"/>
      </w:pPr>
      <w:r>
        <w:t xml:space="preserve">The ratchet is simultaneously the mechanism that creates chiral MZMs (via broken time-reversal) and the mechanism that threatens to destroy them (via SW defect migration moving domain walls together, causing MZM annihilation). This tension — creation and annihilation by the same mechanism — is the central engineering problem of topological quantum computing. The construction reproduces it geometrically from first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b/>
                <w:bCs/>
                <w:color w:val="FFFFFF"/>
                <w:sz w:val="20"/>
                <w:szCs w:val="20"/>
              </w:rPr>
              <w:t xml:space="preserve">This Construction</w:t>
            </w:r>
          </w:p>
        </w:tc>
        <w:tc>
          <w:tcPr>
            <w:tcW w:type="dxa" w:w="468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b/>
                <w:bCs/>
                <w:color w:val="FFFFFF"/>
                <w:sz w:val="20"/>
                <w:szCs w:val="20"/>
              </w:rPr>
              <w:t xml:space="preserve">Established Physics / Mathematics</w:t>
            </w:r>
          </w:p>
        </w:tc>
      </w:tr>
      <w:tr>
        <w:tc>
          <w:tcPr>
            <w:tcW w:type="dxa" w:w="468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b/>
                <w:bCs/>
                <w:sz w:val="20"/>
                <w:szCs w:val="20"/>
              </w:rPr>
              <w:t xml:space="preserve">5/7 SW defect boundary</w:t>
            </w:r>
          </w:p>
        </w:tc>
        <w:tc>
          <w:tcPr>
            <w:tcW w:type="dxa" w:w="468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sz w:val="20"/>
                <w:szCs w:val="20"/>
              </w:rPr>
              <w:t xml:space="preserve">Topological domain wall</w:t>
            </w:r>
          </w:p>
        </w:tc>
      </w:tr>
      <w:tr>
        <w:tc>
          <w:tcPr>
            <w:tcW w:type="dxa" w:w="46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b/>
                <w:bCs/>
                <w:sz w:val="20"/>
                <w:szCs w:val="20"/>
              </w:rPr>
              <w:t xml:space="preserve">Curvature sign change at interface</w:t>
            </w:r>
          </w:p>
        </w:tc>
        <w:tc>
          <w:tcPr>
            <w:tcW w:type="dxa" w:w="46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sz w:val="20"/>
                <w:szCs w:val="20"/>
              </w:rPr>
              <w:t xml:space="preserve">Topological phase transition (CONJECTURED)</w:t>
            </w:r>
          </w:p>
        </w:tc>
      </w:tr>
      <w:tr>
        <w:tc>
          <w:tcPr>
            <w:tcW w:type="dxa" w:w="468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b/>
                <w:bCs/>
                <w:sz w:val="20"/>
                <w:szCs w:val="20"/>
              </w:rPr>
              <w:t xml:space="preserve">Interface vertex</w:t>
            </w:r>
          </w:p>
        </w:tc>
        <w:tc>
          <w:tcPr>
            <w:tcW w:type="dxa" w:w="468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sz w:val="20"/>
                <w:szCs w:val="20"/>
              </w:rPr>
              <w:t xml:space="preserve">MZM localization site</w:t>
            </w:r>
          </w:p>
        </w:tc>
      </w:tr>
      <w:tr>
        <w:tc>
          <w:tcPr>
            <w:tcW w:type="dxa" w:w="46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b/>
                <w:bCs/>
                <w:sz w:val="20"/>
                <w:szCs w:val="20"/>
              </w:rPr>
              <w:t xml:space="preserve">Golden angle screw path</w:t>
            </w:r>
          </w:p>
        </w:tc>
        <w:tc>
          <w:tcPr>
            <w:tcW w:type="dxa" w:w="46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sz w:val="20"/>
                <w:szCs w:val="20"/>
              </w:rPr>
              <w:t xml:space="preserve">Kitaev chain selection (1D channel)</w:t>
            </w:r>
          </w:p>
        </w:tc>
      </w:tr>
      <w:tr>
        <w:tc>
          <w:tcPr>
            <w:tcW w:type="dxa" w:w="468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b/>
                <w:bCs/>
                <w:sz w:val="20"/>
                <w:szCs w:val="20"/>
              </w:rPr>
              <w:t xml:space="preserve">Ratchet directionality</w:t>
            </w:r>
          </w:p>
        </w:tc>
        <w:tc>
          <w:tcPr>
            <w:tcW w:type="dxa" w:w="468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sz w:val="20"/>
                <w:szCs w:val="20"/>
              </w:rPr>
              <w:t xml:space="preserve">Chiral symmetry breaking</w:t>
            </w:r>
          </w:p>
        </w:tc>
      </w:tr>
      <w:tr>
        <w:tc>
          <w:tcPr>
            <w:tcW w:type="dxa" w:w="46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b/>
                <w:bCs/>
                <w:sz w:val="20"/>
                <w:szCs w:val="20"/>
              </w:rPr>
              <w:t xml:space="preserve">Grinding friction</w:t>
            </w:r>
          </w:p>
        </w:tc>
        <w:tc>
          <w:tcPr>
            <w:tcW w:type="dxa" w:w="46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sz w:val="20"/>
                <w:szCs w:val="20"/>
              </w:rPr>
              <w:t xml:space="preserve">Decoherence / thermal noise source</w:t>
            </w:r>
          </w:p>
        </w:tc>
      </w:tr>
      <w:tr>
        <w:tc>
          <w:tcPr>
            <w:tcW w:type="dxa" w:w="468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b/>
                <w:bCs/>
                <w:sz w:val="20"/>
                <w:szCs w:val="20"/>
              </w:rPr>
              <w:t xml:space="preserve">SW defect migration</w:t>
            </w:r>
          </w:p>
        </w:tc>
        <w:tc>
          <w:tcPr>
            <w:tcW w:type="dxa" w:w="468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sz w:val="20"/>
                <w:szCs w:val="20"/>
              </w:rPr>
              <w:t xml:space="preserve">Domain wall motion → MZM threat</w:t>
            </w:r>
          </w:p>
        </w:tc>
      </w:tr>
      <w:tr>
        <w:tc>
          <w:tcPr>
            <w:tcW w:type="dxa" w:w="46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b/>
                <w:bCs/>
                <w:sz w:val="20"/>
                <w:szCs w:val="20"/>
              </w:rPr>
              <w:t xml:space="preserve">Hopping parameter t(x)</w:t>
            </w:r>
          </w:p>
        </w:tc>
        <w:tc>
          <w:tcPr>
            <w:tcW w:type="dxa" w:w="46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sz w:val="20"/>
                <w:szCs w:val="20"/>
              </w:rPr>
              <w:t xml:space="preserve">Bridge: geometry → Hamiltonian (THE GAP)</w:t>
            </w:r>
          </w:p>
        </w:tc>
      </w:tr>
    </w:tbl>
    <w:p>
      <w:pPr>
        <w:spacing w:after="80"/>
      </w:pPr>
    </w:p>
    <w:p>
      <w:r>
        <w:br w:type="page"/>
      </w:r>
    </w:p>
    <w:p>
      <w:pPr>
        <w:pStyle w:val="Heading1"/>
      </w:pPr>
      <w:r>
        <w:t xml:space="preserve">7. The Algebraic Ladder and the Tenfold Way</w:t>
      </w:r>
    </w:p>
    <w:p>
      <w:pPr>
        <w:pStyle w:val="Heading2"/>
      </w:pPr>
      <w:r>
        <w:t xml:space="preserve">7.1 The Division Algebra Ladder</w:t>
      </w:r>
    </w:p>
    <w:p>
      <w:pPr>
        <w:spacing w:after="120"/>
      </w:pPr>
      <w:r>
        <w:t xml:space="preserve">The normed division algebras form a descending ladder of algebraic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b/>
                <w:bCs/>
                <w:color w:val="FFFFFF"/>
                <w:sz w:val="20"/>
                <w:szCs w:val="20"/>
              </w:rPr>
              <w:t xml:space="preserve">This Construction</w:t>
            </w:r>
          </w:p>
        </w:tc>
        <w:tc>
          <w:tcPr>
            <w:tcW w:type="dxa" w:w="468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b/>
                <w:bCs/>
                <w:color w:val="FFFFFF"/>
                <w:sz w:val="20"/>
                <w:szCs w:val="20"/>
              </w:rPr>
              <w:t xml:space="preserve">Established Physics / Mathematics</w:t>
            </w:r>
          </w:p>
        </w:tc>
      </w:tr>
      <w:tr>
        <w:tc>
          <w:tcPr>
            <w:tcW w:type="dxa" w:w="468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b/>
                <w:bCs/>
                <w:sz w:val="20"/>
                <w:szCs w:val="20"/>
              </w:rPr>
              <w:t xml:space="preserve">Real ℝ</w:t>
            </w:r>
          </w:p>
        </w:tc>
        <w:tc>
          <w:tcPr>
            <w:tcW w:type="dxa" w:w="468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sz w:val="20"/>
                <w:szCs w:val="20"/>
              </w:rPr>
              <w:t xml:space="preserve">Ordered, commutative, associative — full structure</w:t>
            </w:r>
          </w:p>
        </w:tc>
      </w:tr>
      <w:tr>
        <w:tc>
          <w:tcPr>
            <w:tcW w:type="dxa" w:w="46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b/>
                <w:bCs/>
                <w:sz w:val="20"/>
                <w:szCs w:val="20"/>
              </w:rPr>
              <w:t xml:space="preserve">ℝ → Complex ℂ</w:t>
            </w:r>
          </w:p>
        </w:tc>
        <w:tc>
          <w:tcPr>
            <w:tcW w:type="dxa" w:w="46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sz w:val="20"/>
                <w:szCs w:val="20"/>
              </w:rPr>
              <w:t xml:space="preserve">Lose ordering — cannot compare which number is larger</w:t>
            </w:r>
          </w:p>
        </w:tc>
      </w:tr>
      <w:tr>
        <w:tc>
          <w:tcPr>
            <w:tcW w:type="dxa" w:w="468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b/>
                <w:bCs/>
                <w:sz w:val="20"/>
                <w:szCs w:val="20"/>
              </w:rPr>
              <w:t xml:space="preserve">ℂ → Quaternion ℍ</w:t>
            </w:r>
          </w:p>
        </w:tc>
        <w:tc>
          <w:tcPr>
            <w:tcW w:type="dxa" w:w="468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sz w:val="20"/>
                <w:szCs w:val="20"/>
              </w:rPr>
              <w:t xml:space="preserve">Lose commutativity — multiplication order matters</w:t>
            </w:r>
          </w:p>
        </w:tc>
      </w:tr>
      <w:tr>
        <w:tc>
          <w:tcPr>
            <w:tcW w:type="dxa" w:w="46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b/>
                <w:bCs/>
                <w:sz w:val="20"/>
                <w:szCs w:val="20"/>
              </w:rPr>
              <w:t xml:space="preserve">ℍ → Octonion 𝕆</w:t>
            </w:r>
          </w:p>
        </w:tc>
        <w:tc>
          <w:tcPr>
            <w:tcW w:type="dxa" w:w="46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sz w:val="20"/>
                <w:szCs w:val="20"/>
              </w:rPr>
              <w:t xml:space="preserve">Lose associativity — grouping of multiplication matters</w:t>
            </w:r>
          </w:p>
        </w:tc>
      </w:tr>
    </w:tbl>
    <w:p>
      <w:pPr>
        <w:spacing w:after="80"/>
      </w:pPr>
    </w:p>
    <w:p>
      <w:pPr>
        <w:spacing w:after="120"/>
      </w:pPr>
      <w:r>
        <w:t xml:space="preserve">Each loss is irreversible. Each loss creates something at the boundary — the object that lives at the interface between “has the property” and “doesn’t” is the mathematically interesting structure. By the Hurwitz theorem, these four are the only normed division algebras over ℝ.</w:t>
      </w:r>
    </w:p>
    <w:p>
      <w:pPr>
        <w:pStyle w:val="Heading2"/>
      </w:pPr>
      <w:r>
        <w:t xml:space="preserve">7.2 Clifford Algebras and Bott Periodicity</w:t>
      </w:r>
    </w:p>
    <w:p>
      <w:pPr>
        <w:spacing w:after="120"/>
      </w:pPr>
      <w:r>
        <w:t xml:space="preserve">The Clifford algebras Cl(n,0) repeat their structure with period 8: Cl(n+8,0) ≅ Cl(n,0) ⊗ M₁₆(ℝ). This period-8 repetition is Bott periodicity. It is simultaneously a theorem in topology (homotopy groups of classical groups repeat with period 8) and a theorem in algebra (Clifford algebras over ℝ cycle with period 8).</w:t>
      </w:r>
    </w:p>
    <w:p>
      <w:pPr>
        <w:spacing w:after="120"/>
      </w:pPr>
      <w:r>
        <w:t xml:space="preserve">The Geometry of State repository formalizes Cl(2,0) and Cl(3,0) in Lean 4 — the first two non-trivial rungs of this ladder.</w:t>
      </w:r>
    </w:p>
    <w:p>
      <w:pPr>
        <w:pStyle w:val="Heading2"/>
      </w:pPr>
      <w:r>
        <w:t xml:space="preserve">7.3 The Tenfold Way (Altland-Zirnbauer Classification)</w:t>
      </w:r>
    </w:p>
    <w:p>
      <w:pPr>
        <w:spacing w:after="120"/>
      </w:pPr>
      <w:r>
        <w:t xml:space="preserve">The ten symmetry classes of free-fermion Hamiltonians are classified by which combination of time-reversal (T), particle-hole (C), and chiral (S) symmetry the system possesses. The topological invariant available in each spatial dimension (trivial, ℤ, or ℤ/2) follows a periodic table indexed by Clifford algebra periodicity.</w:t>
      </w:r>
    </w:p>
    <w:p>
      <w:pPr>
        <w:spacing w:after="120"/>
      </w:pPr>
      <w:r>
        <w:rPr>
          <w:b/>
          <w:bCs/>
        </w:rPr>
        <w:t xml:space="preserve">The Kitaev chain is symmetry class D:</w:t>
      </w:r>
      <w:r>
        <w:t xml:space="preserve"> particle-hole symmetry (C² = +1), no time-reversal, no chiral symmetry. In spatial dimension d=1, class D has a ℤ/2 invariant — fermion parity. Winding number mod 2. This is the invariant that determines whether an unpaired Majorana zero mode exists.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sz="0"/>
              <w:left w:val="none" w:sz="0"/>
              <w:bottom w:val="none" w:sz="0"/>
              <w:right w:val="none" w:sz="0"/>
            </w:tcBorders>
            <w:shd w:fill="E8F5E9" w:val="clear"/>
            <w:tcMar>
              <w:top w:type="dxa" w:w="60"/>
              <w:left w:type="dxa" w:w="100"/>
              <w:bottom w:type="dxa" w:w="60"/>
              <w:right w:type="dxa" w:w="100"/>
            </w:tcMar>
            <w:vAlign w:val="center"/>
          </w:tcPr>
          <w:p>
            <w:r>
              <w:rPr>
                <w:rFonts w:ascii="Arial" w:cs="Arial" w:eastAsia="Arial" w:hAnsi="Arial"/>
                <w:b/>
                <w:bCs/>
                <w:sz w:val="18"/>
                <w:szCs w:val="18"/>
              </w:rPr>
              <w:t xml:space="preserve">PROVED</w:t>
            </w:r>
          </w:p>
        </w:tc>
        <w:tc>
          <w:tcPr>
            <w:tcW w:type="dxa" w:w="7960"/>
            <w:tcBorders>
              <w:top w:val="none" w:sz="0"/>
              <w:left w:val="none" w:sz="0"/>
              <w:bottom w:val="none" w:sz="0"/>
              <w:right w:val="none" w:sz="0"/>
            </w:tcBorders>
            <w:shd w:fill="E8F5E9" w:val="clear"/>
            <w:tcMar>
              <w:top w:type="dxa" w:w="60"/>
              <w:left w:type="dxa" w:w="100"/>
              <w:bottom w:type="dxa" w:w="60"/>
              <w:right w:type="dxa" w:w="100"/>
            </w:tcMar>
          </w:tcPr>
          <w:p>
            <w:pPr>
              <w:spacing w:after="0"/>
            </w:pPr>
            <w:r>
              <w:rPr>
                <w:rFonts w:ascii="Arial" w:cs="Arial" w:eastAsia="Arial" w:hAnsi="Arial"/>
                <w:sz w:val="20"/>
                <w:szCs w:val="20"/>
              </w:rPr>
              <w:t xml:space="preserve">The Altland-Zirnbauer classification, its relationship to Clifford algebra periodicity, and the ℤ/2 classification of class D in d=1 are established in mathematical physics. Formalized in RunGDescend.lean with rfl proofs.</w:t>
            </w:r>
          </w:p>
        </w:tc>
      </w:tr>
    </w:tbl>
    <w:p>
      <w:pPr>
        <w:spacing w:after="80"/>
      </w:pPr>
    </w:p>
    <w:p>
      <w:pPr>
        <w:pStyle w:val="Heading2"/>
      </w:pPr>
      <w:r>
        <w:t xml:space="preserve">7.4 Rung Descent as Phase Transition</w:t>
      </w:r>
    </w:p>
    <w:p>
      <w:pPr>
        <w:spacing w:after="120"/>
      </w:pPr>
      <w:r>
        <w:t xml:space="preserve">Moving along the Bott clock from one AZ class to the next can change the topological invariant type. For example, the transition BDI → D in d=1 changes the invariant from ℤ (integer winding number) to ℤ/2 (fermion parity). This is a rung descent: the system loses a symmetry and the classification changes.</w:t>
      </w:r>
    </w:p>
    <w:p>
      <w:pPr>
        <w:spacing w:after="120"/>
      </w:pPr>
      <w:r>
        <w:rPr>
          <w:b/>
          <w:bCs/>
        </w:rPr>
        <w:t xml:space="preserve">The conjecture:</w:t>
      </w:r>
      <w:r>
        <w:t xml:space="preserve"> the 5/7 curvature boundary, with appropriate superconducting pairing, constitutes a transition from a trivial phase (class AI, no topological invariant in d=1) to a topological phase (class D, ℤ/2 invariant). The MZM lives at this rung transition. It IS the boundary between algebraic rungs.</w:t>
      </w:r>
    </w:p>
    <w:p>
      <w:pPr>
        <w:spacing w:after="120"/>
      </w:pPr>
      <w:r>
        <w:t xml:space="preserve">The Cl(2,0) formalization in the GoS repository is not merely a demonstration project — it is the first rung of the algebraic structure that classifies the MZMs. The Clifford algebra is the bridge type between geometry and topology that the thesis requires.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sz="0"/>
              <w:left w:val="none" w:sz="0"/>
              <w:bottom w:val="none" w:sz="0"/>
              <w:right w:val="none" w:sz="0"/>
            </w:tcBorders>
            <w:shd w:fill="F3E5F5" w:val="clear"/>
            <w:tcMar>
              <w:top w:type="dxa" w:w="60"/>
              <w:left w:type="dxa" w:w="100"/>
              <w:bottom w:type="dxa" w:w="60"/>
              <w:right w:type="dxa" w:w="100"/>
            </w:tcMar>
            <w:vAlign w:val="center"/>
          </w:tcPr>
          <w:p>
            <w:r>
              <w:rPr>
                <w:rFonts w:ascii="Arial" w:cs="Arial" w:eastAsia="Arial" w:hAnsi="Arial"/>
                <w:b/>
                <w:bCs/>
                <w:sz w:val="18"/>
                <w:szCs w:val="18"/>
              </w:rPr>
              <w:t xml:space="preserve">CONJECTURED</w:t>
            </w:r>
          </w:p>
        </w:tc>
        <w:tc>
          <w:tcPr>
            <w:tcW w:type="dxa" w:w="7960"/>
            <w:tcBorders>
              <w:top w:val="none" w:sz="0"/>
              <w:left w:val="none" w:sz="0"/>
              <w:bottom w:val="none" w:sz="0"/>
              <w:right w:val="none" w:sz="0"/>
            </w:tcBorders>
            <w:shd w:fill="F3E5F5" w:val="clear"/>
            <w:tcMar>
              <w:top w:type="dxa" w:w="60"/>
              <w:left w:type="dxa" w:w="100"/>
              <w:bottom w:type="dxa" w:w="60"/>
              <w:right w:type="dxa" w:w="100"/>
            </w:tcMar>
          </w:tcPr>
          <w:p>
            <w:pPr>
              <w:spacing w:after="0"/>
            </w:pPr>
            <w:r>
              <w:rPr>
                <w:rFonts w:ascii="Arial" w:cs="Arial" w:eastAsia="Arial" w:hAnsi="Arial"/>
                <w:sz w:val="20"/>
                <w:szCs w:val="20"/>
              </w:rPr>
              <w:t xml:space="preserve">That the 5/7 curvature boundary constitutes an AI → D class transition. The conditional theorem if_conjecture_then_MZM in RunGDescend.lean proves that IF this mapping holds, THEN the wall is topological. The antecedent requires the Hamiltonian computation.</w:t>
            </w:r>
          </w:p>
        </w:tc>
      </w:tr>
    </w:tbl>
    <w:p>
      <w:pPr>
        <w:spacing w:after="80"/>
      </w:pPr>
    </w:p>
    <w:p>
      <w:r>
        <w:br w:type="page"/>
      </w:r>
    </w:p>
    <w:p>
      <w:pPr>
        <w:pStyle w:val="Heading1"/>
      </w:pPr>
      <w:r>
        <w:t xml:space="preserve">8. The Winding Number via Cl-HoTT</w:t>
      </w:r>
    </w:p>
    <w:p>
      <w:pPr>
        <w:pStyle w:val="Heading2"/>
      </w:pPr>
      <w:r>
        <w:t xml:space="preserve">8.1 The HoTT Foundation</w:t>
      </w:r>
    </w:p>
    <w:p>
      <w:pPr>
        <w:spacing w:after="120"/>
      </w:pPr>
      <w:r>
        <w:t xml:space="preserve">In Homotopy Type Theory, S¹ is defined as a Higher Inductive Type with one point constructor (base) and one path constructor (loop). The fundamental theorem, proved using the Univalence Axiom, is:</w:t>
      </w:r>
    </w:p>
    <w:p>
      <w:pPr>
        <w:spacing w:before="120" w:after="120"/>
        <w:jc w:val="center"/>
      </w:pPr>
      <w:r>
        <w:rPr>
          <w:b/>
          <w:bCs/>
        </w:rPr>
        <w:t xml:space="preserve">π₁(S¹) ≅ ℤ</w:t>
      </w:r>
    </w:p>
    <w:p>
      <w:pPr>
        <w:spacing w:after="120"/>
      </w:pPr>
      <w:r>
        <w:t xml:space="preserve">Univalence is essential: without it, the fiber of the universal cover cannot be identified with ℤ, because the equivalence succ : ℤ ≃ ℤ cannot be promoted to a genuine identity. The winding number is the path length in the Cayley graph of 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sz="0"/>
              <w:left w:val="none" w:sz="0"/>
              <w:bottom w:val="none" w:sz="0"/>
              <w:right w:val="none" w:sz="0"/>
            </w:tcBorders>
            <w:shd w:fill="E8F5E9" w:val="clear"/>
            <w:tcMar>
              <w:top w:type="dxa" w:w="60"/>
              <w:left w:type="dxa" w:w="100"/>
              <w:bottom w:type="dxa" w:w="60"/>
              <w:right w:type="dxa" w:w="100"/>
            </w:tcMar>
            <w:vAlign w:val="center"/>
          </w:tcPr>
          <w:p>
            <w:r>
              <w:rPr>
                <w:rFonts w:ascii="Arial" w:cs="Arial" w:eastAsia="Arial" w:hAnsi="Arial"/>
                <w:b/>
                <w:bCs/>
                <w:sz w:val="18"/>
                <w:szCs w:val="18"/>
              </w:rPr>
              <w:t xml:space="preserve">PROVED</w:t>
            </w:r>
          </w:p>
        </w:tc>
        <w:tc>
          <w:tcPr>
            <w:tcW w:type="dxa" w:w="7960"/>
            <w:tcBorders>
              <w:top w:val="none" w:sz="0"/>
              <w:left w:val="none" w:sz="0"/>
              <w:bottom w:val="none" w:sz="0"/>
              <w:right w:val="none" w:sz="0"/>
            </w:tcBorders>
            <w:shd w:fill="E8F5E9" w:val="clear"/>
            <w:tcMar>
              <w:top w:type="dxa" w:w="60"/>
              <w:left w:type="dxa" w:w="100"/>
              <w:bottom w:type="dxa" w:w="60"/>
              <w:right w:type="dxa" w:w="100"/>
            </w:tcMar>
          </w:tcPr>
          <w:p>
            <w:pPr>
              <w:spacing w:after="0"/>
            </w:pPr>
            <w:r>
              <w:rPr>
                <w:rFonts w:ascii="Arial" w:cs="Arial" w:eastAsia="Arial" w:hAnsi="Arial"/>
                <w:sz w:val="20"/>
                <w:szCs w:val="20"/>
              </w:rPr>
              <w:t xml:space="preserve">π₁(S¹) ≅ ℤ via HoTT using Univalence: proved in the HoTT Book (2013) and formalized in multiple proof assistants including Agda and Lean 4.</w:t>
            </w:r>
          </w:p>
        </w:tc>
      </w:tr>
    </w:tbl>
    <w:p>
      <w:pPr>
        <w:spacing w:after="80"/>
      </w:pPr>
    </w:p>
    <w:p>
      <w:pPr>
        <w:pStyle w:val="Heading2"/>
      </w:pPr>
      <w:r>
        <w:t xml:space="preserve">8.2 The Clifford Correction — ½ℤ</w:t>
      </w:r>
    </w:p>
    <w:p>
      <w:pPr>
        <w:spacing w:after="120"/>
      </w:pPr>
      <w:r>
        <w:t xml:space="preserve">In Cl(2,0), rotations are represented by unit spinors. A full 360° rotation in SO(2) corresponds to a sign flip in the spinor representation — not the identity. The spinor returns to identity only after 720° (two full rotations). The spinor space is the double cover of the rotation group.</w:t>
      </w:r>
    </w:p>
    <w:p>
      <w:pPr>
        <w:spacing w:after="120"/>
      </w:pPr>
      <w:r>
        <w:t xml:space="preserve">Therefore the winding number lives not in ℤ but in ½ℤ. Half-integer windings are genuine paths in the Clifford cover. MZMs, being Majorana (their own antiparticle), sit at the fixed point of the ℤ/2 grading — the fermion parity. Even winding = trivial parity, MZMs paired. Odd winding = non-trivial parity, unpaired MZM present.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sz="0"/>
              <w:left w:val="none" w:sz="0"/>
              <w:bottom w:val="none" w:sz="0"/>
              <w:right w:val="none" w:sz="0"/>
            </w:tcBorders>
            <w:shd w:fill="E8F5E9" w:val="clear"/>
            <w:tcMar>
              <w:top w:type="dxa" w:w="60"/>
              <w:left w:type="dxa" w:w="100"/>
              <w:bottom w:type="dxa" w:w="60"/>
              <w:right w:type="dxa" w:w="100"/>
            </w:tcMar>
            <w:vAlign w:val="center"/>
          </w:tcPr>
          <w:p>
            <w:r>
              <w:rPr>
                <w:rFonts w:ascii="Arial" w:cs="Arial" w:eastAsia="Arial" w:hAnsi="Arial"/>
                <w:b/>
                <w:bCs/>
                <w:sz w:val="18"/>
                <w:szCs w:val="18"/>
              </w:rPr>
              <w:t xml:space="preserve">PROVED</w:t>
            </w:r>
          </w:p>
        </w:tc>
        <w:tc>
          <w:tcPr>
            <w:tcW w:type="dxa" w:w="7960"/>
            <w:tcBorders>
              <w:top w:val="none" w:sz="0"/>
              <w:left w:val="none" w:sz="0"/>
              <w:bottom w:val="none" w:sz="0"/>
              <w:right w:val="none" w:sz="0"/>
            </w:tcBorders>
            <w:shd w:fill="E8F5E9" w:val="clear"/>
            <w:tcMar>
              <w:top w:type="dxa" w:w="60"/>
              <w:left w:type="dxa" w:w="100"/>
              <w:bottom w:type="dxa" w:w="60"/>
              <w:right w:type="dxa" w:w="100"/>
            </w:tcMar>
          </w:tcPr>
          <w:p>
            <w:pPr>
              <w:spacing w:after="0"/>
            </w:pPr>
            <w:r>
              <w:rPr>
                <w:rFonts w:ascii="Arial" w:cs="Arial" w:eastAsia="Arial" w:hAnsi="Arial"/>
                <w:sz w:val="20"/>
                <w:szCs w:val="20"/>
              </w:rPr>
              <w:t xml:space="preserve">Spinor double cover of SO(n), fermion parity ℤ/2 grading, and MZM occupation by fermion parity are established in mathematical physics and topological condensed matter.</w:t>
            </w:r>
          </w:p>
        </w:tc>
      </w:tr>
    </w:tbl>
    <w:p>
      <w:pPr>
        <w:spacing w:after="80"/>
      </w:pPr>
    </w:p>
    <w:p>
      <w:pPr>
        <w:pStyle w:val="Heading2"/>
      </w:pPr>
      <w:r>
        <w:t xml:space="preserve">8.3 Golden Angle Dynamics</w:t>
      </w:r>
    </w:p>
    <w:p>
      <w:pPr>
        <w:spacing w:after="120"/>
      </w:pPr>
      <w:r>
        <w:t xml:space="preserve">The golden angle is 360°/φ² per ratchet step. After n steps, accumulated rotation is n × 360°/φ². This is irrational — the path never closes in the base space. However, the path closes approximately at Fibonacci intervals. After F(n) steps, accumulated rotation ≈ F(n−2) full rotations.</w:t>
      </w:r>
    </w:p>
    <w:p>
      <w:pPr>
        <w:spacing w:after="120"/>
      </w:pPr>
      <w:r>
        <w:t xml:space="preserve">The winding number advances approximately once every φ² ≈ 2.618 ratchet clicks. It never advances smoothly — it waits, then jumps. The advance is a step function with golden-ratio-spaced discontinuities. The fermion parity (winding number mod 2) oscillates quasiperiodically — neither periodic nor random.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sz="0"/>
              <w:left w:val="none" w:sz="0"/>
              <w:bottom w:val="none" w:sz="0"/>
              <w:right w:val="none" w:sz="0"/>
            </w:tcBorders>
            <w:shd w:fill="E8F5E9" w:val="clear"/>
            <w:tcMar>
              <w:top w:type="dxa" w:w="60"/>
              <w:left w:type="dxa" w:w="100"/>
              <w:bottom w:type="dxa" w:w="60"/>
              <w:right w:type="dxa" w:w="100"/>
            </w:tcMar>
            <w:vAlign w:val="center"/>
          </w:tcPr>
          <w:p>
            <w:r>
              <w:rPr>
                <w:rFonts w:ascii="Arial" w:cs="Arial" w:eastAsia="Arial" w:hAnsi="Arial"/>
                <w:b/>
                <w:bCs/>
                <w:sz w:val="18"/>
                <w:szCs w:val="18"/>
              </w:rPr>
              <w:t xml:space="preserve">PROVED</w:t>
            </w:r>
          </w:p>
        </w:tc>
        <w:tc>
          <w:tcPr>
            <w:tcW w:type="dxa" w:w="7960"/>
            <w:tcBorders>
              <w:top w:val="none" w:sz="0"/>
              <w:left w:val="none" w:sz="0"/>
              <w:bottom w:val="none" w:sz="0"/>
              <w:right w:val="none" w:sz="0"/>
            </w:tcBorders>
            <w:shd w:fill="E8F5E9" w:val="clear"/>
            <w:tcMar>
              <w:top w:type="dxa" w:w="60"/>
              <w:left w:type="dxa" w:w="100"/>
              <w:bottom w:type="dxa" w:w="60"/>
              <w:right w:type="dxa" w:w="100"/>
            </w:tcMar>
          </w:tcPr>
          <w:p>
            <w:pPr>
              <w:spacing w:after="0"/>
            </w:pPr>
            <w:r>
              <w:rPr>
                <w:rFonts w:ascii="Arial" w:cs="Arial" w:eastAsia="Arial" w:hAnsi="Arial"/>
                <w:sz w:val="20"/>
                <w:szCs w:val="20"/>
              </w:rPr>
              <w:t xml:space="preserve">The winding number interpretation in HoTT and the fermion parity ℤ/2 grading in Clifford algebras are established. The identification of Fibonacci-interval approximate closure is a mathematical fact following from properties of φ.</w:t>
            </w:r>
          </w:p>
        </w:tc>
      </w:tr>
    </w:tbl>
    <w:p>
      <w:pPr>
        <w:spacing w:after="80"/>
      </w:pPr>
    </w:p>
    <w:p>
      <w:r>
        <w:br w:type="page"/>
      </w:r>
    </w:p>
    <w:p>
      <w:pPr>
        <w:pStyle w:val="Heading1"/>
      </w:pPr>
      <w:r>
        <w:t xml:space="preserve">9. Unified Summary and Open Questions</w:t>
      </w:r>
    </w:p>
    <w:p>
      <w:pPr>
        <w:pStyle w:val="Heading2"/>
      </w:pPr>
      <w:r>
        <w:t xml:space="preserve">9.1 The Full Construction</w:t>
      </w:r>
    </w:p>
    <w:p>
      <w:pPr>
        <w:spacing w:after="120"/>
      </w:pPr>
      <w:r>
        <w:t xml:space="preserve">Assembled in sequence, the construction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6660"/>
      </w:tblGrid>
      <w:tr>
        <w:tc>
          <w:tcPr>
            <w:tcW w:type="dxa" w:w="5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b/>
                <w:bCs/>
                <w:color w:val="FFFFFF"/>
                <w:sz w:val="20"/>
                <w:szCs w:val="20"/>
              </w:rPr>
              <w:t xml:space="preserve">#</w:t>
            </w:r>
          </w:p>
        </w:tc>
        <w:tc>
          <w:tcPr>
            <w:tcW w:type="dxa" w:w="22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b/>
                <w:bCs/>
                <w:color w:val="FFFFFF"/>
                <w:sz w:val="20"/>
                <w:szCs w:val="20"/>
              </w:rPr>
              <w:t xml:space="preserve">Layer</w:t>
            </w:r>
          </w:p>
        </w:tc>
        <w:tc>
          <w:tcPr>
            <w:tcW w:type="dxa" w:w="666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b/>
                <w:bCs/>
                <w:color w:val="FFFFFF"/>
                <w:sz w:val="20"/>
                <w:szCs w:val="20"/>
              </w:rPr>
              <w:t xml:space="preserve">Description</w:t>
            </w:r>
          </w:p>
        </w:tc>
      </w:tr>
      <w:tr>
        <w:tc>
          <w:tcPr>
            <w:tcW w:type="dxa" w:w="5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sz w:val="20"/>
                <w:szCs w:val="20"/>
              </w:rPr>
              <w:t xml:space="preserve">1</w:t>
            </w:r>
          </w:p>
        </w:tc>
        <w:tc>
          <w:tcPr>
            <w:tcW w:type="dxa" w:w="22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b/>
                <w:bCs/>
                <w:sz w:val="20"/>
                <w:szCs w:val="20"/>
              </w:rPr>
              <w:t xml:space="preserve">GOLDEN ANGLE SCREW</w:t>
            </w:r>
          </w:p>
        </w:tc>
        <w:tc>
          <w:tcPr>
            <w:tcW w:type="dxa" w:w="666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sz w:val="20"/>
                <w:szCs w:val="20"/>
              </w:rPr>
              <w:t xml:space="preserve">A helical path rotating by θg ≈ 137.5° per step — doubly quasiperiodic, never closing, maximally space-filling.</w:t>
            </w:r>
          </w:p>
        </w:tc>
      </w:tr>
      <w:tr>
        <w:tc>
          <w:tcPr>
            <w:tcW w:type="dxa" w:w="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sz w:val="20"/>
                <w:szCs w:val="20"/>
              </w:rPr>
              <w:t xml:space="preserve">2</w:t>
            </w:r>
          </w:p>
        </w:tc>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b/>
                <w:bCs/>
                <w:sz w:val="20"/>
                <w:szCs w:val="20"/>
              </w:rPr>
              <w:t xml:space="preserve">PENROSE P3 SUBSTRATE</w:t>
            </w:r>
          </w:p>
        </w:tc>
        <w:tc>
          <w:tcPr>
            <w:tcW w:type="dxa" w:w="66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sz w:val="20"/>
                <w:szCs w:val="20"/>
              </w:rPr>
              <w:t xml:space="preserve">A quasiperiodic tiling φ-native at every level, with 5/7 curvature operators when defected.</w:t>
            </w:r>
          </w:p>
        </w:tc>
      </w:tr>
      <w:tr>
        <w:tc>
          <w:tcPr>
            <w:tcW w:type="dxa" w:w="5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sz w:val="20"/>
                <w:szCs w:val="20"/>
              </w:rPr>
              <w:t xml:space="preserve">3</w:t>
            </w:r>
          </w:p>
        </w:tc>
        <w:tc>
          <w:tcPr>
            <w:tcW w:type="dxa" w:w="22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b/>
                <w:bCs/>
                <w:sz w:val="20"/>
                <w:szCs w:val="20"/>
              </w:rPr>
              <w:t xml:space="preserve">SW DEFECT BUCKLING</w:t>
            </w:r>
          </w:p>
        </w:tc>
        <w:tc>
          <w:tcPr>
            <w:tcW w:type="dxa" w:w="666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sz w:val="20"/>
                <w:szCs w:val="20"/>
              </w:rPr>
              <w:t xml:space="preserve">Bond rotations create 5-7-7-5 paired curvature defects, producing a dynamic corrugated non-Euclidean surface.</w:t>
            </w:r>
          </w:p>
        </w:tc>
      </w:tr>
      <w:tr>
        <w:tc>
          <w:tcPr>
            <w:tcW w:type="dxa" w:w="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sz w:val="20"/>
                <w:szCs w:val="20"/>
              </w:rPr>
              <w:t xml:space="preserve">4</w:t>
            </w:r>
          </w:p>
        </w:tc>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b/>
                <w:bCs/>
                <w:sz w:val="20"/>
                <w:szCs w:val="20"/>
              </w:rPr>
              <w:t xml:space="preserve">5/7 GRINDING RATCHET</w:t>
            </w:r>
          </w:p>
        </w:tc>
        <w:tc>
          <w:tcPr>
            <w:tcW w:type="dxa" w:w="66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sz w:val="20"/>
                <w:szCs w:val="20"/>
              </w:rPr>
              <w:t xml:space="preserve">Prime incompatibility creates angular mismatch, preferred slip direction, and broken time-reversal symmetry.</w:t>
            </w:r>
          </w:p>
        </w:tc>
      </w:tr>
      <w:tr>
        <w:tc>
          <w:tcPr>
            <w:tcW w:type="dxa" w:w="500"/>
            <w:tcBorders>
              <w:top w:val="single" w:color="999999" w:sz="1"/>
              <w:left w:val="single" w:color="999999" w:sz="1"/>
              <w:bottom w:val="single" w:color="999999" w:sz="1"/>
              <w:right w:val="single" w:color="999999" w:sz="1"/>
            </w:tcBorders>
            <w:shd w:fill="FBE9E7" w:val="clear"/>
            <w:tcMar>
              <w:top w:type="dxa" w:w="60"/>
              <w:left w:type="dxa" w:w="100"/>
              <w:bottom w:type="dxa" w:w="60"/>
              <w:right w:type="dxa" w:w="100"/>
            </w:tcMar>
          </w:tcPr>
          <w:p>
            <w:r>
              <w:rPr>
                <w:sz w:val="20"/>
                <w:szCs w:val="20"/>
              </w:rPr>
              <w:t xml:space="preserve">5</w:t>
            </w:r>
          </w:p>
        </w:tc>
        <w:tc>
          <w:tcPr>
            <w:tcW w:type="dxa" w:w="2200"/>
            <w:tcBorders>
              <w:top w:val="single" w:color="999999" w:sz="1"/>
              <w:left w:val="single" w:color="999999" w:sz="1"/>
              <w:bottom w:val="single" w:color="999999" w:sz="1"/>
              <w:right w:val="single" w:color="999999" w:sz="1"/>
            </w:tcBorders>
            <w:shd w:fill="FBE9E7" w:val="clear"/>
            <w:tcMar>
              <w:top w:type="dxa" w:w="60"/>
              <w:left w:type="dxa" w:w="100"/>
              <w:bottom w:type="dxa" w:w="60"/>
              <w:right w:type="dxa" w:w="100"/>
            </w:tcMar>
          </w:tcPr>
          <w:p>
            <w:r>
              <w:rPr>
                <w:b/>
                <w:bCs/>
                <w:sz w:val="20"/>
                <w:szCs w:val="20"/>
              </w:rPr>
              <w:t xml:space="preserve">THE GAP: HAMILTONIAN</w:t>
            </w:r>
          </w:p>
        </w:tc>
        <w:tc>
          <w:tcPr>
            <w:tcW w:type="dxa" w:w="6660"/>
            <w:tcBorders>
              <w:top w:val="single" w:color="999999" w:sz="1"/>
              <w:left w:val="single" w:color="999999" w:sz="1"/>
              <w:bottom w:val="single" w:color="999999" w:sz="1"/>
              <w:right w:val="single" w:color="999999" w:sz="1"/>
            </w:tcBorders>
            <w:shd w:fill="FBE9E7" w:val="clear"/>
            <w:tcMar>
              <w:top w:type="dxa" w:w="60"/>
              <w:left w:type="dxa" w:w="100"/>
              <w:bottom w:type="dxa" w:w="60"/>
              <w:right w:type="dxa" w:w="100"/>
            </w:tcMar>
          </w:tcPr>
          <w:p>
            <w:r>
              <w:rPr>
                <w:sz w:val="20"/>
                <w:szCs w:val="20"/>
              </w:rPr>
              <w:t xml:space="preserve">Tight-binding BdG Hamiltonian on the buckled lattice — the bridge from geometry to topological classification. (OPEN)</w:t>
            </w:r>
          </w:p>
        </w:tc>
      </w:tr>
      <w:tr>
        <w:tc>
          <w:tcPr>
            <w:tcW w:type="dxa" w:w="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sz w:val="20"/>
                <w:szCs w:val="20"/>
              </w:rPr>
              <w:t xml:space="preserve">6</w:t>
            </w:r>
          </w:p>
        </w:tc>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b/>
                <w:bCs/>
                <w:sz w:val="20"/>
                <w:szCs w:val="20"/>
              </w:rPr>
              <w:t xml:space="preserve">ALGEBRAIC LADDER</w:t>
            </w:r>
          </w:p>
        </w:tc>
        <w:tc>
          <w:tcPr>
            <w:tcW w:type="dxa" w:w="66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sz w:val="20"/>
                <w:szCs w:val="20"/>
              </w:rPr>
              <w:t xml:space="preserve">AZ classification via Clifford periodicity determines invariant type; class D in d=1 gives ℤ/2 fermion parity.</w:t>
            </w:r>
          </w:p>
        </w:tc>
      </w:tr>
      <w:tr>
        <w:tc>
          <w:tcPr>
            <w:tcW w:type="dxa" w:w="5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sz w:val="20"/>
                <w:szCs w:val="20"/>
              </w:rPr>
              <w:t xml:space="preserve">7</w:t>
            </w:r>
          </w:p>
        </w:tc>
        <w:tc>
          <w:tcPr>
            <w:tcW w:type="dxa" w:w="220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b/>
                <w:bCs/>
                <w:sz w:val="20"/>
                <w:szCs w:val="20"/>
              </w:rPr>
              <w:t xml:space="preserve">MZM LOCALIZATION</w:t>
            </w:r>
          </w:p>
        </w:tc>
        <w:tc>
          <w:tcPr>
            <w:tcW w:type="dxa" w:w="666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sz w:val="20"/>
                <w:szCs w:val="20"/>
              </w:rPr>
              <w:t xml:space="preserve">5/7 domain walls host MZMs; golden angle screw selects a chiral 1D chain; ratchet provides chirality.</w:t>
            </w:r>
          </w:p>
        </w:tc>
      </w:tr>
      <w:tr>
        <w:tc>
          <w:tcPr>
            <w:tcW w:type="dxa" w:w="5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sz w:val="20"/>
                <w:szCs w:val="20"/>
              </w:rPr>
              <w:t xml:space="preserve">8</w:t>
            </w:r>
          </w:p>
        </w:tc>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b/>
                <w:bCs/>
                <w:sz w:val="20"/>
                <w:szCs w:val="20"/>
              </w:rPr>
              <w:t xml:space="preserve">WINDING NUMBER</w:t>
            </w:r>
          </w:p>
        </w:tc>
        <w:tc>
          <w:tcPr>
            <w:tcW w:type="dxa" w:w="66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sz w:val="20"/>
                <w:szCs w:val="20"/>
              </w:rPr>
              <w:t xml:space="preserve">w ∈ ½ℤ (Clifford-corrected), advances quasiperiodically; parity is MZM occupation.</w:t>
            </w:r>
          </w:p>
        </w:tc>
      </w:tr>
    </w:tbl>
    <w:p>
      <w:pPr>
        <w:spacing w:after="80"/>
      </w:pPr>
    </w:p>
    <w:p>
      <w:pPr>
        <w:spacing w:after="120"/>
      </w:pPr>
      <w:r>
        <w:rPr>
          <w:i/>
          <w:iCs/>
        </w:rPr>
        <w:t xml:space="preserve">Row 5 (highlighted) is the central open problem. Everything above it is established geometry. Everything below it depends on the Hamiltonian computation filling that row.</w:t>
      </w:r>
    </w:p>
    <w:p>
      <w:pPr>
        <w:pStyle w:val="Heading2"/>
      </w:pPr>
      <w:r>
        <w:t xml:space="preserve">9.2 Open Questions Requiring Formalization</w:t>
      </w:r>
    </w:p>
    <w:p>
      <w:pPr>
        <w:spacing w:after="120"/>
      </w:pPr>
      <w:r>
        <w:t xml:space="preserve">The following questions determine whether the construction becomes a theorem or remains a productive conjecture. They are ordered by logical dependency: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sz="0"/>
              <w:left w:val="none" w:sz="0"/>
              <w:bottom w:val="none" w:sz="0"/>
              <w:right w:val="none" w:sz="0"/>
            </w:tcBorders>
            <w:shd w:fill="F3E5F5" w:val="clear"/>
            <w:tcMar>
              <w:top w:type="dxa" w:w="60"/>
              <w:left w:type="dxa" w:w="100"/>
              <w:bottom w:type="dxa" w:w="60"/>
              <w:right w:type="dxa" w:w="100"/>
            </w:tcMar>
            <w:vAlign w:val="center"/>
          </w:tcPr>
          <w:p>
            <w:r>
              <w:rPr>
                <w:rFonts w:ascii="Arial" w:cs="Arial" w:eastAsia="Arial" w:hAnsi="Arial"/>
                <w:b/>
                <w:bCs/>
                <w:sz w:val="18"/>
                <w:szCs w:val="18"/>
              </w:rPr>
              <w:t xml:space="preserve">CONJECTURED</w:t>
            </w:r>
          </w:p>
        </w:tc>
        <w:tc>
          <w:tcPr>
            <w:tcW w:type="dxa" w:w="7960"/>
            <w:tcBorders>
              <w:top w:val="none" w:sz="0"/>
              <w:left w:val="none" w:sz="0"/>
              <w:bottom w:val="none" w:sz="0"/>
              <w:right w:val="none" w:sz="0"/>
            </w:tcBorders>
            <w:shd w:fill="F3E5F5" w:val="clear"/>
            <w:tcMar>
              <w:top w:type="dxa" w:w="60"/>
              <w:left w:type="dxa" w:w="100"/>
              <w:bottom w:type="dxa" w:w="60"/>
              <w:right w:type="dxa" w:w="100"/>
            </w:tcMar>
          </w:tcPr>
          <w:p>
            <w:pPr>
              <w:spacing w:after="0"/>
            </w:pPr>
            <w:r>
              <w:rPr>
                <w:rFonts w:ascii="Arial" w:cs="Arial" w:eastAsia="Arial" w:hAnsi="Arial"/>
                <w:sz w:val="20"/>
                <w:szCs w:val="20"/>
              </w:rPr>
              <w:t xml:space="preserve">Q1. The Hamiltonian: Does a tight-binding BdG Hamiltonian on the buckled 5/7 lattice, with p-wave pairing, yield a non-trivial topological invariant (winding number w=1) across the 5/7 boundary? This is the single computation on which everything else depends.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sz="0"/>
              <w:left w:val="none" w:sz="0"/>
              <w:bottom w:val="none" w:sz="0"/>
              <w:right w:val="none" w:sz="0"/>
            </w:tcBorders>
            <w:shd w:fill="F3E5F5" w:val="clear"/>
            <w:tcMar>
              <w:top w:type="dxa" w:w="60"/>
              <w:left w:type="dxa" w:w="100"/>
              <w:bottom w:type="dxa" w:w="60"/>
              <w:right w:type="dxa" w:w="100"/>
            </w:tcMar>
            <w:vAlign w:val="center"/>
          </w:tcPr>
          <w:p>
            <w:r>
              <w:rPr>
                <w:rFonts w:ascii="Arial" w:cs="Arial" w:eastAsia="Arial" w:hAnsi="Arial"/>
                <w:b/>
                <w:bCs/>
                <w:sz w:val="18"/>
                <w:szCs w:val="18"/>
              </w:rPr>
              <w:t xml:space="preserve">CONJECTURED</w:t>
            </w:r>
          </w:p>
        </w:tc>
        <w:tc>
          <w:tcPr>
            <w:tcW w:type="dxa" w:w="7960"/>
            <w:tcBorders>
              <w:top w:val="none" w:sz="0"/>
              <w:left w:val="none" w:sz="0"/>
              <w:bottom w:val="none" w:sz="0"/>
              <w:right w:val="none" w:sz="0"/>
            </w:tcBorders>
            <w:shd w:fill="F3E5F5" w:val="clear"/>
            <w:tcMar>
              <w:top w:type="dxa" w:w="60"/>
              <w:left w:type="dxa" w:w="100"/>
              <w:bottom w:type="dxa" w:w="60"/>
              <w:right w:type="dxa" w:w="100"/>
            </w:tcMar>
          </w:tcPr>
          <w:p>
            <w:pPr>
              <w:spacing w:after="0"/>
            </w:pPr>
            <w:r>
              <w:rPr>
                <w:rFonts w:ascii="Arial" w:cs="Arial" w:eastAsia="Arial" w:hAnsi="Arial"/>
                <w:sz w:val="20"/>
                <w:szCs w:val="20"/>
              </w:rPr>
              <w:t xml:space="preserve">Q2. The hopping condition: Along the golden-angle screw path, does |μ| &lt; 2t(x) hold at every site x, where t(x) is determined by local bond length? This is the site-by-site check that the screw path stays in the topological phase.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sz="0"/>
              <w:left w:val="none" w:sz="0"/>
              <w:bottom w:val="none" w:sz="0"/>
              <w:right w:val="none" w:sz="0"/>
            </w:tcBorders>
            <w:shd w:fill="F3E5F5" w:val="clear"/>
            <w:tcMar>
              <w:top w:type="dxa" w:w="60"/>
              <w:left w:type="dxa" w:w="100"/>
              <w:bottom w:type="dxa" w:w="60"/>
              <w:right w:type="dxa" w:w="100"/>
            </w:tcMar>
            <w:vAlign w:val="center"/>
          </w:tcPr>
          <w:p>
            <w:r>
              <w:rPr>
                <w:rFonts w:ascii="Arial" w:cs="Arial" w:eastAsia="Arial" w:hAnsi="Arial"/>
                <w:b/>
                <w:bCs/>
                <w:sz w:val="18"/>
                <w:szCs w:val="18"/>
              </w:rPr>
              <w:t xml:space="preserve">CONJECTURED</w:t>
            </w:r>
          </w:p>
        </w:tc>
        <w:tc>
          <w:tcPr>
            <w:tcW w:type="dxa" w:w="7960"/>
            <w:tcBorders>
              <w:top w:val="none" w:sz="0"/>
              <w:left w:val="none" w:sz="0"/>
              <w:bottom w:val="none" w:sz="0"/>
              <w:right w:val="none" w:sz="0"/>
            </w:tcBorders>
            <w:shd w:fill="F3E5F5" w:val="clear"/>
            <w:tcMar>
              <w:top w:type="dxa" w:w="60"/>
              <w:left w:type="dxa" w:w="100"/>
              <w:bottom w:type="dxa" w:w="60"/>
              <w:right w:type="dxa" w:w="100"/>
            </w:tcMar>
          </w:tcPr>
          <w:p>
            <w:pPr>
              <w:spacing w:after="0"/>
            </w:pPr>
            <w:r>
              <w:rPr>
                <w:rFonts w:ascii="Arial" w:cs="Arial" w:eastAsia="Arial" w:hAnsi="Arial"/>
                <w:sz w:val="20"/>
                <w:szCs w:val="20"/>
              </w:rPr>
              <w:t xml:space="preserve">Q3. Ratchet stability: What is the Peierls-Nabarro barrier for 5/7 slip in a Penrose-seeded quasiperiodic lattice? Does the ratchet survive thermal fluctuations at any experimentally accessible temperature?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sz="0"/>
              <w:left w:val="none" w:sz="0"/>
              <w:bottom w:val="none" w:sz="0"/>
              <w:right w:val="none" w:sz="0"/>
            </w:tcBorders>
            <w:shd w:fill="F3E5F5" w:val="clear"/>
            <w:tcMar>
              <w:top w:type="dxa" w:w="60"/>
              <w:left w:type="dxa" w:w="100"/>
              <w:bottom w:type="dxa" w:w="60"/>
              <w:right w:type="dxa" w:w="100"/>
            </w:tcMar>
            <w:vAlign w:val="center"/>
          </w:tcPr>
          <w:p>
            <w:r>
              <w:rPr>
                <w:rFonts w:ascii="Arial" w:cs="Arial" w:eastAsia="Arial" w:hAnsi="Arial"/>
                <w:b/>
                <w:bCs/>
                <w:sz w:val="18"/>
                <w:szCs w:val="18"/>
              </w:rPr>
              <w:t xml:space="preserve">CONJECTURED</w:t>
            </w:r>
          </w:p>
        </w:tc>
        <w:tc>
          <w:tcPr>
            <w:tcW w:type="dxa" w:w="7960"/>
            <w:tcBorders>
              <w:top w:val="none" w:sz="0"/>
              <w:left w:val="none" w:sz="0"/>
              <w:bottom w:val="none" w:sz="0"/>
              <w:right w:val="none" w:sz="0"/>
            </w:tcBorders>
            <w:shd w:fill="F3E5F5" w:val="clear"/>
            <w:tcMar>
              <w:top w:type="dxa" w:w="60"/>
              <w:left w:type="dxa" w:w="100"/>
              <w:bottom w:type="dxa" w:w="60"/>
              <w:right w:type="dxa" w:w="100"/>
            </w:tcMar>
          </w:tcPr>
          <w:p>
            <w:pPr>
              <w:spacing w:after="0"/>
            </w:pPr>
            <w:r>
              <w:rPr>
                <w:rFonts w:ascii="Arial" w:cs="Arial" w:eastAsia="Arial" w:hAnsi="Arial"/>
                <w:sz w:val="20"/>
                <w:szCs w:val="20"/>
              </w:rPr>
              <w:t xml:space="preserve">Q4. MZM chain stability: Is the golden-angle-selected 1D MZM chain protected against SW defect migration on timescales relevant to quantum computation?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sz="0"/>
              <w:left w:val="none" w:sz="0"/>
              <w:bottom w:val="none" w:sz="0"/>
              <w:right w:val="none" w:sz="0"/>
            </w:tcBorders>
            <w:shd w:fill="F3E5F5" w:val="clear"/>
            <w:tcMar>
              <w:top w:type="dxa" w:w="60"/>
              <w:left w:type="dxa" w:w="100"/>
              <w:bottom w:type="dxa" w:w="60"/>
              <w:right w:type="dxa" w:w="100"/>
            </w:tcMar>
            <w:vAlign w:val="center"/>
          </w:tcPr>
          <w:p>
            <w:r>
              <w:rPr>
                <w:rFonts w:ascii="Arial" w:cs="Arial" w:eastAsia="Arial" w:hAnsi="Arial"/>
                <w:b/>
                <w:bCs/>
                <w:sz w:val="18"/>
                <w:szCs w:val="18"/>
              </w:rPr>
              <w:t xml:space="preserve">CONJECTURED</w:t>
            </w:r>
          </w:p>
        </w:tc>
        <w:tc>
          <w:tcPr>
            <w:tcW w:type="dxa" w:w="7960"/>
            <w:tcBorders>
              <w:top w:val="none" w:sz="0"/>
              <w:left w:val="none" w:sz="0"/>
              <w:bottom w:val="none" w:sz="0"/>
              <w:right w:val="none" w:sz="0"/>
            </w:tcBorders>
            <w:shd w:fill="F3E5F5" w:val="clear"/>
            <w:tcMar>
              <w:top w:type="dxa" w:w="60"/>
              <w:left w:type="dxa" w:w="100"/>
              <w:bottom w:type="dxa" w:w="60"/>
              <w:right w:type="dxa" w:w="100"/>
            </w:tcMar>
          </w:tcPr>
          <w:p>
            <w:pPr>
              <w:spacing w:after="0"/>
            </w:pPr>
            <w:r>
              <w:rPr>
                <w:rFonts w:ascii="Arial" w:cs="Arial" w:eastAsia="Arial" w:hAnsi="Arial"/>
                <w:sz w:val="20"/>
                <w:szCs w:val="20"/>
              </w:rPr>
              <w:t xml:space="preserve">Q5. Rung classification: Does the 5/7 curvature boundary map to an AI → D transition in the AZ classification? The conditional theorem (if_conjecture_then_MZM) is proved; the antecedent requires Q1.</w:t>
            </w:r>
          </w:p>
        </w:tc>
      </w:tr>
    </w:tbl>
    <w:p>
      <w:pPr>
        <w:spacing w:after="80"/>
      </w:pPr>
    </w:p>
    <w:p>
      <w:pPr>
        <w:pStyle w:val="Heading2"/>
      </w:pPr>
      <w:r>
        <w:t xml:space="preserve">9.3 Nearest Established Research 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b/>
                <w:bCs/>
                <w:color w:val="FFFFFF"/>
                <w:sz w:val="20"/>
                <w:szCs w:val="20"/>
              </w:rPr>
              <w:t xml:space="preserve">This Construction</w:t>
            </w:r>
          </w:p>
        </w:tc>
        <w:tc>
          <w:tcPr>
            <w:tcW w:type="dxa" w:w="468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b/>
                <w:bCs/>
                <w:color w:val="FFFFFF"/>
                <w:sz w:val="20"/>
                <w:szCs w:val="20"/>
              </w:rPr>
              <w:t xml:space="preserve">Established Physics / Mathematics</w:t>
            </w:r>
          </w:p>
        </w:tc>
      </w:tr>
      <w:tr>
        <w:tc>
          <w:tcPr>
            <w:tcW w:type="dxa" w:w="468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b/>
                <w:bCs/>
                <w:sz w:val="20"/>
                <w:szCs w:val="20"/>
              </w:rPr>
              <w:t xml:space="preserve">Topological invariant computation</w:t>
            </w:r>
          </w:p>
        </w:tc>
        <w:tc>
          <w:tcPr>
            <w:tcW w:type="dxa" w:w="468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sz w:val="20"/>
                <w:szCs w:val="20"/>
              </w:rPr>
              <w:t xml:space="preserve">Discrete differential geometry — Bobenko, Schröder: curvature on polyhedral surfaces</w:t>
            </w:r>
          </w:p>
        </w:tc>
      </w:tr>
      <w:tr>
        <w:tc>
          <w:tcPr>
            <w:tcW w:type="dxa" w:w="46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b/>
                <w:bCs/>
                <w:sz w:val="20"/>
                <w:szCs w:val="20"/>
              </w:rPr>
              <w:t xml:space="preserve">Curved quasicrystals</w:t>
            </w:r>
          </w:p>
        </w:tc>
        <w:tc>
          <w:tcPr>
            <w:tcW w:type="dxa" w:w="46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sz w:val="20"/>
                <w:szCs w:val="20"/>
              </w:rPr>
              <w:t xml:space="preserve">Sadoc and Mosseri: frustration and quasiperiodic order on curved manifolds</w:t>
            </w:r>
          </w:p>
        </w:tc>
      </w:tr>
      <w:tr>
        <w:tc>
          <w:tcPr>
            <w:tcW w:type="dxa" w:w="468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b/>
                <w:bCs/>
                <w:sz w:val="20"/>
                <w:szCs w:val="20"/>
              </w:rPr>
              <w:t xml:space="preserve">Amorphous topological phases</w:t>
            </w:r>
          </w:p>
        </w:tc>
        <w:tc>
          <w:tcPr>
            <w:tcW w:type="dxa" w:w="468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sz w:val="20"/>
                <w:szCs w:val="20"/>
              </w:rPr>
              <w:t xml:space="preserve">Agarwala and Shenoy: topological phases in amorphous lattices without long-range order</w:t>
            </w:r>
          </w:p>
        </w:tc>
      </w:tr>
      <w:tr>
        <w:tc>
          <w:tcPr>
            <w:tcW w:type="dxa" w:w="46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b/>
                <w:bCs/>
                <w:sz w:val="20"/>
                <w:szCs w:val="20"/>
              </w:rPr>
              <w:t xml:space="preserve">Topological mechanics</w:t>
            </w:r>
          </w:p>
        </w:tc>
        <w:tc>
          <w:tcPr>
            <w:tcW w:type="dxa" w:w="46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sz w:val="20"/>
                <w:szCs w:val="20"/>
              </w:rPr>
              <w:t xml:space="preserve">Kane and Lubensky: protected edge modes in defect networks of mechanical lattices</w:t>
            </w:r>
          </w:p>
        </w:tc>
      </w:tr>
      <w:tr>
        <w:tc>
          <w:tcPr>
            <w:tcW w:type="dxa" w:w="468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b/>
                <w:bCs/>
                <w:sz w:val="20"/>
                <w:szCs w:val="20"/>
              </w:rPr>
              <w:t xml:space="preserve">Formal verification of physics</w:t>
            </w:r>
          </w:p>
        </w:tc>
        <w:tc>
          <w:tcPr>
            <w:tcW w:type="dxa" w:w="4680"/>
            <w:tcBorders>
              <w:top w:val="single" w:color="999999" w:sz="1"/>
              <w:left w:val="single" w:color="999999" w:sz="1"/>
              <w:bottom w:val="single" w:color="999999" w:sz="1"/>
              <w:right w:val="single" w:color="999999" w:sz="1"/>
            </w:tcBorders>
            <w:shd w:fill="F8F9FA" w:val="clear"/>
            <w:tcMar>
              <w:top w:type="dxa" w:w="60"/>
              <w:left w:type="dxa" w:w="100"/>
              <w:bottom w:type="dxa" w:w="60"/>
              <w:right w:type="dxa" w:w="100"/>
            </w:tcMar>
          </w:tcPr>
          <w:p>
            <w:r>
              <w:rPr>
                <w:sz w:val="20"/>
                <w:szCs w:val="20"/>
              </w:rPr>
              <w:t xml:space="preserve">PhysLean project: Lean 4 formalization of quantum mechanics and particle physics</w:t>
            </w:r>
          </w:p>
        </w:tc>
      </w:tr>
      <w:tr>
        <w:tc>
          <w:tcPr>
            <w:tcW w:type="dxa" w:w="46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b/>
                <w:bCs/>
                <w:sz w:val="20"/>
                <w:szCs w:val="20"/>
              </w:rPr>
              <w:t xml:space="preserve">Tenfold way / Clifford periodicity</w:t>
            </w:r>
          </w:p>
        </w:tc>
        <w:tc>
          <w:tcPr>
            <w:tcW w:type="dxa" w:w="468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sz w:val="20"/>
                <w:szCs w:val="20"/>
              </w:rPr>
              <w:t xml:space="preserve">Kitaev (2009), Ryu et al. (2010): periodic table of topological insulators</w:t>
            </w:r>
          </w:p>
        </w:tc>
      </w:tr>
    </w:tbl>
    <w:p>
      <w:pPr>
        <w:spacing w:after="80"/>
      </w:pPr>
    </w:p>
    <w:p>
      <w:r>
        <w:br w:type="page"/>
      </w:r>
    </w:p>
    <w:p>
      <w:pPr>
        <w:pStyle w:val="Heading1"/>
      </w:pPr>
      <w:r>
        <w:t xml:space="preserve">10. Methodological Note</w:t>
      </w:r>
    </w:p>
    <w:p>
      <w:pPr>
        <w:spacing w:after="120"/>
      </w:pPr>
      <w:r>
        <w:t xml:space="preserve">This thesis was developed via AI-assisted geometric reasoning — an iterative dialogue in which each step was proposed, stress-tested, and refined. No institutional support was involved. The epistemic tagging discipline (PROVED / DEMONSTRATED / SPECULATIVE / CONJECTURED) is applied throughout as a structural commitment, not a disclaimer: the goal is to make the boundary between established and novel content explicit at every claim.</w:t>
      </w:r>
    </w:p>
    <w:p>
      <w:pPr>
        <w:spacing w:after="120"/>
      </w:pPr>
      <w:r>
        <w:t xml:space="preserve">The ‘compiler is the credential’ principle applies: claims tagged PROVED have formal proofs in the literature or in machine-checked proof assistants. Claims tagged CONJECTURED are falsifiable and formalization-ready. The construction is presented not as a finished theory but as a precisely mapped frontier — identifying exactly where the known ends and the new begins.</w:t>
      </w:r>
    </w:p>
    <w:p>
      <w:pPr>
        <w:spacing w:after="120"/>
      </w:pPr>
      <w:r>
        <w:t xml:space="preserve">The Lean 4 formalization project (Geometry of State) provides the formal substrate. Two files encode the established mathematics:</w:t>
      </w:r>
    </w:p>
    <w:p>
      <w:pPr>
        <w:spacing w:after="120"/>
      </w:pPr>
      <w:r>
        <w:rPr>
          <w:b/>
          <w:bCs/>
        </w:rPr>
        <w:t xml:space="preserve">GeometryOfState.lean</w:t>
      </w:r>
      <w:r>
        <w:t xml:space="preserve"> — Cl(2,0) and Cl(3,0) algebras, Kitaev chain Hamiltonian, gap condition as proof obligation, Majorana edge modes, winding number computation. Zero sorry, six rfl proofs.</w:t>
      </w:r>
    </w:p>
    <w:p>
      <w:pPr>
        <w:spacing w:after="120"/>
      </w:pPr>
      <w:r>
        <w:rPr>
          <w:b/>
          <w:bCs/>
        </w:rPr>
        <w:t xml:space="preserve">RunGDescend.lean</w:t>
      </w:r>
      <w:r>
        <w:t xml:space="preserve"> — Division algebra ladder, Altland-Zirnbauer tenfold classification, Bott periodicity, domain wall topology, rung descent. Conditional theorem: if 5/7 maps to AI→D, then wall is topological. Zero sorry.</w:t>
      </w:r>
    </w:p>
    <w:p>
      <w:pPr>
        <w:spacing w:after="120"/>
      </w:pPr>
      <w:r>
        <w:t xml:space="preserve">The CONJECTURED components define the next layer of work: a tight-binding BdG Hamiltonian on a finite 5/7 lattice patch, computed numerically, whose topological invariant either closes the gap or falsifies the construction.</w:t>
      </w:r>
    </w:p>
    <w:p>
      <w:pPr>
        <w:spacing w:after="80"/>
      </w:pPr>
    </w:p>
    <w:p>
      <w:pPr>
        <w:spacing w:before="400"/>
        <w:jc w:val="center"/>
      </w:pPr>
      <w:r>
        <w:rPr>
          <w:i/>
          <w:iCs/>
        </w:rPr>
        <w:t xml:space="preserve">— End of Working Thesis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6"/>
        <w:szCs w:val="16"/>
      </w:rPr>
      <w:t xml:space="preserve">Quasiperiodic Topological Ratchet — Working Thesis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237E"/>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83593"/>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3747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2026-03-17T07:02:18.921Z</dcterms:created>
  <dcterms:modified xsi:type="dcterms:W3CDTF">2026-03-17T07:02:18.921Z</dcterms:modified>
</cp:coreProperties>
</file>

<file path=docProps/custom.xml><?xml version="1.0" encoding="utf-8"?>
<Properties xmlns="http://schemas.openxmlformats.org/officeDocument/2006/custom-properties" xmlns:vt="http://schemas.openxmlformats.org/officeDocument/2006/docPropsVTypes"/>
</file>