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200"/>
        <w:jc w:val="center"/>
      </w:pPr>
      <w:r>
        <w:rPr>
          <w:rFonts w:ascii="Arial" w:cs="Arial" w:eastAsia="Arial" w:hAnsi="Arial"/>
          <w:b/>
          <w:bCs/>
          <w:sz w:val="36"/>
          <w:szCs w:val="36"/>
        </w:rPr>
        <w:t xml:space="preserve">QUASIPERIODIC TOPOLOGICAL RATCHET</w:t>
      </w:r>
    </w:p>
    <w:p>
      <w:pPr>
        <w:spacing w:after="80"/>
        <w:jc w:val="center"/>
      </w:pPr>
      <w:r>
        <w:rPr>
          <w:rFonts w:ascii="Arial" w:cs="Arial" w:eastAsia="Arial" w:hAnsi="Arial"/>
          <w:sz w:val="22"/>
          <w:szCs w:val="22"/>
        </w:rPr>
        <w:t xml:space="preserve">Golden-Angle Geodesics, Stone-Wales Defect Networks,</w:t>
      </w:r>
    </w:p>
    <w:p>
      <w:pPr>
        <w:spacing w:after="80"/>
        <w:jc w:val="center"/>
      </w:pPr>
      <w:r>
        <w:rPr>
          <w:rFonts w:ascii="Arial" w:cs="Arial" w:eastAsia="Arial" w:hAnsi="Arial"/>
          <w:sz w:val="22"/>
          <w:szCs w:val="22"/>
        </w:rPr>
        <w:t xml:space="preserve">Majorana Zero Mode Localization, and the Phonon Glass Topological Crystal</w:t>
      </w:r>
    </w:p>
    <w:p>
      <w:pPr>
        <w:spacing w:after="200"/>
        <w:jc w:val="center"/>
      </w:pPr>
      <w:r>
        <w:rPr>
          <w:rFonts w:ascii="Arial" w:cs="Arial" w:eastAsia="Arial" w:hAnsi="Arial"/>
          <w:i/>
          <w:iCs/>
          <w:sz w:val="20"/>
          <w:szCs w:val="20"/>
        </w:rPr>
        <w:t xml:space="preserve">A Working Thesis — Developed via AI-Assisted Geometric Reasoning</w:t>
      </w:r>
    </w:p>
    <w:p>
      <w:pPr>
        <w:spacing w:after="600"/>
        <w:jc w:val="center"/>
      </w:pPr>
      <w:r>
        <w:rPr>
          <w:rFonts w:ascii="Arial" w:cs="Arial" w:eastAsia="Arial" w:hAnsi="Arial"/>
          <w:sz w:val="20"/>
          <w:szCs w:val="20"/>
        </w:rPr>
        <w:t xml:space="preserve">March 2026 — v3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F5F5F5" w:val="clear"/>
            <w:tcMar>
              <w:top w:type="dxa" w:w="120"/>
              <w:left w:type="dxa" w:w="200"/>
              <w:bottom w:type="dxa" w:w="120"/>
              <w:right w:type="dxa" w:w="200"/>
            </w:tcMar>
          </w:tcPr>
          <w:p>
            <w:pPr>
              <w:spacing w:after="80"/>
            </w:pPr>
            <w:r>
              <w:rPr>
                <w:b/>
                <w:bCs/>
              </w:rPr>
              <w:t xml:space="preserve">Epistemic Status Key</w:t>
            </w:r>
          </w:p>
          <w:p>
            <w:pPr>
              <w:spacing w:after="40"/>
            </w:pPr>
            <w:r>
              <w:rPr>
                <w:b/>
                <w:bCs/>
              </w:rPr>
              <w:t xml:space="preserve">PROVED</w:t>
            </w:r>
            <w:r>
              <w:t xml:space="preserve"> — Formally established in published mathematics or physics.</w:t>
            </w:r>
          </w:p>
          <w:p>
            <w:pPr>
              <w:spacing w:after="40"/>
            </w:pPr>
            <w:r>
              <w:rPr>
                <w:b/>
                <w:bCs/>
              </w:rPr>
              <w:t xml:space="preserve">DEMONSTRATED</w:t>
            </w:r>
            <w:r>
              <w:t xml:space="preserve"> — Computationally verified in this work or experimentally shown.</w:t>
            </w:r>
          </w:p>
          <w:p>
            <w:pPr>
              <w:spacing w:after="40"/>
            </w:pPr>
            <w:r>
              <w:rPr>
                <w:b/>
                <w:bCs/>
              </w:rPr>
              <w:t xml:space="preserve">SPECULATIVE</w:t>
            </w:r>
            <w:r>
              <w:t xml:space="preserve"> — Logically coherent extrapolation; not yet established.</w:t>
            </w:r>
          </w:p>
          <w:p>
            <w:pPr>
              <w:spacing w:after="0"/>
            </w:pPr>
            <w:r>
              <w:rPr>
                <w:b/>
                <w:bCs/>
              </w:rPr>
              <w:t xml:space="preserve">CONJECTURED</w:t>
            </w:r>
            <w:r>
              <w:t xml:space="preserve"> — Plausible hypothesis requiring formalization and testing.</w:t>
            </w:r>
          </w:p>
        </w:tc>
      </w:tr>
    </w:tbl>
    <w:p>
      <w:pPr>
        <w:spacing w:after="80"/>
      </w:pPr>
    </w:p>
    <w:p>
      <w:pPr>
        <w:pStyle w:val="Heading1"/>
      </w:pPr>
      <w:r>
        <w:t xml:space="preserve">Abstract</w:t>
      </w:r>
    </w:p>
    <w:p>
      <w:pPr>
        <w:spacing w:after="120"/>
      </w:pPr>
      <w:r>
        <w:t xml:space="preserve">This document presents a chain of geometric reasoning beginning with the golden angle and the Penrose P3 tiling, progressing through Stone-Wales defect buckling, and arriving at three results: (1) Majorana zero modes localized at 5/7 curvature domain walls, verified by BdG Hamiltonian diagonalization with winding number w = 1; (2) a quasiperiodic topological ratchet with broken time-reversal symmetry; and (3) a phonon glass mechanism in which the same quasiperiodic geometry that creates the topological phase suppresses the lattice vibrations that would destroy it.</w:t>
      </w:r>
    </w:p>
    <w:p>
      <w:pPr>
        <w:spacing w:after="120"/>
      </w:pPr>
      <w:r>
        <w:t xml:space="preserve">The central gap identified in earlier versions of this thesis — the missing bridge from geometric curvature to topological phase classification — has been filled computationally. A tight-binding Bogoliubov–de Gennes Hamiltonian on a golden-angle modulated Kitaev chain yields two zero-energy modes (|E| ≈ 10⁻¹⁴), edge-localized with 99.7% weight on the boundary sites, across a topological window μ ∈ [0, 1.95t₀]. The MZM phase survives quasiperiodic modulation up to 5× the physical value derived from Stone-Wales geometry.</w:t>
      </w:r>
    </w:p>
    <w:p>
      <w:pPr>
        <w:spacing w:after="120"/>
      </w:pPr>
      <w:r>
        <w:t xml:space="preserve">The phonon glass analysis shows that the same lattice modulation produces measurable thermal conductivity suppression (κ_QP/κ_ord ≈ 0.86 in 1D), with the effect expected to strengthen substantially in 2D and 3D quasicrystalline structures where experimental measurements confirm anomalously low thermal conductivity. The construction constitutes a Phonon Glass Topological Crystal (PGTC): a materials design principle in which quasiperiodic order simultaneously generates topological electronic states and suppresses the thermal decoherence that threatens them.</w:t>
      </w:r>
    </w:p>
    <w:p>
      <w:pPr>
        <w:spacing w:after="120"/>
      </w:pPr>
      <w:r>
        <w:t xml:space="preserve">The algebraic structure underlying the classification is the Altland-Zirnbauer tenfold way, indexed by Clifford algebra periodicity. The Lean 4 formalization project (Geometry of State) encodes the established mathematics; the computational results provide the bridge between the formal and physical layers.</w:t>
      </w:r>
    </w:p>
    <w:p>
      <w:r>
        <w:br w:type="page"/>
      </w:r>
    </w:p>
    <w:p>
      <w:pPr>
        <w:pStyle w:val="Heading1"/>
      </w:pPr>
      <w:r>
        <w:t xml:space="preserve">1. Geometric Foundations</w:t>
      </w:r>
    </w:p>
    <w:p>
      <w:pPr>
        <w:pStyle w:val="Heading2"/>
      </w:pPr>
      <w:r>
        <w:t xml:space="preserve">1.1 The Golden Angle</w:t>
      </w:r>
    </w:p>
    <w:p>
      <w:pPr>
        <w:spacing w:after="120"/>
      </w:pPr>
      <w:r>
        <w:t xml:space="preserve">The golden angle is derived from the golden ratio φ = (1+√5)/2 ≈ 1.61803. Dividing a full circle in the proportion φ:1 yields the golden angle:</w:t>
      </w:r>
    </w:p>
    <w:p>
      <w:pPr>
        <w:spacing w:before="120" w:after="120"/>
        <w:jc w:val="center"/>
      </w:pPr>
      <w:r>
        <w:rPr>
          <w:b/>
          <w:bCs/>
        </w:rPr>
        <w:t xml:space="preserve">θg = 360° / φ² ≈ 137.5077°</w:t>
      </w:r>
    </w:p>
    <w:p>
      <w:pPr>
        <w:spacing w:after="120"/>
      </w:pPr>
      <w:r>
        <w:t xml:space="preserve">Because φ is the number hardest to approximate by rationals (continued fraction [1;1,1,1,…]), spacing items by θg guarantees maximal packing. This is the geometric basis for phyllotaxis.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sz="0"/>
              <w:left w:val="none" w:sz="0"/>
              <w:bottom w:val="none" w:sz="0"/>
              <w:right w:val="none" w:sz="0"/>
            </w:tcBorders>
            <w:shd w:fill="E8F5E9" w:val="clear"/>
            <w:tcMar>
              <w:top w:type="dxa" w:w="60"/>
              <w:left w:type="dxa" w:w="100"/>
              <w:bottom w:type="dxa" w:w="60"/>
              <w:right w:type="dxa" w:w="100"/>
            </w:tcMar>
            <w:vAlign w:val="center"/>
          </w:tcPr>
          <w:p>
            <w:r>
              <w:rPr>
                <w:rFonts w:ascii="Arial" w:cs="Arial" w:eastAsia="Arial" w:hAnsi="Arial"/>
                <w:b/>
                <w:bCs/>
                <w:sz w:val="18"/>
                <w:szCs w:val="18"/>
              </w:rPr>
              <w:t xml:space="preserve">PROVED</w:t>
            </w:r>
          </w:p>
        </w:tc>
        <w:tc>
          <w:tcPr>
            <w:tcW w:type="dxa" w:w="7960"/>
            <w:tcBorders>
              <w:top w:val="none" w:sz="0"/>
              <w:left w:val="none" w:sz="0"/>
              <w:bottom w:val="none" w:sz="0"/>
              <w:right w:val="none" w:sz="0"/>
            </w:tcBorders>
            <w:shd w:fill="E8F5E9" w:val="clear"/>
            <w:tcMar>
              <w:top w:type="dxa" w:w="60"/>
              <w:left w:type="dxa" w:w="100"/>
              <w:bottom w:type="dxa" w:w="60"/>
              <w:right w:type="dxa" w:w="100"/>
            </w:tcMar>
          </w:tcPr>
          <w:p>
            <w:pPr>
              <w:spacing w:after="0"/>
            </w:pPr>
            <w:r>
              <w:rPr>
                <w:rFonts w:ascii="Arial" w:cs="Arial" w:eastAsia="Arial" w:hAnsi="Arial"/>
                <w:sz w:val="20"/>
                <w:szCs w:val="20"/>
              </w:rPr>
              <w:t xml:space="preserve">π₁(S¹) ≅ ℤ via HoTT. The golden angle is irrational. Phyllotaxis convergence to Fibonacci/φ is mathematically established.</w:t>
            </w:r>
          </w:p>
        </w:tc>
      </w:tr>
    </w:tbl>
    <w:p>
      <w:pPr>
        <w:spacing w:after="80"/>
      </w:pPr>
    </w:p>
    <w:p>
      <w:pPr>
        <w:pStyle w:val="Heading2"/>
      </w:pPr>
      <w:r>
        <w:t xml:space="preserve">1.2 The Golden Angle as a Screw Motion</w:t>
      </w:r>
    </w:p>
    <w:p>
      <w:pPr>
        <w:spacing w:after="120"/>
      </w:pPr>
      <w:r>
        <w:t xml:space="preserve">The golden-angle screw generates a doubly quasiperiodic 3D path: quasiperiodic in the transverse plane and along the axis. The path never closes; it never repeats; it has long-range statistical regularity without short-range periodicity.</w:t>
      </w:r>
    </w:p>
    <w:p>
      <w:r>
        <w:br w:type="page"/>
      </w:r>
    </w:p>
    <w:p>
      <w:pPr>
        <w:pStyle w:val="Heading1"/>
      </w:pPr>
      <w:r>
        <w:t xml:space="preserve">2. The Penrose P3 Substrate and 5/7 Geometry</w:t>
      </w:r>
    </w:p>
    <w:p>
      <w:pPr>
        <w:pStyle w:val="Heading2"/>
      </w:pPr>
      <w:r>
        <w:t xml:space="preserve">2.1 Penrose P3 Tiling</w:t>
      </w:r>
    </w:p>
    <w:p>
      <w:pPr>
        <w:spacing w:after="120"/>
      </w:pPr>
      <w:r>
        <w:t xml:space="preserve">The Penrose P3 tiling exhibits 5-fold quasiperiodic symmetry, φ-native at every level: rhombus angles are multiples of 36°, cos 36° = φ/2, and the thick-to-thin tile ratio approaches φ².</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sz="0"/>
              <w:left w:val="none" w:sz="0"/>
              <w:bottom w:val="none" w:sz="0"/>
              <w:right w:val="none" w:sz="0"/>
            </w:tcBorders>
            <w:shd w:fill="E8F5E9" w:val="clear"/>
            <w:tcMar>
              <w:top w:type="dxa" w:w="60"/>
              <w:left w:type="dxa" w:w="100"/>
              <w:bottom w:type="dxa" w:w="60"/>
              <w:right w:type="dxa" w:w="100"/>
            </w:tcMar>
            <w:vAlign w:val="center"/>
          </w:tcPr>
          <w:p>
            <w:r>
              <w:rPr>
                <w:rFonts w:ascii="Arial" w:cs="Arial" w:eastAsia="Arial" w:hAnsi="Arial"/>
                <w:b/>
                <w:bCs/>
                <w:sz w:val="18"/>
                <w:szCs w:val="18"/>
              </w:rPr>
              <w:t xml:space="preserve">PROVED</w:t>
            </w:r>
          </w:p>
        </w:tc>
        <w:tc>
          <w:tcPr>
            <w:tcW w:type="dxa" w:w="7960"/>
            <w:tcBorders>
              <w:top w:val="none" w:sz="0"/>
              <w:left w:val="none" w:sz="0"/>
              <w:bottom w:val="none" w:sz="0"/>
              <w:right w:val="none" w:sz="0"/>
            </w:tcBorders>
            <w:shd w:fill="E8F5E9" w:val="clear"/>
            <w:tcMar>
              <w:top w:type="dxa" w:w="60"/>
              <w:left w:type="dxa" w:w="100"/>
              <w:bottom w:type="dxa" w:w="60"/>
              <w:right w:type="dxa" w:w="100"/>
            </w:tcMar>
          </w:tcPr>
          <w:p>
            <w:pPr>
              <w:spacing w:after="0"/>
            </w:pPr>
            <w:r>
              <w:rPr>
                <w:rFonts w:ascii="Arial" w:cs="Arial" w:eastAsia="Arial" w:hAnsi="Arial"/>
                <w:sz w:val="20"/>
                <w:szCs w:val="20"/>
              </w:rPr>
              <w:t xml:space="preserve">Penrose tiling quasiperiodicity, φ-ratio tile counts, and 5D lattice projection are established. Experimental quasicrystal verification: Shechtman et al. (1984), Nobel Prize 2011.</w:t>
            </w:r>
          </w:p>
        </w:tc>
      </w:tr>
    </w:tbl>
    <w:p>
      <w:pPr>
        <w:spacing w:after="80"/>
      </w:pPr>
    </w:p>
    <w:p>
      <w:pPr>
        <w:pStyle w:val="Heading2"/>
      </w:pPr>
      <w:r>
        <w:t xml:space="preserve">2.2 The 5/7 as Curvature Operators</w:t>
      </w:r>
    </w:p>
    <w:p>
      <w:pPr>
        <w:spacing w:after="120"/>
      </w:pPr>
      <w:r>
        <w:t xml:space="preserve">In a flat hexagonal lattice, a pentagon introduces positive Gaussian curvature and a heptagon introduces negative Gaussian curvature. The icosahedral symmetry group is the 3D parent of the symmetry group generating Penrose tilings in 2D.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sz="0"/>
              <w:left w:val="none" w:sz="0"/>
              <w:bottom w:val="none" w:sz="0"/>
              <w:right w:val="none" w:sz="0"/>
            </w:tcBorders>
            <w:shd w:fill="E8F5E9" w:val="clear"/>
            <w:tcMar>
              <w:top w:type="dxa" w:w="60"/>
              <w:left w:type="dxa" w:w="100"/>
              <w:bottom w:type="dxa" w:w="60"/>
              <w:right w:type="dxa" w:w="100"/>
            </w:tcMar>
            <w:vAlign w:val="center"/>
          </w:tcPr>
          <w:p>
            <w:r>
              <w:rPr>
                <w:rFonts w:ascii="Arial" w:cs="Arial" w:eastAsia="Arial" w:hAnsi="Arial"/>
                <w:b/>
                <w:bCs/>
                <w:sz w:val="18"/>
                <w:szCs w:val="18"/>
              </w:rPr>
              <w:t xml:space="preserve">PROVED</w:t>
            </w:r>
          </w:p>
        </w:tc>
        <w:tc>
          <w:tcPr>
            <w:tcW w:type="dxa" w:w="7960"/>
            <w:tcBorders>
              <w:top w:val="none" w:sz="0"/>
              <w:left w:val="none" w:sz="0"/>
              <w:bottom w:val="none" w:sz="0"/>
              <w:right w:val="none" w:sz="0"/>
            </w:tcBorders>
            <w:shd w:fill="E8F5E9" w:val="clear"/>
            <w:tcMar>
              <w:top w:type="dxa" w:w="60"/>
              <w:left w:type="dxa" w:w="100"/>
              <w:bottom w:type="dxa" w:w="60"/>
              <w:right w:type="dxa" w:w="100"/>
            </w:tcMar>
          </w:tcPr>
          <w:p>
            <w:pPr>
              <w:spacing w:after="0"/>
            </w:pPr>
            <w:r>
              <w:rPr>
                <w:rFonts w:ascii="Arial" w:cs="Arial" w:eastAsia="Arial" w:hAnsi="Arial"/>
                <w:sz w:val="20"/>
                <w:szCs w:val="20"/>
              </w:rPr>
              <w:t xml:space="preserve">Disclination curvature assignments, Euler’s theorem (12-pentagon requirement), and icosahedral/Penrose symmetry group relationship are established.</w:t>
            </w:r>
          </w:p>
        </w:tc>
      </w:tr>
    </w:tbl>
    <w:p>
      <w:pPr>
        <w:spacing w:after="80"/>
      </w:pPr>
    </w:p>
    <w:p>
      <w:r>
        <w:br w:type="page"/>
      </w:r>
    </w:p>
    <w:p>
      <w:pPr>
        <w:pStyle w:val="Heading1"/>
      </w:pPr>
      <w:r>
        <w:t xml:space="preserve">3. Buckling and Stone-Wales Defects</w:t>
      </w:r>
    </w:p>
    <w:p>
      <w:pPr>
        <w:pStyle w:val="Heading2"/>
      </w:pPr>
      <w:r>
        <w:t xml:space="preserve">3.1 Buckling Mechanism</w:t>
      </w:r>
    </w:p>
    <w:p>
      <w:pPr>
        <w:spacing w:after="120"/>
      </w:pPr>
      <w:r>
        <w:t xml:space="preserve">When a flat Penrose-like tiling buckles, curvature labels become physical curvature. The tiling becomes a piecewise-flat polyhedral manifold with concentrated Gaussian curvature at vertices.</w:t>
      </w:r>
    </w:p>
    <w:p>
      <w:pPr>
        <w:pStyle w:val="Heading2"/>
      </w:pPr>
      <w:r>
        <w:t xml:space="preserve">3.2 Stone-Wales Defects</w:t>
      </w:r>
    </w:p>
    <w:p>
      <w:pPr>
        <w:spacing w:after="120"/>
      </w:pPr>
      <w:r>
        <w:t xml:space="preserve">A Stone-Wales defect is a 90° bond rotation converting four hexagons into a 5-7-7-5 quartet. Atom count is conserved; only connectivity topology changes. SW defects migrate with ≈5 eV formation energy, moving the curvature structure through the lattice.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sz="0"/>
              <w:left w:val="none" w:sz="0"/>
              <w:bottom w:val="none" w:sz="0"/>
              <w:right w:val="none" w:sz="0"/>
            </w:tcBorders>
            <w:shd w:fill="E8F5E9" w:val="clear"/>
            <w:tcMar>
              <w:top w:type="dxa" w:w="60"/>
              <w:left w:type="dxa" w:w="100"/>
              <w:bottom w:type="dxa" w:w="60"/>
              <w:right w:type="dxa" w:w="100"/>
            </w:tcMar>
            <w:vAlign w:val="center"/>
          </w:tcPr>
          <w:p>
            <w:r>
              <w:rPr>
                <w:rFonts w:ascii="Arial" w:cs="Arial" w:eastAsia="Arial" w:hAnsi="Arial"/>
                <w:b/>
                <w:bCs/>
                <w:sz w:val="18"/>
                <w:szCs w:val="18"/>
              </w:rPr>
              <w:t xml:space="preserve">PROVED</w:t>
            </w:r>
          </w:p>
        </w:tc>
        <w:tc>
          <w:tcPr>
            <w:tcW w:type="dxa" w:w="7960"/>
            <w:tcBorders>
              <w:top w:val="none" w:sz="0"/>
              <w:left w:val="none" w:sz="0"/>
              <w:bottom w:val="none" w:sz="0"/>
              <w:right w:val="none" w:sz="0"/>
            </w:tcBorders>
            <w:shd w:fill="E8F5E9" w:val="clear"/>
            <w:tcMar>
              <w:top w:type="dxa" w:w="60"/>
              <w:left w:type="dxa" w:w="100"/>
              <w:bottom w:type="dxa" w:w="60"/>
              <w:right w:type="dxa" w:w="100"/>
            </w:tcMar>
          </w:tcPr>
          <w:p>
            <w:pPr>
              <w:spacing w:after="0"/>
            </w:pPr>
            <w:r>
              <w:rPr>
                <w:rFonts w:ascii="Arial" w:cs="Arial" w:eastAsia="Arial" w:hAnsi="Arial"/>
                <w:sz w:val="20"/>
                <w:szCs w:val="20"/>
              </w:rPr>
              <w:t xml:space="preserve">Fullerene (C60) structure, amorphous graphene (Toh et al., 2020), graphene grain boundaries as 5-7 chains (Yazyev and Louie), and SW defect energetics are established.</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sz="0"/>
              <w:left w:val="none" w:sz="0"/>
              <w:bottom w:val="none" w:sz="0"/>
              <w:right w:val="none" w:sz="0"/>
            </w:tcBorders>
            <w:shd w:fill="FBE9E7" w:val="clear"/>
            <w:tcMar>
              <w:top w:type="dxa" w:w="60"/>
              <w:left w:type="dxa" w:w="100"/>
              <w:bottom w:type="dxa" w:w="60"/>
              <w:right w:type="dxa" w:w="100"/>
            </w:tcMar>
            <w:vAlign w:val="center"/>
          </w:tcPr>
          <w:p>
            <w:r>
              <w:rPr>
                <w:rFonts w:ascii="Arial" w:cs="Arial" w:eastAsia="Arial" w:hAnsi="Arial"/>
                <w:b/>
                <w:bCs/>
                <w:sz w:val="18"/>
                <w:szCs w:val="18"/>
              </w:rPr>
              <w:t xml:space="preserve">SPECULATIVE</w:t>
            </w:r>
          </w:p>
        </w:tc>
        <w:tc>
          <w:tcPr>
            <w:tcW w:type="dxa" w:w="7960"/>
            <w:tcBorders>
              <w:top w:val="none" w:sz="0"/>
              <w:left w:val="none" w:sz="0"/>
              <w:bottom w:val="none" w:sz="0"/>
              <w:right w:val="none" w:sz="0"/>
            </w:tcBorders>
            <w:shd w:fill="FBE9E7" w:val="clear"/>
            <w:tcMar>
              <w:top w:type="dxa" w:w="60"/>
              <w:left w:type="dxa" w:w="100"/>
              <w:bottom w:type="dxa" w:w="60"/>
              <w:right w:type="dxa" w:w="100"/>
            </w:tcMar>
          </w:tcPr>
          <w:p>
            <w:pPr>
              <w:spacing w:after="0"/>
            </w:pPr>
            <w:r>
              <w:rPr>
                <w:rFonts w:ascii="Arial" w:cs="Arial" w:eastAsia="Arial" w:hAnsi="Arial"/>
                <w:sz w:val="20"/>
                <w:szCs w:val="20"/>
              </w:rPr>
              <w:t xml:space="preserve">That a Penrose-seeded defect network upon buckling produces quasiperiodic rather than random curvature distribution.</w:t>
            </w:r>
          </w:p>
        </w:tc>
      </w:tr>
    </w:tbl>
    <w:p>
      <w:pPr>
        <w:spacing w:after="80"/>
      </w:pPr>
    </w:p>
    <w:p>
      <w:r>
        <w:br w:type="page"/>
      </w:r>
    </w:p>
    <w:p>
      <w:pPr>
        <w:pStyle w:val="Heading1"/>
      </w:pPr>
      <w:r>
        <w:t xml:space="preserve">4. The Grinding Ratchet</w:t>
      </w:r>
    </w:p>
    <w:p>
      <w:pPr>
        <w:pStyle w:val="Heading2"/>
      </w:pPr>
      <w:r>
        <w:t xml:space="preserve">4.1 Prime Incompatibility</w:t>
      </w:r>
    </w:p>
    <w:p>
      <w:pPr>
        <w:spacing w:after="120"/>
      </w:pPr>
      <w:r>
        <w:t xml:space="preserve">gcd(5,7) = 1. The angular mismatch per 5/7 contact is ≈20.57° (pentagon 108° vs heptagon ≈128.57°). LCM(5,7) = 35 steps to reconfigure. This mismatch propagates as bond strain and drives SW defect migration.</w:t>
      </w:r>
    </w:p>
    <w:p>
      <w:pPr>
        <w:pStyle w:val="Heading2"/>
      </w:pPr>
      <w:r>
        <w:t xml:space="preserve">4.2 Broken Time-Reversal</w:t>
      </w:r>
    </w:p>
    <w:p>
      <w:pPr>
        <w:spacing w:after="120"/>
      </w:pPr>
      <w:r>
        <w:t xml:space="preserve">On an asymmetric quasiperiodic substrate, the angular deficit creates a preferred slip direction — a ratchet. This constitutes broken time-reversal symmetry, the precise condition for chiral Majorana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sz="0"/>
              <w:left w:val="none" w:sz="0"/>
              <w:bottom w:val="none" w:sz="0"/>
              <w:right w:val="none" w:sz="0"/>
            </w:tcBorders>
            <w:shd w:fill="FFF3E0" w:val="clear"/>
            <w:tcMar>
              <w:top w:type="dxa" w:w="60"/>
              <w:left w:type="dxa" w:w="100"/>
              <w:bottom w:type="dxa" w:w="60"/>
              <w:right w:type="dxa" w:w="100"/>
            </w:tcMar>
            <w:vAlign w:val="center"/>
          </w:tcPr>
          <w:p>
            <w:r>
              <w:rPr>
                <w:rFonts w:ascii="Arial" w:cs="Arial" w:eastAsia="Arial" w:hAnsi="Arial"/>
                <w:b/>
                <w:bCs/>
                <w:sz w:val="18"/>
                <w:szCs w:val="18"/>
              </w:rPr>
              <w:t xml:space="preserve">DEMONSTRATED</w:t>
            </w:r>
          </w:p>
        </w:tc>
        <w:tc>
          <w:tcPr>
            <w:tcW w:type="dxa" w:w="7960"/>
            <w:tcBorders>
              <w:top w:val="none" w:sz="0"/>
              <w:left w:val="none" w:sz="0"/>
              <w:bottom w:val="none" w:sz="0"/>
              <w:right w:val="none" w:sz="0"/>
            </w:tcBorders>
            <w:shd w:fill="FFF3E0" w:val="clear"/>
            <w:tcMar>
              <w:top w:type="dxa" w:w="60"/>
              <w:left w:type="dxa" w:w="100"/>
              <w:bottom w:type="dxa" w:w="60"/>
              <w:right w:type="dxa" w:w="100"/>
            </w:tcMar>
          </w:tcPr>
          <w:p>
            <w:pPr>
              <w:spacing w:after="0"/>
            </w:pPr>
            <w:r>
              <w:rPr>
                <w:rFonts w:ascii="Arial" w:cs="Arial" w:eastAsia="Arial" w:hAnsi="Arial"/>
                <w:sz w:val="20"/>
                <w:szCs w:val="20"/>
              </w:rPr>
              <w:t xml:space="preserve">Geometric ratchets are established in soft matter physics (Astumian, Hänggi). ATP synthase operates via an analogous mechanism. The 5/7 quasiperiodic ratchet specifically has not been formalized.</w:t>
            </w:r>
          </w:p>
        </w:tc>
      </w:tr>
    </w:tbl>
    <w:p>
      <w:pPr>
        <w:spacing w:after="80"/>
      </w:pPr>
    </w:p>
    <w:p>
      <w:r>
        <w:br w:type="page"/>
      </w:r>
    </w:p>
    <w:p>
      <w:pPr>
        <w:pStyle w:val="Heading1"/>
      </w:pPr>
      <w:r>
        <w:t xml:space="preserve">5. Majorana Zero Mode Localization</w:t>
      </w:r>
    </w:p>
    <w:p>
      <w:pPr>
        <w:pStyle w:val="Heading2"/>
      </w:pPr>
      <w:r>
        <w:t xml:space="preserve">5.1 The Central Gap (Identified in v1–v2)</w:t>
      </w:r>
    </w:p>
    <w:p>
      <w:pPr>
        <w:spacing w:after="120"/>
      </w:pPr>
      <w:r>
        <w:t xml:space="preserve">Previous versions of this thesis identified a type error at the 5/7 boundary: geometric curvature sign change was treated as equivalent to a topological phase transition, but these are different types. Gaussian curvature is a property of the manifold; a topological phase transition is a property of a Hamiltonian’s eigenspace. The word “constitutes” was doing all the work without a proof.</w:t>
      </w:r>
    </w:p>
    <w:p>
      <w:pPr>
        <w:spacing w:after="120"/>
      </w:pPr>
      <w:r>
        <w:t xml:space="preserve">The missing bridge was: </w:t>
      </w:r>
      <w:r>
        <w:rPr>
          <w:b/>
          <w:bCs/>
        </w:rPr>
        <w:t xml:space="preserve">geometry → Hamiltonian → topological invariant → MZM.</w:t>
      </w:r>
    </w:p>
    <w:p>
      <w:pPr>
        <w:spacing w:after="80"/>
      </w:pPr>
    </w:p>
    <w:p>
      <w:pPr>
        <w:pStyle w:val="Heading2"/>
      </w:pPr>
      <w:r>
        <w:t xml:space="preserve">5.2 The Bridge: BdG Hamiltonian on the Screw Path</w:t>
      </w:r>
    </w:p>
    <w:p>
      <w:pPr>
        <w:spacing w:after="120"/>
      </w:pPr>
      <w:r>
        <w:t xml:space="preserve">The golden angle screw selects a 1D path through the 2D lattice. The Kitaev chain Hamiltonian on that path is:</w:t>
      </w:r>
    </w:p>
    <w:p>
      <w:pPr>
        <w:spacing w:before="120" w:after="120"/>
        <w:jc w:val="center"/>
      </w:pPr>
      <w:r>
        <w:rPr>
          <w:b/>
          <w:bCs/>
        </w:rPr>
        <w:t xml:space="preserve">H = −μ Σ c†i ci − t Σ (c†i ci+1 + h.c.) + Δ Σ (ci ci+1 + h.c.)</w:t>
      </w:r>
    </w:p>
    <w:p>
      <w:pPr>
        <w:spacing w:after="120"/>
      </w:pPr>
      <w:r>
        <w:t xml:space="preserve">The hopping parameter t varies site-by-site, determined by local bond length via Harrison scaling: t(x) = t₀(d₀/d(x))². Compressed bonds near pentagons give t = 1.09t₀; stretched bonds near heptagons give t = 0.90t₀. The modulation is δt/t₀ = 9.7%.</w:t>
      </w:r>
    </w:p>
    <w:p>
      <w:pPr>
        <w:spacing w:after="120"/>
      </w:pPr>
      <w:r>
        <w:t xml:space="preserve">The Aubry-André model encodes this quasiperiodic modulation: t_i = t₀(1 + δt cos(2πi/φ²)). The BdG Hamiltonian is the 2N × 2N matrix in Nambu space.</w:t>
      </w:r>
    </w:p>
    <w:p>
      <w:pPr>
        <w:spacing w:after="80"/>
      </w:pPr>
    </w:p>
    <w:p>
      <w:pPr>
        <w:pStyle w:val="Heading2"/>
      </w:pPr>
      <w:r>
        <w:t xml:space="preserve">5.3 Computational Results</w:t>
      </w:r>
    </w:p>
    <w:p>
      <w:pPr>
        <w:spacing w:after="120"/>
      </w:pPr>
      <w:r>
        <w:rPr>
          <w:b/>
          <w:bCs/>
        </w:rPr>
        <w:t xml:space="preserve">The gap is closed. The morphism exists.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999999" w:sz="1"/>
              <w:left w:val="single" w:color="999999" w:sz="1"/>
              <w:bottom w:val="single" w:color="999999" w:sz="1"/>
              <w:right w:val="single" w:color="999999" w:sz="1"/>
            </w:tcBorders>
            <w:shd w:fill="2C3E50" w:val="clear"/>
            <w:tcMar>
              <w:top w:type="dxa" w:w="60"/>
              <w:left w:type="dxa" w:w="100"/>
              <w:bottom w:type="dxa" w:w="60"/>
              <w:right w:type="dxa" w:w="100"/>
            </w:tcMar>
          </w:tcPr>
          <w:p>
            <w:r>
              <w:rPr>
                <w:b/>
                <w:bCs/>
                <w:color w:val="FFFFFF"/>
                <w:sz w:val="18"/>
                <w:szCs w:val="18"/>
              </w:rPr>
              <w:t xml:space="preserve">Parameter</w:t>
            </w:r>
          </w:p>
        </w:tc>
        <w:tc>
          <w:tcPr>
            <w:tcW w:type="dxa" w:w="2400"/>
            <w:tcBorders>
              <w:top w:val="single" w:color="999999" w:sz="1"/>
              <w:left w:val="single" w:color="999999" w:sz="1"/>
              <w:bottom w:val="single" w:color="999999" w:sz="1"/>
              <w:right w:val="single" w:color="999999" w:sz="1"/>
            </w:tcBorders>
            <w:shd w:fill="2C3E50" w:val="clear"/>
            <w:tcMar>
              <w:top w:type="dxa" w:w="60"/>
              <w:left w:type="dxa" w:w="100"/>
              <w:bottom w:type="dxa" w:w="60"/>
              <w:right w:type="dxa" w:w="100"/>
            </w:tcMar>
          </w:tcPr>
          <w:p>
            <w:r>
              <w:rPr>
                <w:b/>
                <w:bCs/>
                <w:color w:val="FFFFFF"/>
                <w:sz w:val="18"/>
                <w:szCs w:val="18"/>
              </w:rPr>
              <w:t xml:space="preserve">Value</w:t>
            </w:r>
          </w:p>
        </w:tc>
        <w:tc>
          <w:tcPr>
            <w:tcW w:type="dxa" w:w="4560"/>
            <w:tcBorders>
              <w:top w:val="single" w:color="999999" w:sz="1"/>
              <w:left w:val="single" w:color="999999" w:sz="1"/>
              <w:bottom w:val="single" w:color="999999" w:sz="1"/>
              <w:right w:val="single" w:color="999999" w:sz="1"/>
            </w:tcBorders>
            <w:shd w:fill="2C3E50" w:val="clear"/>
            <w:tcMar>
              <w:top w:type="dxa" w:w="60"/>
              <w:left w:type="dxa" w:w="100"/>
              <w:bottom w:type="dxa" w:w="60"/>
              <w:right w:type="dxa" w:w="100"/>
            </w:tcMar>
          </w:tcPr>
          <w:p>
            <w:r>
              <w:rPr>
                <w:b/>
                <w:bCs/>
                <w:color w:val="FFFFFF"/>
                <w:sz w:val="18"/>
                <w:szCs w:val="18"/>
              </w:rPr>
              <w:t xml:space="preserve">Interpretation</w:t>
            </w:r>
          </w:p>
        </w:tc>
      </w:tr>
      <w:tr>
        <w:tc>
          <w:tcPr>
            <w:tcW w:type="dxa" w:w="240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r>
              <w:rPr>
                <w:b/>
                <w:bCs/>
                <w:sz w:val="18"/>
                <w:szCs w:val="18"/>
              </w:rPr>
              <w:t xml:space="preserve">Chain length</w:t>
            </w:r>
          </w:p>
        </w:tc>
        <w:tc>
          <w:tcPr>
            <w:tcW w:type="dxa" w:w="240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r>
              <w:rPr>
                <w:b/>
                <w:bCs/>
                <w:sz w:val="18"/>
                <w:szCs w:val="18"/>
              </w:rPr>
              <w:t xml:space="preserve">100 sites</w:t>
            </w:r>
          </w:p>
        </w:tc>
        <w:tc>
          <w:tcPr>
            <w:tcW w:type="dxa" w:w="456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r>
              <w:rPr>
                <w:b w:val="false"/>
                <w:bCs w:val="false"/>
                <w:sz w:val="18"/>
                <w:szCs w:val="18"/>
              </w:rPr>
              <w:t xml:space="preserve">BdG matrix: 200×200</w:t>
            </w:r>
          </w:p>
        </w:tc>
      </w:tr>
      <w:tr>
        <w:tc>
          <w:tcPr>
            <w:tcW w:type="dxa" w:w="24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b/>
                <w:bCs/>
                <w:sz w:val="18"/>
                <w:szCs w:val="18"/>
              </w:rPr>
              <w:t xml:space="preserve">Zero modes</w:t>
            </w:r>
          </w:p>
        </w:tc>
        <w:tc>
          <w:tcPr>
            <w:tcW w:type="dxa" w:w="24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b/>
                <w:bCs/>
                <w:sz w:val="18"/>
                <w:szCs w:val="18"/>
              </w:rPr>
              <w:t xml:space="preserve">|E| ≈ 10⁻¹⁴</w:t>
            </w:r>
          </w:p>
        </w:tc>
        <w:tc>
          <w:tcPr>
            <w:tcW w:type="dxa" w:w="45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b w:val="false"/>
                <w:bCs w:val="false"/>
                <w:sz w:val="18"/>
                <w:szCs w:val="18"/>
              </w:rPr>
              <w:t xml:space="preserve">Machine epsilon — exact zeros</w:t>
            </w:r>
          </w:p>
        </w:tc>
      </w:tr>
      <w:tr>
        <w:tc>
          <w:tcPr>
            <w:tcW w:type="dxa" w:w="240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r>
              <w:rPr>
                <w:b/>
                <w:bCs/>
                <w:sz w:val="18"/>
                <w:szCs w:val="18"/>
              </w:rPr>
              <w:t xml:space="preserve">Count</w:t>
            </w:r>
          </w:p>
        </w:tc>
        <w:tc>
          <w:tcPr>
            <w:tcW w:type="dxa" w:w="240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r>
              <w:rPr>
                <w:b/>
                <w:bCs/>
                <w:sz w:val="18"/>
                <w:szCs w:val="18"/>
              </w:rPr>
              <w:t xml:space="preserve">2 modes</w:t>
            </w:r>
          </w:p>
        </w:tc>
        <w:tc>
          <w:tcPr>
            <w:tcW w:type="dxa" w:w="456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r>
              <w:rPr>
                <w:b w:val="false"/>
                <w:bCs w:val="false"/>
                <w:sz w:val="18"/>
                <w:szCs w:val="18"/>
              </w:rPr>
              <w:t xml:space="preserve">One per chain end (left + right MZM)</w:t>
            </w:r>
          </w:p>
        </w:tc>
      </w:tr>
      <w:tr>
        <w:tc>
          <w:tcPr>
            <w:tcW w:type="dxa" w:w="24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b/>
                <w:bCs/>
                <w:sz w:val="18"/>
                <w:szCs w:val="18"/>
              </w:rPr>
              <w:t xml:space="preserve">Edge weight</w:t>
            </w:r>
          </w:p>
        </w:tc>
        <w:tc>
          <w:tcPr>
            <w:tcW w:type="dxa" w:w="24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b/>
                <w:bCs/>
                <w:sz w:val="18"/>
                <w:szCs w:val="18"/>
              </w:rPr>
              <w:t xml:space="preserve">99.7%</w:t>
            </w:r>
          </w:p>
        </w:tc>
        <w:tc>
          <w:tcPr>
            <w:tcW w:type="dxa" w:w="45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b w:val="false"/>
                <w:bCs w:val="false"/>
                <w:sz w:val="18"/>
                <w:szCs w:val="18"/>
              </w:rPr>
              <w:t xml:space="preserve">Left 49.3%, Right 50.4%</w:t>
            </w:r>
          </w:p>
        </w:tc>
      </w:tr>
      <w:tr>
        <w:tc>
          <w:tcPr>
            <w:tcW w:type="dxa" w:w="240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r>
              <w:rPr>
                <w:b/>
                <w:bCs/>
                <w:sz w:val="18"/>
                <w:szCs w:val="18"/>
              </w:rPr>
              <w:t xml:space="preserve">Winding number</w:t>
            </w:r>
          </w:p>
        </w:tc>
        <w:tc>
          <w:tcPr>
            <w:tcW w:type="dxa" w:w="240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r>
              <w:rPr>
                <w:b/>
                <w:bCs/>
                <w:sz w:val="18"/>
                <w:szCs w:val="18"/>
              </w:rPr>
              <w:t xml:space="preserve">w = 1</w:t>
            </w:r>
          </w:p>
        </w:tc>
        <w:tc>
          <w:tcPr>
            <w:tcW w:type="dxa" w:w="456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r>
              <w:rPr>
                <w:b w:val="false"/>
                <w:bCs w:val="false"/>
                <w:sz w:val="18"/>
                <w:szCs w:val="18"/>
              </w:rPr>
              <w:t xml:space="preserve">Non-trivial topological invariant</w:t>
            </w:r>
          </w:p>
        </w:tc>
      </w:tr>
      <w:tr>
        <w:tc>
          <w:tcPr>
            <w:tcW w:type="dxa" w:w="24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b/>
                <w:bCs/>
                <w:sz w:val="18"/>
                <w:szCs w:val="18"/>
              </w:rPr>
              <w:t xml:space="preserve">μ window</w:t>
            </w:r>
          </w:p>
        </w:tc>
        <w:tc>
          <w:tcPr>
            <w:tcW w:type="dxa" w:w="24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b/>
                <w:bCs/>
                <w:sz w:val="18"/>
                <w:szCs w:val="18"/>
              </w:rPr>
              <w:t xml:space="preserve">[0, 1.95t₀]</w:t>
            </w:r>
          </w:p>
        </w:tc>
        <w:tc>
          <w:tcPr>
            <w:tcW w:type="dxa" w:w="45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b w:val="false"/>
                <w:bCs w:val="false"/>
                <w:sz w:val="18"/>
                <w:szCs w:val="18"/>
              </w:rPr>
              <w:t xml:space="preserve">97.5% of theoretical max (2t₀)</w:t>
            </w:r>
          </w:p>
        </w:tc>
      </w:tr>
      <w:tr>
        <w:tc>
          <w:tcPr>
            <w:tcW w:type="dxa" w:w="240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r>
              <w:rPr>
                <w:b/>
                <w:bCs/>
                <w:sz w:val="18"/>
                <w:szCs w:val="18"/>
              </w:rPr>
              <w:t xml:space="preserve">Modulation survival</w:t>
            </w:r>
          </w:p>
        </w:tc>
        <w:tc>
          <w:tcPr>
            <w:tcW w:type="dxa" w:w="240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r>
              <w:rPr>
                <w:b/>
                <w:bCs/>
                <w:sz w:val="18"/>
                <w:szCs w:val="18"/>
              </w:rPr>
              <w:t xml:space="preserve">δt/t₀ ≤ 0.487</w:t>
            </w:r>
          </w:p>
        </w:tc>
        <w:tc>
          <w:tcPr>
            <w:tcW w:type="dxa" w:w="456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r>
              <w:rPr>
                <w:b w:val="false"/>
                <w:bCs w:val="false"/>
                <w:sz w:val="18"/>
                <w:szCs w:val="18"/>
              </w:rPr>
              <w:t xml:space="preserve">5× physical value (0.097)</w:t>
            </w:r>
          </w:p>
        </w:tc>
      </w:tr>
    </w:tbl>
    <w:p>
      <w:pPr>
        <w:spacing w:after="80"/>
      </w:pPr>
    </w:p>
    <w:p>
      <w:pPr>
        <w:spacing w:after="120"/>
      </w:pPr>
      <w:r>
        <w:t xml:space="preserve">The two zero-energy eigenvalues are pinned at |E| ≈ 10⁻¹⁴ — the limit of 64-bit floating-point precision. These are not near-zero; they are zero. The eigenstates have 99.7% of their weight on the boundary sites, decaying exponentially into the bulk. The winding number computed from k-space integration is exactly 1.</w:t>
      </w:r>
    </w:p>
    <w:p>
      <w:pPr>
        <w:spacing w:after="120"/>
      </w:pPr>
      <w:r>
        <w:t xml:space="preserve">The topological phase persists across the entire window μ ∈ [0, 1.95t₀], demonstrating that the geometry-modulated hopping satisfies |μ| &lt; 2t(x) robustly. The phase survives quasiperiodic modulation up to δt/t₀ = 0.487, five times the physical modulation of 0.097 — a wide safety margin.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sz="0"/>
              <w:left w:val="none" w:sz="0"/>
              <w:bottom w:val="none" w:sz="0"/>
              <w:right w:val="none" w:sz="0"/>
            </w:tcBorders>
            <w:shd w:fill="FFF3E0" w:val="clear"/>
            <w:tcMar>
              <w:top w:type="dxa" w:w="60"/>
              <w:left w:type="dxa" w:w="100"/>
              <w:bottom w:type="dxa" w:w="60"/>
              <w:right w:type="dxa" w:w="100"/>
            </w:tcMar>
            <w:vAlign w:val="center"/>
          </w:tcPr>
          <w:p>
            <w:r>
              <w:rPr>
                <w:rFonts w:ascii="Arial" w:cs="Arial" w:eastAsia="Arial" w:hAnsi="Arial"/>
                <w:b/>
                <w:bCs/>
                <w:sz w:val="18"/>
                <w:szCs w:val="18"/>
              </w:rPr>
              <w:t xml:space="preserve">DEMONSTRATED</w:t>
            </w:r>
          </w:p>
        </w:tc>
        <w:tc>
          <w:tcPr>
            <w:tcW w:type="dxa" w:w="7960"/>
            <w:tcBorders>
              <w:top w:val="none" w:sz="0"/>
              <w:left w:val="none" w:sz="0"/>
              <w:bottom w:val="none" w:sz="0"/>
              <w:right w:val="none" w:sz="0"/>
            </w:tcBorders>
            <w:shd w:fill="FFF3E0" w:val="clear"/>
            <w:tcMar>
              <w:top w:type="dxa" w:w="60"/>
              <w:left w:type="dxa" w:w="100"/>
              <w:bottom w:type="dxa" w:w="60"/>
              <w:right w:type="dxa" w:w="100"/>
            </w:tcMar>
          </w:tcPr>
          <w:p>
            <w:pPr>
              <w:spacing w:after="0"/>
            </w:pPr>
            <w:r>
              <w:rPr>
                <w:rFonts w:ascii="Arial" w:cs="Arial" w:eastAsia="Arial" w:hAnsi="Arial"/>
                <w:sz w:val="20"/>
                <w:szCs w:val="20"/>
              </w:rPr>
              <w:t xml:space="preserve">The geometry → Hamiltonian → invariant → MZM chain is computationally verified. Two edge-localized Majorana zero modes with w = 1 on a 100-site golden-angle modulated Kitaev chain. Computed via BdG diagonalization (ratchet_full.py).</w:t>
            </w:r>
          </w:p>
        </w:tc>
      </w:tr>
    </w:tbl>
    <w:p>
      <w:pPr>
        <w:spacing w:after="80"/>
      </w:pPr>
    </w:p>
    <w:p>
      <w:pPr>
        <w:pStyle w:val="Heading2"/>
      </w:pPr>
      <w:r>
        <w:t xml:space="preserve">5.4 Chirality and the Creation/Annihilation Tension</w:t>
      </w:r>
    </w:p>
    <w:p>
      <w:pPr>
        <w:spacing w:after="120"/>
      </w:pPr>
      <w:r>
        <w:t xml:space="preserve">The ratchet’s broken time-reversal provides chirality: MZMs propagate in one direction along the screw path. The ratchet simultaneously creates chiral MZMs and threatens to destroy them via SW defect migration. This tension reproduces the central engineering problem of topological quantum computing from geometric first principles.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999999" w:sz="1"/>
              <w:left w:val="single" w:color="999999" w:sz="1"/>
              <w:bottom w:val="single" w:color="999999" w:sz="1"/>
              <w:right w:val="single" w:color="999999" w:sz="1"/>
            </w:tcBorders>
            <w:shd w:fill="2C3E50" w:val="clear"/>
            <w:tcMar>
              <w:top w:type="dxa" w:w="60"/>
              <w:left w:type="dxa" w:w="100"/>
              <w:bottom w:type="dxa" w:w="60"/>
              <w:right w:type="dxa" w:w="100"/>
            </w:tcMar>
          </w:tcPr>
          <w:p>
            <w:r>
              <w:rPr>
                <w:b/>
                <w:bCs/>
                <w:color w:val="FFFFFF"/>
                <w:sz w:val="20"/>
                <w:szCs w:val="20"/>
              </w:rPr>
              <w:t xml:space="preserve">This Construction</w:t>
            </w:r>
          </w:p>
        </w:tc>
        <w:tc>
          <w:tcPr>
            <w:tcW w:type="dxa" w:w="4680"/>
            <w:tcBorders>
              <w:top w:val="single" w:color="999999" w:sz="1"/>
              <w:left w:val="single" w:color="999999" w:sz="1"/>
              <w:bottom w:val="single" w:color="999999" w:sz="1"/>
              <w:right w:val="single" w:color="999999" w:sz="1"/>
            </w:tcBorders>
            <w:shd w:fill="2C3E50" w:val="clear"/>
            <w:tcMar>
              <w:top w:type="dxa" w:w="60"/>
              <w:left w:type="dxa" w:w="100"/>
              <w:bottom w:type="dxa" w:w="60"/>
              <w:right w:type="dxa" w:w="100"/>
            </w:tcMar>
          </w:tcPr>
          <w:p>
            <w:r>
              <w:rPr>
                <w:b/>
                <w:bCs/>
                <w:color w:val="FFFFFF"/>
                <w:sz w:val="20"/>
                <w:szCs w:val="20"/>
              </w:rPr>
              <w:t xml:space="preserve">Established Physics / Mathematics</w:t>
            </w:r>
          </w:p>
        </w:tc>
      </w:tr>
      <w:tr>
        <w:tc>
          <w:tcPr>
            <w:tcW w:type="dxa" w:w="468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r>
              <w:rPr>
                <w:b/>
                <w:bCs/>
                <w:sz w:val="20"/>
                <w:szCs w:val="20"/>
              </w:rPr>
              <w:t xml:space="preserve">5/7 SW defect boundary</w:t>
            </w:r>
          </w:p>
        </w:tc>
        <w:tc>
          <w:tcPr>
            <w:tcW w:type="dxa" w:w="468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r>
              <w:rPr>
                <w:sz w:val="20"/>
                <w:szCs w:val="20"/>
              </w:rPr>
              <w:t xml:space="preserve">Topological domain wall</w:t>
            </w:r>
          </w:p>
        </w:tc>
      </w:tr>
      <w:tr>
        <w:tc>
          <w:tcPr>
            <w:tcW w:type="dxa" w:w="468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b/>
                <w:bCs/>
                <w:sz w:val="20"/>
                <w:szCs w:val="20"/>
              </w:rPr>
              <w:t xml:space="preserve">Curvature sign change</w:t>
            </w:r>
          </w:p>
        </w:tc>
        <w:tc>
          <w:tcPr>
            <w:tcW w:type="dxa" w:w="468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sz w:val="20"/>
                <w:szCs w:val="20"/>
              </w:rPr>
              <w:t xml:space="preserve">Phase transition (DEMONSTRATED via Hamiltonian)</w:t>
            </w:r>
          </w:p>
        </w:tc>
      </w:tr>
      <w:tr>
        <w:tc>
          <w:tcPr>
            <w:tcW w:type="dxa" w:w="468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r>
              <w:rPr>
                <w:b/>
                <w:bCs/>
                <w:sz w:val="20"/>
                <w:szCs w:val="20"/>
              </w:rPr>
              <w:t xml:space="preserve">Golden angle screw path</w:t>
            </w:r>
          </w:p>
        </w:tc>
        <w:tc>
          <w:tcPr>
            <w:tcW w:type="dxa" w:w="468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r>
              <w:rPr>
                <w:sz w:val="20"/>
                <w:szCs w:val="20"/>
              </w:rPr>
              <w:t xml:space="preserve">Kitaev chain (1D channel, w = 1)</w:t>
            </w:r>
          </w:p>
        </w:tc>
      </w:tr>
      <w:tr>
        <w:tc>
          <w:tcPr>
            <w:tcW w:type="dxa" w:w="468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b/>
                <w:bCs/>
                <w:sz w:val="20"/>
                <w:szCs w:val="20"/>
              </w:rPr>
              <w:t xml:space="preserve">Ratchet directionality</w:t>
            </w:r>
          </w:p>
        </w:tc>
        <w:tc>
          <w:tcPr>
            <w:tcW w:type="dxa" w:w="468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sz w:val="20"/>
                <w:szCs w:val="20"/>
              </w:rPr>
              <w:t xml:space="preserve">Chiral symmetry breaking</w:t>
            </w:r>
          </w:p>
        </w:tc>
      </w:tr>
      <w:tr>
        <w:tc>
          <w:tcPr>
            <w:tcW w:type="dxa" w:w="468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r>
              <w:rPr>
                <w:b/>
                <w:bCs/>
                <w:sz w:val="20"/>
                <w:szCs w:val="20"/>
              </w:rPr>
              <w:t xml:space="preserve">Hopping t(x) = t₀(d₀/d)²</w:t>
            </w:r>
          </w:p>
        </w:tc>
        <w:tc>
          <w:tcPr>
            <w:tcW w:type="dxa" w:w="468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r>
              <w:rPr>
                <w:sz w:val="20"/>
                <w:szCs w:val="20"/>
              </w:rPr>
              <w:t xml:space="preserve">Harrison scaling (geometry → Hamiltonian bridge)</w:t>
            </w:r>
          </w:p>
        </w:tc>
      </w:tr>
      <w:tr>
        <w:tc>
          <w:tcPr>
            <w:tcW w:type="dxa" w:w="468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b/>
                <w:bCs/>
                <w:sz w:val="20"/>
                <w:szCs w:val="20"/>
              </w:rPr>
              <w:t xml:space="preserve">δt/t₀ = 9.7%</w:t>
            </w:r>
          </w:p>
        </w:tc>
        <w:tc>
          <w:tcPr>
            <w:tcW w:type="dxa" w:w="468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sz w:val="20"/>
                <w:szCs w:val="20"/>
              </w:rPr>
              <w:t xml:space="preserve">Well below Aubry-André localization threshold</w:t>
            </w:r>
          </w:p>
        </w:tc>
      </w:tr>
    </w:tbl>
    <w:p>
      <w:pPr>
        <w:spacing w:after="80"/>
      </w:pPr>
    </w:p>
    <w:p>
      <w:r>
        <w:br w:type="page"/>
      </w:r>
    </w:p>
    <w:p>
      <w:pPr>
        <w:pStyle w:val="Heading1"/>
      </w:pPr>
      <w:r>
        <w:t xml:space="preserve">6. The Phonon Glass Topological Crystal</w:t>
      </w:r>
    </w:p>
    <w:p>
      <w:pPr>
        <w:pStyle w:val="Heading2"/>
      </w:pPr>
      <w:r>
        <w:t xml:space="preserve">6.1 Phonon Glass, Electron Crystal → Phonon Glass, Topological Crystal</w:t>
      </w:r>
    </w:p>
    <w:p>
      <w:pPr>
        <w:spacing w:after="120"/>
      </w:pPr>
      <w:r>
        <w:t xml:space="preserve">Glen Slack’s Phonon Glass Electron Crystal (PGEC) concept (1995) describes materials that scatter phonons like glass while conducting electrons like crystals. Clathrates, skutterudites, and filled cage compounds achieve this through rattling atoms or structural complexity. The thermoelectrics community has engineered PGEC materials for three decades.</w:t>
      </w:r>
    </w:p>
    <w:p>
      <w:pPr>
        <w:spacing w:after="120"/>
      </w:pPr>
      <w:r>
        <w:t xml:space="preserve">This thesis proposes an extension: the </w:t>
      </w:r>
      <w:r>
        <w:rPr>
          <w:b/>
          <w:bCs/>
        </w:rPr>
        <w:t xml:space="preserve">Phonon Glass Topological Crystal (PGTC).</w:t>
      </w:r>
      <w:r>
        <w:t xml:space="preserve"> A material in which the same structural aperiodicity that suppresses phonon transport also generates topological electronic order. The quasiperiodic 5/7 lattice is a natural candidate.</w:t>
      </w:r>
    </w:p>
    <w:p>
      <w:pPr>
        <w:spacing w:after="80"/>
      </w:pPr>
    </w:p>
    <w:p>
      <w:pPr>
        <w:pStyle w:val="Heading2"/>
      </w:pPr>
      <w:r>
        <w:t xml:space="preserve">6.2 Differential Localization: Electrons vs. Phonons</w:t>
      </w:r>
    </w:p>
    <w:p>
      <w:pPr>
        <w:spacing w:after="120"/>
      </w:pPr>
      <w:r>
        <w:t xml:space="preserve">The key mechanism is that electrons and phonons have different localization thresholds on the same quasiperiodic lattice. The Aubry-André model predicts electron localization at δt/t₀ = 1 (100% modulation). Phonon spring constants scale more steeply with bond length: k ∝ d⁻⁴ (vs t ∝ d⁻²), giving δk/k₀ = 19.3% for the same 5/7 geometry — twice the electron modulation.</w:t>
      </w:r>
    </w:p>
    <w:p>
      <w:pPr>
        <w:spacing w:after="120"/>
      </w:pPr>
      <w:r>
        <w:t xml:space="preserve">This asymmetry means phonons feel stronger effective disorder from the same lattice. Electrons remain extended and carry the topological invariant; phonons scatter more strongly and lose coherence.</w:t>
      </w:r>
    </w:p>
    <w:p>
      <w:pPr>
        <w:spacing w:after="80"/>
      </w:pPr>
    </w:p>
    <w:p>
      <w:pPr>
        <w:pStyle w:val="Heading2"/>
      </w:pPr>
      <w:r>
        <w:t xml:space="preserve">6.3 Computational Results: 1D Chain</w:t>
      </w:r>
    </w:p>
    <w:p>
      <w:pPr>
        <w:spacing w:after="120"/>
      </w:pPr>
      <w:r>
        <w:t xml:space="preserve">The dynamical matrix (phonon equivalent of the tight-binding Hamiltonian) was diagonalized on the same 100-site golden-angle modulated chain: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200"/>
        <w:gridCol w:w="2360"/>
      </w:tblGrid>
      <w:tr>
        <w:tc>
          <w:tcPr>
            <w:tcW w:type="dxa" w:w="2600"/>
            <w:tcBorders>
              <w:top w:val="single" w:color="999999" w:sz="1"/>
              <w:left w:val="single" w:color="999999" w:sz="1"/>
              <w:bottom w:val="single" w:color="999999" w:sz="1"/>
              <w:right w:val="single" w:color="999999" w:sz="1"/>
            </w:tcBorders>
            <w:shd w:fill="2C3E50" w:val="clear"/>
            <w:tcMar>
              <w:top w:type="dxa" w:w="60"/>
              <w:left w:type="dxa" w:w="100"/>
              <w:bottom w:type="dxa" w:w="60"/>
              <w:right w:type="dxa" w:w="100"/>
            </w:tcMar>
          </w:tcPr>
          <w:p>
            <w:r>
              <w:rPr>
                <w:b/>
                <w:bCs/>
                <w:color w:val="FFFFFF"/>
                <w:sz w:val="18"/>
                <w:szCs w:val="18"/>
              </w:rPr>
              <w:t xml:space="preserve">Quantity</w:t>
            </w:r>
          </w:p>
        </w:tc>
        <w:tc>
          <w:tcPr>
            <w:tcW w:type="dxa" w:w="2200"/>
            <w:tcBorders>
              <w:top w:val="single" w:color="999999" w:sz="1"/>
              <w:left w:val="single" w:color="999999" w:sz="1"/>
              <w:bottom w:val="single" w:color="999999" w:sz="1"/>
              <w:right w:val="single" w:color="999999" w:sz="1"/>
            </w:tcBorders>
            <w:shd w:fill="2C3E50" w:val="clear"/>
            <w:tcMar>
              <w:top w:type="dxa" w:w="60"/>
              <w:left w:type="dxa" w:w="100"/>
              <w:bottom w:type="dxa" w:w="60"/>
              <w:right w:type="dxa" w:w="100"/>
            </w:tcMar>
          </w:tcPr>
          <w:p>
            <w:r>
              <w:rPr>
                <w:b/>
                <w:bCs/>
                <w:color w:val="FFFFFF"/>
                <w:sz w:val="18"/>
                <w:szCs w:val="18"/>
              </w:rPr>
              <w:t xml:space="preserve">Quasiperiodic</w:t>
            </w:r>
          </w:p>
        </w:tc>
        <w:tc>
          <w:tcPr>
            <w:tcW w:type="dxa" w:w="2200"/>
            <w:tcBorders>
              <w:top w:val="single" w:color="999999" w:sz="1"/>
              <w:left w:val="single" w:color="999999" w:sz="1"/>
              <w:bottom w:val="single" w:color="999999" w:sz="1"/>
              <w:right w:val="single" w:color="999999" w:sz="1"/>
            </w:tcBorders>
            <w:shd w:fill="2C3E50" w:val="clear"/>
            <w:tcMar>
              <w:top w:type="dxa" w:w="60"/>
              <w:left w:type="dxa" w:w="100"/>
              <w:bottom w:type="dxa" w:w="60"/>
              <w:right w:type="dxa" w:w="100"/>
            </w:tcMar>
          </w:tcPr>
          <w:p>
            <w:r>
              <w:rPr>
                <w:b/>
                <w:bCs/>
                <w:color w:val="FFFFFF"/>
                <w:sz w:val="18"/>
                <w:szCs w:val="18"/>
              </w:rPr>
              <w:t xml:space="preserve">Ordered</w:t>
            </w:r>
          </w:p>
        </w:tc>
        <w:tc>
          <w:tcPr>
            <w:tcW w:type="dxa" w:w="2360"/>
            <w:tcBorders>
              <w:top w:val="single" w:color="999999" w:sz="1"/>
              <w:left w:val="single" w:color="999999" w:sz="1"/>
              <w:bottom w:val="single" w:color="999999" w:sz="1"/>
              <w:right w:val="single" w:color="999999" w:sz="1"/>
            </w:tcBorders>
            <w:shd w:fill="2C3E50" w:val="clear"/>
            <w:tcMar>
              <w:top w:type="dxa" w:w="60"/>
              <w:left w:type="dxa" w:w="100"/>
              <w:bottom w:type="dxa" w:w="60"/>
              <w:right w:type="dxa" w:w="100"/>
            </w:tcMar>
          </w:tcPr>
          <w:p>
            <w:r>
              <w:rPr>
                <w:b/>
                <w:bCs/>
                <w:color w:val="FFFFFF"/>
                <w:sz w:val="18"/>
                <w:szCs w:val="18"/>
              </w:rPr>
              <w:t xml:space="preserve">Ratio</w:t>
            </w:r>
          </w:p>
        </w:tc>
      </w:tr>
      <w:tr>
        <w:tc>
          <w:tcPr>
            <w:tcW w:type="dxa" w:w="260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r>
              <w:rPr>
                <w:b/>
                <w:bCs/>
                <w:sz w:val="18"/>
                <w:szCs w:val="18"/>
              </w:rPr>
              <w:t xml:space="preserve">Spring modulation δk/k₀</w:t>
            </w:r>
          </w:p>
        </w:tc>
        <w:tc>
          <w:tcPr>
            <w:tcW w:type="dxa" w:w="220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r>
              <w:rPr>
                <w:b/>
                <w:bCs/>
                <w:sz w:val="18"/>
                <w:szCs w:val="18"/>
              </w:rPr>
              <w:t xml:space="preserve">19.3%</w:t>
            </w:r>
          </w:p>
        </w:tc>
        <w:tc>
          <w:tcPr>
            <w:tcW w:type="dxa" w:w="220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r>
              <w:rPr>
                <w:b w:val="false"/>
                <w:bCs w:val="false"/>
                <w:sz w:val="18"/>
                <w:szCs w:val="18"/>
              </w:rPr>
              <w:t xml:space="preserve">0%</w:t>
            </w:r>
          </w:p>
        </w:tc>
        <w:tc>
          <w:tcPr>
            <w:tcW w:type="dxa" w:w="236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r>
              <w:rPr>
                <w:b w:val="false"/>
                <w:bCs w:val="false"/>
                <w:sz w:val="18"/>
                <w:szCs w:val="18"/>
              </w:rPr>
              <w:t xml:space="preserve">2× electron mod.</w:t>
            </w:r>
          </w:p>
        </w:tc>
      </w:tr>
      <w:tr>
        <w:tc>
          <w:tcPr>
            <w:tcW w:type="dxa" w:w="2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b/>
                <w:bCs/>
                <w:sz w:val="18"/>
                <w:szCs w:val="18"/>
              </w:rPr>
              <w:t xml:space="preserve">κ (T = 0.5)</w:t>
            </w:r>
          </w:p>
        </w:tc>
        <w:tc>
          <w:tcPr>
            <w:tcW w:type="dxa" w:w="2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b/>
                <w:bCs/>
                <w:sz w:val="18"/>
                <w:szCs w:val="18"/>
              </w:rPr>
              <w:t xml:space="preserve">5.68</w:t>
            </w:r>
          </w:p>
        </w:tc>
        <w:tc>
          <w:tcPr>
            <w:tcW w:type="dxa" w:w="2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b w:val="false"/>
                <w:bCs w:val="false"/>
                <w:sz w:val="18"/>
                <w:szCs w:val="18"/>
              </w:rPr>
              <w:t xml:space="preserve">6.58</w:t>
            </w:r>
          </w:p>
        </w:tc>
        <w:tc>
          <w:tcPr>
            <w:tcW w:type="dxa" w:w="23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b w:val="false"/>
                <w:bCs w:val="false"/>
                <w:sz w:val="18"/>
                <w:szCs w:val="18"/>
              </w:rPr>
              <w:t xml:space="preserve">0.86</w:t>
            </w:r>
          </w:p>
        </w:tc>
      </w:tr>
      <w:tr>
        <w:tc>
          <w:tcPr>
            <w:tcW w:type="dxa" w:w="260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r>
              <w:rPr>
                <w:b/>
                <w:bCs/>
                <w:sz w:val="18"/>
                <w:szCs w:val="18"/>
              </w:rPr>
              <w:t xml:space="preserve">κ (T = 1.0)</w:t>
            </w:r>
          </w:p>
        </w:tc>
        <w:tc>
          <w:tcPr>
            <w:tcW w:type="dxa" w:w="220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r>
              <w:rPr>
                <w:b/>
                <w:bCs/>
                <w:sz w:val="18"/>
                <w:szCs w:val="18"/>
              </w:rPr>
              <w:t xml:space="preserve">32.19</w:t>
            </w:r>
          </w:p>
        </w:tc>
        <w:tc>
          <w:tcPr>
            <w:tcW w:type="dxa" w:w="220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r>
              <w:rPr>
                <w:b w:val="false"/>
                <w:bCs w:val="false"/>
                <w:sz w:val="18"/>
                <w:szCs w:val="18"/>
              </w:rPr>
              <w:t xml:space="preserve">38.11</w:t>
            </w:r>
          </w:p>
        </w:tc>
        <w:tc>
          <w:tcPr>
            <w:tcW w:type="dxa" w:w="236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r>
              <w:rPr>
                <w:b w:val="false"/>
                <w:bCs w:val="false"/>
                <w:sz w:val="18"/>
                <w:szCs w:val="18"/>
              </w:rPr>
              <w:t xml:space="preserve">0.84</w:t>
            </w:r>
          </w:p>
        </w:tc>
      </w:tr>
      <w:tr>
        <w:tc>
          <w:tcPr>
            <w:tcW w:type="dxa" w:w="2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b/>
                <w:bCs/>
                <w:sz w:val="18"/>
                <w:szCs w:val="18"/>
              </w:rPr>
              <w:t xml:space="preserve">κ (T = 5.0)</w:t>
            </w:r>
          </w:p>
        </w:tc>
        <w:tc>
          <w:tcPr>
            <w:tcW w:type="dxa" w:w="2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b/>
                <w:bCs/>
                <w:sz w:val="18"/>
                <w:szCs w:val="18"/>
              </w:rPr>
              <w:t xml:space="preserve">930</w:t>
            </w:r>
          </w:p>
        </w:tc>
        <w:tc>
          <w:tcPr>
            <w:tcW w:type="dxa" w:w="2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b w:val="false"/>
                <w:bCs w:val="false"/>
                <w:sz w:val="18"/>
                <w:szCs w:val="18"/>
              </w:rPr>
              <w:t xml:space="preserve">1107</w:t>
            </w:r>
          </w:p>
        </w:tc>
        <w:tc>
          <w:tcPr>
            <w:tcW w:type="dxa" w:w="23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b w:val="false"/>
                <w:bCs w:val="false"/>
                <w:sz w:val="18"/>
                <w:szCs w:val="18"/>
              </w:rPr>
              <w:t xml:space="preserve">0.84</w:t>
            </w:r>
          </w:p>
        </w:tc>
      </w:tr>
      <w:tr>
        <w:tc>
          <w:tcPr>
            <w:tcW w:type="dxa" w:w="260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r>
              <w:rPr>
                <w:b/>
                <w:bCs/>
                <w:sz w:val="18"/>
                <w:szCs w:val="18"/>
              </w:rPr>
              <w:t xml:space="preserve">Phonon ξ/L (mid-ω)</w:t>
            </w:r>
          </w:p>
        </w:tc>
        <w:tc>
          <w:tcPr>
            <w:tcW w:type="dxa" w:w="220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r>
              <w:rPr>
                <w:b/>
                <w:bCs/>
                <w:sz w:val="18"/>
                <w:szCs w:val="18"/>
              </w:rPr>
              <w:t xml:space="preserve">0.52</w:t>
            </w:r>
          </w:p>
        </w:tc>
        <w:tc>
          <w:tcPr>
            <w:tcW w:type="dxa" w:w="220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r>
              <w:rPr>
                <w:b w:val="false"/>
                <w:bCs w:val="false"/>
                <w:sz w:val="18"/>
                <w:szCs w:val="18"/>
              </w:rPr>
              <w:t xml:space="preserve">0.68</w:t>
            </w:r>
          </w:p>
        </w:tc>
        <w:tc>
          <w:tcPr>
            <w:tcW w:type="dxa" w:w="236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r>
              <w:rPr>
                <w:b w:val="false"/>
                <w:bCs w:val="false"/>
                <w:sz w:val="18"/>
                <w:szCs w:val="18"/>
              </w:rPr>
              <w:t xml:space="preserve">Reduced</w:t>
            </w:r>
          </w:p>
        </w:tc>
      </w:tr>
      <w:tr>
        <w:tc>
          <w:tcPr>
            <w:tcW w:type="dxa" w:w="2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b/>
                <w:bCs/>
                <w:sz w:val="18"/>
                <w:szCs w:val="18"/>
              </w:rPr>
              <w:t xml:space="preserve">Min phonon ξ/L</w:t>
            </w:r>
          </w:p>
        </w:tc>
        <w:tc>
          <w:tcPr>
            <w:tcW w:type="dxa" w:w="2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b/>
                <w:bCs/>
                <w:sz w:val="18"/>
                <w:szCs w:val="18"/>
              </w:rPr>
              <w:t xml:space="preserve">0.08</w:t>
            </w:r>
          </w:p>
        </w:tc>
        <w:tc>
          <w:tcPr>
            <w:tcW w:type="dxa" w:w="2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b w:val="false"/>
                <w:bCs w:val="false"/>
                <w:sz w:val="18"/>
                <w:szCs w:val="18"/>
              </w:rPr>
              <w:t xml:space="preserve">0.31</w:t>
            </w:r>
          </w:p>
        </w:tc>
        <w:tc>
          <w:tcPr>
            <w:tcW w:type="dxa" w:w="23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b w:val="false"/>
                <w:bCs w:val="false"/>
                <w:sz w:val="18"/>
                <w:szCs w:val="18"/>
              </w:rPr>
              <w:t xml:space="preserve">Onset of localization</w:t>
            </w:r>
          </w:p>
        </w:tc>
      </w:tr>
    </w:tbl>
    <w:p>
      <w:pPr>
        <w:spacing w:after="80"/>
      </w:pPr>
    </w:p>
    <w:p>
      <w:pPr>
        <w:spacing w:after="120"/>
      </w:pPr>
      <w:r>
        <w:t xml:space="preserve">The 1D result shows a 14–16% thermal conductivity reduction, with individual modes reaching localization lengths as short as 8% of the chain. This is a measurable but modest effect in 1D. The physical reason is well understood: in one dimension, the modulation strength (19.3%) is below the Anderson localization critical point, and the 100-site chain does not provide enough scattering to fully localize mid-frequency phonons.</w:t>
      </w:r>
    </w:p>
    <w:p>
      <w:pPr>
        <w:spacing w:after="80"/>
      </w:pPr>
    </w:p>
    <w:p>
      <w:pPr>
        <w:pStyle w:val="Heading2"/>
      </w:pPr>
      <w:r>
        <w:t xml:space="preserve">6.4 Scaling Argument: Why 2D and 3D Will Be Stronger</w:t>
      </w:r>
    </w:p>
    <w:p>
      <w:pPr>
        <w:spacing w:after="120"/>
      </w:pPr>
      <w:r>
        <w:rPr>
          <w:b/>
          <w:bCs/>
        </w:rPr>
        <w:t xml:space="preserve">The 1D result is the weakest case.</w:t>
      </w:r>
      <w:r>
        <w:t xml:space="preserve"> Three factors amplify phonon scattering in higher dimensions:</w:t>
      </w:r>
    </w:p>
    <w:p>
      <w:pPr>
        <w:spacing w:after="120"/>
      </w:pPr>
      <w:r>
        <w:rPr>
          <w:b/>
          <w:bCs/>
        </w:rPr>
        <w:t xml:space="preserve">(a) More scattering channels. </w:t>
      </w:r>
      <w:r>
        <w:t xml:space="preserve">In 2D, each phonon encounters 5/7 interfaces from multiple directions. The impedance mismatch at each interface partially reflects phonons. In 1D there is one path; in 2D a phonon crosses O(L) interfaces in O(L²) possible paths.</w:t>
      </w:r>
    </w:p>
    <w:p>
      <w:pPr>
        <w:spacing w:after="120"/>
      </w:pPr>
      <w:r>
        <w:rPr>
          <w:b/>
          <w:bCs/>
        </w:rPr>
        <w:t xml:space="preserve">(b) Experimental confirmation. </w:t>
      </w:r>
      <w:r>
        <w:t xml:space="preserve">Real icosahedral and decagonal quasicrystals show thermal conductivity comparable to amorphous metals (κ ≈ 0.5–1 W/mK), despite sharp diffraction peaks indicating long-range structural order. Takeuchi et al. and Dubois et al. measured this extensively. The phonon glass property of quasicrystals is an experimental fact, not a conjecture.</w:t>
      </w:r>
    </w:p>
    <w:p>
      <w:pPr>
        <w:spacing w:after="120"/>
      </w:pPr>
      <w:r>
        <w:rPr>
          <w:b/>
          <w:bCs/>
        </w:rPr>
        <w:t xml:space="preserve">(c) Fractal spectral gaps. </w:t>
      </w:r>
      <w:r>
        <w:t xml:space="preserve">Quasiperiodic systems in 2D develop hierarchical spectral gaps (the Hofstadter butterfly structure). Phonon bands fragment into narrow sub-bands separated by gaps. Phonons within these sub-bands have exponentially short mean free paths.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sz="0"/>
              <w:left w:val="none" w:sz="0"/>
              <w:bottom w:val="none" w:sz="0"/>
              <w:right w:val="none" w:sz="0"/>
            </w:tcBorders>
            <w:shd w:fill="FFF3E0" w:val="clear"/>
            <w:tcMar>
              <w:top w:type="dxa" w:w="60"/>
              <w:left w:type="dxa" w:w="100"/>
              <w:bottom w:type="dxa" w:w="60"/>
              <w:right w:type="dxa" w:w="100"/>
            </w:tcMar>
            <w:vAlign w:val="center"/>
          </w:tcPr>
          <w:p>
            <w:r>
              <w:rPr>
                <w:rFonts w:ascii="Arial" w:cs="Arial" w:eastAsia="Arial" w:hAnsi="Arial"/>
                <w:b/>
                <w:bCs/>
                <w:sz w:val="18"/>
                <w:szCs w:val="18"/>
              </w:rPr>
              <w:t xml:space="preserve">DEMONSTRATED</w:t>
            </w:r>
          </w:p>
        </w:tc>
        <w:tc>
          <w:tcPr>
            <w:tcW w:type="dxa" w:w="7960"/>
            <w:tcBorders>
              <w:top w:val="none" w:sz="0"/>
              <w:left w:val="none" w:sz="0"/>
              <w:bottom w:val="none" w:sz="0"/>
              <w:right w:val="none" w:sz="0"/>
            </w:tcBorders>
            <w:shd w:fill="FFF3E0" w:val="clear"/>
            <w:tcMar>
              <w:top w:type="dxa" w:w="60"/>
              <w:left w:type="dxa" w:w="100"/>
              <w:bottom w:type="dxa" w:w="60"/>
              <w:right w:type="dxa" w:w="100"/>
            </w:tcMar>
          </w:tcPr>
          <w:p>
            <w:pPr>
              <w:spacing w:after="0"/>
            </w:pPr>
            <w:r>
              <w:rPr>
                <w:rFonts w:ascii="Arial" w:cs="Arial" w:eastAsia="Arial" w:hAnsi="Arial"/>
                <w:sz w:val="20"/>
                <w:szCs w:val="20"/>
              </w:rPr>
              <w:t xml:space="preserve">Thermal conductivity reduction of 14–16% in 1D (ratchet_full.py). The scaling argument to 2D/3D rests on experimental measurements of real quasicrystals showing glass-like thermal conductivity (established).</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sz="0"/>
              <w:left w:val="none" w:sz="0"/>
              <w:bottom w:val="none" w:sz="0"/>
              <w:right w:val="none" w:sz="0"/>
            </w:tcBorders>
            <w:shd w:fill="E8F5E9" w:val="clear"/>
            <w:tcMar>
              <w:top w:type="dxa" w:w="60"/>
              <w:left w:type="dxa" w:w="100"/>
              <w:bottom w:type="dxa" w:w="60"/>
              <w:right w:type="dxa" w:w="100"/>
            </w:tcMar>
            <w:vAlign w:val="center"/>
          </w:tcPr>
          <w:p>
            <w:r>
              <w:rPr>
                <w:rFonts w:ascii="Arial" w:cs="Arial" w:eastAsia="Arial" w:hAnsi="Arial"/>
                <w:b/>
                <w:bCs/>
                <w:sz w:val="18"/>
                <w:szCs w:val="18"/>
              </w:rPr>
              <w:t xml:space="preserve">PROVED</w:t>
            </w:r>
          </w:p>
        </w:tc>
        <w:tc>
          <w:tcPr>
            <w:tcW w:type="dxa" w:w="7960"/>
            <w:tcBorders>
              <w:top w:val="none" w:sz="0"/>
              <w:left w:val="none" w:sz="0"/>
              <w:bottom w:val="none" w:sz="0"/>
              <w:right w:val="none" w:sz="0"/>
            </w:tcBorders>
            <w:shd w:fill="E8F5E9" w:val="clear"/>
            <w:tcMar>
              <w:top w:type="dxa" w:w="60"/>
              <w:left w:type="dxa" w:w="100"/>
              <w:bottom w:type="dxa" w:w="60"/>
              <w:right w:type="dxa" w:w="100"/>
            </w:tcMar>
          </w:tcPr>
          <w:p>
            <w:pPr>
              <w:spacing w:after="0"/>
            </w:pPr>
            <w:r>
              <w:rPr>
                <w:rFonts w:ascii="Arial" w:cs="Arial" w:eastAsia="Arial" w:hAnsi="Arial"/>
                <w:sz w:val="20"/>
                <w:szCs w:val="20"/>
              </w:rPr>
              <w:t xml:space="preserve">Anomalously low thermal conductivity in icosahedral and decagonal quasicrystals is experimentally established (Takeuchi, Dubois, and others). The PGEC concept (Slack, 1995) is an established materials design framework.</w:t>
            </w:r>
          </w:p>
        </w:tc>
      </w:tr>
    </w:tbl>
    <w:p>
      <w:pPr>
        <w:spacing w:after="80"/>
      </w:pPr>
    </w:p>
    <w:p>
      <w:pPr>
        <w:pStyle w:val="Heading2"/>
      </w:pPr>
      <w:r>
        <w:t xml:space="preserve">6.5 Self-Protection Mechanism</w:t>
      </w:r>
    </w:p>
    <w:p>
      <w:pPr>
        <w:spacing w:after="120"/>
      </w:pPr>
      <w:r>
        <w:t xml:space="preserve">The PGTC principle: the same golden-angle modulation creates topological order in the electronic sector and suppresses thermal transport in the phonon sector. These are not independent properties — they arise from the same structural aperiodicity.</w:t>
      </w:r>
    </w:p>
    <w:p>
      <w:pPr>
        <w:spacing w:after="120"/>
      </w:pPr>
      <w:r>
        <w:t xml:space="preserve">Electrons see a 9.7% hopping modulation — well below the localization threshold. They carry the winding number, support the Majorana modes, propagate coherently.</w:t>
      </w:r>
    </w:p>
    <w:p>
      <w:pPr>
        <w:spacing w:after="120"/>
      </w:pPr>
      <w:r>
        <w:t xml:space="preserve">Phonons see a 19.3% spring modulation — twice as strong due to steeper distance scaling. In 2D/3D quasicrystals, this produces glass-like thermal conductivity. Phonon energy cannot be coherently delivered to SW defect sites, exponentially suppressing defect migration.</w:t>
      </w:r>
    </w:p>
    <w:p>
      <w:pPr>
        <w:spacing w:after="120"/>
      </w:pPr>
      <w:r>
        <w:t xml:space="preserve">The MZMs sit at 5/7 domain walls. Phonons scatter at the same 5/7 interfaces. The walls that host the zero modes are also the walls that kill the vibrations that would destroy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sz="0"/>
              <w:left w:val="none" w:sz="0"/>
              <w:bottom w:val="none" w:sz="0"/>
              <w:right w:val="none" w:sz="0"/>
            </w:tcBorders>
            <w:shd w:fill="FFF3E0" w:val="clear"/>
            <w:tcMar>
              <w:top w:type="dxa" w:w="60"/>
              <w:left w:type="dxa" w:w="100"/>
              <w:bottom w:type="dxa" w:w="60"/>
              <w:right w:type="dxa" w:w="100"/>
            </w:tcMar>
            <w:vAlign w:val="center"/>
          </w:tcPr>
          <w:p>
            <w:r>
              <w:rPr>
                <w:rFonts w:ascii="Arial" w:cs="Arial" w:eastAsia="Arial" w:hAnsi="Arial"/>
                <w:b/>
                <w:bCs/>
                <w:sz w:val="18"/>
                <w:szCs w:val="18"/>
              </w:rPr>
              <w:t xml:space="preserve">DEMONSTRATED</w:t>
            </w:r>
          </w:p>
        </w:tc>
        <w:tc>
          <w:tcPr>
            <w:tcW w:type="dxa" w:w="7960"/>
            <w:tcBorders>
              <w:top w:val="none" w:sz="0"/>
              <w:left w:val="none" w:sz="0"/>
              <w:bottom w:val="none" w:sz="0"/>
              <w:right w:val="none" w:sz="0"/>
            </w:tcBorders>
            <w:shd w:fill="FFF3E0" w:val="clear"/>
            <w:tcMar>
              <w:top w:type="dxa" w:w="60"/>
              <w:left w:type="dxa" w:w="100"/>
              <w:bottom w:type="dxa" w:w="60"/>
              <w:right w:type="dxa" w:w="100"/>
            </w:tcMar>
          </w:tcPr>
          <w:p>
            <w:pPr>
              <w:spacing w:after="0"/>
            </w:pPr>
            <w:r>
              <w:rPr>
                <w:rFonts w:ascii="Arial" w:cs="Arial" w:eastAsia="Arial" w:hAnsi="Arial"/>
                <w:sz w:val="20"/>
                <w:szCs w:val="20"/>
              </w:rPr>
              <w:t xml:space="preserve">In 1D: electrons fully extended, phonon scattering measurable, MZMs present with 5× safety margin. The full self-protection (phonon localization length &lt;&lt; MZM coherence length) requires 2D/3D geometry, consistent with experimental quasicrystal data.</w:t>
            </w:r>
          </w:p>
        </w:tc>
      </w:tr>
    </w:tbl>
    <w:p>
      <w:pPr>
        <w:spacing w:after="80"/>
      </w:pPr>
    </w:p>
    <w:p>
      <w:r>
        <w:br w:type="page"/>
      </w:r>
    </w:p>
    <w:p>
      <w:pPr>
        <w:pStyle w:val="Heading1"/>
      </w:pPr>
      <w:r>
        <w:t xml:space="preserve">7. The Algebraic Ladder and the Tenfold Way</w:t>
      </w:r>
    </w:p>
    <w:p>
      <w:pPr>
        <w:pStyle w:val="Heading2"/>
      </w:pPr>
      <w:r>
        <w:t xml:space="preserve">7.1 The Division Algebra Ladder</w:t>
      </w:r>
    </w:p>
    <w:p>
      <w:pPr>
        <w:spacing w:after="120"/>
      </w:pPr>
      <w:r>
        <w:t xml:space="preserve">The normed division algebras form a descending ladder of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999999" w:sz="1"/>
              <w:left w:val="single" w:color="999999" w:sz="1"/>
              <w:bottom w:val="single" w:color="999999" w:sz="1"/>
              <w:right w:val="single" w:color="999999" w:sz="1"/>
            </w:tcBorders>
            <w:shd w:fill="2C3E50" w:val="clear"/>
            <w:tcMar>
              <w:top w:type="dxa" w:w="60"/>
              <w:left w:type="dxa" w:w="100"/>
              <w:bottom w:type="dxa" w:w="60"/>
              <w:right w:type="dxa" w:w="100"/>
            </w:tcMar>
          </w:tcPr>
          <w:p>
            <w:r>
              <w:rPr>
                <w:b/>
                <w:bCs/>
                <w:color w:val="FFFFFF"/>
                <w:sz w:val="20"/>
                <w:szCs w:val="20"/>
              </w:rPr>
              <w:t xml:space="preserve">This Construction</w:t>
            </w:r>
          </w:p>
        </w:tc>
        <w:tc>
          <w:tcPr>
            <w:tcW w:type="dxa" w:w="4680"/>
            <w:tcBorders>
              <w:top w:val="single" w:color="999999" w:sz="1"/>
              <w:left w:val="single" w:color="999999" w:sz="1"/>
              <w:bottom w:val="single" w:color="999999" w:sz="1"/>
              <w:right w:val="single" w:color="999999" w:sz="1"/>
            </w:tcBorders>
            <w:shd w:fill="2C3E50" w:val="clear"/>
            <w:tcMar>
              <w:top w:type="dxa" w:w="60"/>
              <w:left w:type="dxa" w:w="100"/>
              <w:bottom w:type="dxa" w:w="60"/>
              <w:right w:type="dxa" w:w="100"/>
            </w:tcMar>
          </w:tcPr>
          <w:p>
            <w:r>
              <w:rPr>
                <w:b/>
                <w:bCs/>
                <w:color w:val="FFFFFF"/>
                <w:sz w:val="20"/>
                <w:szCs w:val="20"/>
              </w:rPr>
              <w:t xml:space="preserve">Established Physics / Mathematics</w:t>
            </w:r>
          </w:p>
        </w:tc>
      </w:tr>
      <w:tr>
        <w:tc>
          <w:tcPr>
            <w:tcW w:type="dxa" w:w="468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r>
              <w:rPr>
                <w:b/>
                <w:bCs/>
                <w:sz w:val="20"/>
                <w:szCs w:val="20"/>
              </w:rPr>
              <w:t xml:space="preserve">Real ℝ</w:t>
            </w:r>
          </w:p>
        </w:tc>
        <w:tc>
          <w:tcPr>
            <w:tcW w:type="dxa" w:w="468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r>
              <w:rPr>
                <w:sz w:val="20"/>
                <w:szCs w:val="20"/>
              </w:rPr>
              <w:t xml:space="preserve">Ordered, commutative, associative — full structure</w:t>
            </w:r>
          </w:p>
        </w:tc>
      </w:tr>
      <w:tr>
        <w:tc>
          <w:tcPr>
            <w:tcW w:type="dxa" w:w="468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b/>
                <w:bCs/>
                <w:sz w:val="20"/>
                <w:szCs w:val="20"/>
              </w:rPr>
              <w:t xml:space="preserve">ℝ → Complex ℂ</w:t>
            </w:r>
          </w:p>
        </w:tc>
        <w:tc>
          <w:tcPr>
            <w:tcW w:type="dxa" w:w="468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sz w:val="20"/>
                <w:szCs w:val="20"/>
              </w:rPr>
              <w:t xml:space="preserve">Lose ordering</w:t>
            </w:r>
          </w:p>
        </w:tc>
      </w:tr>
      <w:tr>
        <w:tc>
          <w:tcPr>
            <w:tcW w:type="dxa" w:w="468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r>
              <w:rPr>
                <w:b/>
                <w:bCs/>
                <w:sz w:val="20"/>
                <w:szCs w:val="20"/>
              </w:rPr>
              <w:t xml:space="preserve">ℂ → Quaternion ℍ</w:t>
            </w:r>
          </w:p>
        </w:tc>
        <w:tc>
          <w:tcPr>
            <w:tcW w:type="dxa" w:w="468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r>
              <w:rPr>
                <w:sz w:val="20"/>
                <w:szCs w:val="20"/>
              </w:rPr>
              <w:t xml:space="preserve">Lose commutativity</w:t>
            </w:r>
          </w:p>
        </w:tc>
      </w:tr>
      <w:tr>
        <w:tc>
          <w:tcPr>
            <w:tcW w:type="dxa" w:w="468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b/>
                <w:bCs/>
                <w:sz w:val="20"/>
                <w:szCs w:val="20"/>
              </w:rPr>
              <w:t xml:space="preserve">ℍ → Octonion 𝕆</w:t>
            </w:r>
          </w:p>
        </w:tc>
        <w:tc>
          <w:tcPr>
            <w:tcW w:type="dxa" w:w="468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sz w:val="20"/>
                <w:szCs w:val="20"/>
              </w:rPr>
              <w:t xml:space="preserve">Lose associativity</w:t>
            </w:r>
          </w:p>
        </w:tc>
      </w:tr>
    </w:tbl>
    <w:p>
      <w:pPr>
        <w:spacing w:after="80"/>
      </w:pPr>
    </w:p>
    <w:p>
      <w:pPr>
        <w:spacing w:after="120"/>
      </w:pPr>
      <w:r>
        <w:t xml:space="preserve">Each loss is irreversible. The Clifford algebras Cl(n,0) repeat with period 8 (Bott periodicity). The Geometry of State repository formalizes Cl(2,0) and Cl(3,0) in Lean 4.</w:t>
      </w:r>
    </w:p>
    <w:p>
      <w:pPr>
        <w:pStyle w:val="Heading2"/>
      </w:pPr>
      <w:r>
        <w:t xml:space="preserve">7.2 The Tenfold Way</w:t>
      </w:r>
    </w:p>
    <w:p>
      <w:pPr>
        <w:spacing w:after="120"/>
      </w:pPr>
      <w:r>
        <w:t xml:space="preserve">The Kitaev chain is AZ symmetry class D: particle-hole symmetry, no time-reversal, no chiral. In d=1, class D has a ℤ/2 invariant — fermion parity. The conditional theorem in RunGDescend.lean: if the 5/7 boundary maps to AI → D, then the wall is topological. The Hamiltonian computation (Section 5.3) provides the antecedent.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sz="0"/>
              <w:left w:val="none" w:sz="0"/>
              <w:bottom w:val="none" w:sz="0"/>
              <w:right w:val="none" w:sz="0"/>
            </w:tcBorders>
            <w:shd w:fill="E8F5E9" w:val="clear"/>
            <w:tcMar>
              <w:top w:type="dxa" w:w="60"/>
              <w:left w:type="dxa" w:w="100"/>
              <w:bottom w:type="dxa" w:w="60"/>
              <w:right w:type="dxa" w:w="100"/>
            </w:tcMar>
            <w:vAlign w:val="center"/>
          </w:tcPr>
          <w:p>
            <w:r>
              <w:rPr>
                <w:rFonts w:ascii="Arial" w:cs="Arial" w:eastAsia="Arial" w:hAnsi="Arial"/>
                <w:b/>
                <w:bCs/>
                <w:sz w:val="18"/>
                <w:szCs w:val="18"/>
              </w:rPr>
              <w:t xml:space="preserve">PROVED</w:t>
            </w:r>
          </w:p>
        </w:tc>
        <w:tc>
          <w:tcPr>
            <w:tcW w:type="dxa" w:w="7960"/>
            <w:tcBorders>
              <w:top w:val="none" w:sz="0"/>
              <w:left w:val="none" w:sz="0"/>
              <w:bottom w:val="none" w:sz="0"/>
              <w:right w:val="none" w:sz="0"/>
            </w:tcBorders>
            <w:shd w:fill="E8F5E9" w:val="clear"/>
            <w:tcMar>
              <w:top w:type="dxa" w:w="60"/>
              <w:left w:type="dxa" w:w="100"/>
              <w:bottom w:type="dxa" w:w="60"/>
              <w:right w:type="dxa" w:w="100"/>
            </w:tcMar>
          </w:tcPr>
          <w:p>
            <w:pPr>
              <w:spacing w:after="0"/>
            </w:pPr>
            <w:r>
              <w:rPr>
                <w:rFonts w:ascii="Arial" w:cs="Arial" w:eastAsia="Arial" w:hAnsi="Arial"/>
                <w:sz w:val="20"/>
                <w:szCs w:val="20"/>
              </w:rPr>
              <w:t xml:space="preserve">The Altland-Zirnbauer classification, Clifford periodicity, and ℤ/2 classification of class D in d=1 are established. Formalized in RunGDescend.lean with rfl proofs.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sz="0"/>
              <w:left w:val="none" w:sz="0"/>
              <w:bottom w:val="none" w:sz="0"/>
              <w:right w:val="none" w:sz="0"/>
            </w:tcBorders>
            <w:shd w:fill="F3E5F5" w:val="clear"/>
            <w:tcMar>
              <w:top w:type="dxa" w:w="60"/>
              <w:left w:type="dxa" w:w="100"/>
              <w:bottom w:type="dxa" w:w="60"/>
              <w:right w:type="dxa" w:w="100"/>
            </w:tcMar>
            <w:vAlign w:val="center"/>
          </w:tcPr>
          <w:p>
            <w:r>
              <w:rPr>
                <w:rFonts w:ascii="Arial" w:cs="Arial" w:eastAsia="Arial" w:hAnsi="Arial"/>
                <w:b/>
                <w:bCs/>
                <w:sz w:val="18"/>
                <w:szCs w:val="18"/>
              </w:rPr>
              <w:t xml:space="preserve">CONJECTURED</w:t>
            </w:r>
          </w:p>
        </w:tc>
        <w:tc>
          <w:tcPr>
            <w:tcW w:type="dxa" w:w="7960"/>
            <w:tcBorders>
              <w:top w:val="none" w:sz="0"/>
              <w:left w:val="none" w:sz="0"/>
              <w:bottom w:val="none" w:sz="0"/>
              <w:right w:val="none" w:sz="0"/>
            </w:tcBorders>
            <w:shd w:fill="F3E5F5" w:val="clear"/>
            <w:tcMar>
              <w:top w:type="dxa" w:w="60"/>
              <w:left w:type="dxa" w:w="100"/>
              <w:bottom w:type="dxa" w:w="60"/>
              <w:right w:type="dxa" w:w="100"/>
            </w:tcMar>
          </w:tcPr>
          <w:p>
            <w:pPr>
              <w:spacing w:after="0"/>
            </w:pPr>
            <w:r>
              <w:rPr>
                <w:rFonts w:ascii="Arial" w:cs="Arial" w:eastAsia="Arial" w:hAnsi="Arial"/>
                <w:sz w:val="20"/>
                <w:szCs w:val="20"/>
              </w:rPr>
              <w:t xml:space="preserve">That the 5/7 curvature boundary constitutes an AI → D class transition in the full AZ sense. The Hamiltonian computation demonstrates the topological phase; the formal symmetry classification is the remaining open step.</w:t>
            </w:r>
          </w:p>
        </w:tc>
      </w:tr>
    </w:tbl>
    <w:p>
      <w:pPr>
        <w:spacing w:after="80"/>
      </w:pPr>
    </w:p>
    <w:p>
      <w:r>
        <w:br w:type="page"/>
      </w:r>
    </w:p>
    <w:p>
      <w:pPr>
        <w:pStyle w:val="Heading1"/>
      </w:pPr>
      <w:r>
        <w:t xml:space="preserve">8. The Winding Number via Cl-HoTT</w:t>
      </w:r>
    </w:p>
    <w:p>
      <w:pPr>
        <w:pStyle w:val="Heading2"/>
      </w:pPr>
      <w:r>
        <w:t xml:space="preserve">8.1 HoTT Foundation</w:t>
      </w:r>
    </w:p>
    <w:p>
      <w:pPr>
        <w:spacing w:after="120"/>
      </w:pPr>
      <w:r>
        <w:t xml:space="preserve">π₁(S¹) ≅ ℤ via Univalence (HoTT Book, 2013). The winding number is the path length in the Cayley graph of ℤ.</w:t>
      </w:r>
    </w:p>
    <w:p>
      <w:pPr>
        <w:pStyle w:val="Heading2"/>
      </w:pPr>
      <w:r>
        <w:t xml:space="preserve">8.2 Clifford Correction</w:t>
      </w:r>
    </w:p>
    <w:p>
      <w:pPr>
        <w:spacing w:after="120"/>
      </w:pPr>
      <w:r>
        <w:t xml:space="preserve">In Cl(2,0), spinors double-cover SO(2): 360° = sign flip, 720° = identity. The winding lives in ½ℤ. Fermion parity (w mod 2) determines MZM occupation: even = paired, odd = unpaired.</w:t>
      </w:r>
    </w:p>
    <w:p>
      <w:pPr>
        <w:pStyle w:val="Heading2"/>
      </w:pPr>
      <w:r>
        <w:t xml:space="preserve">8.3 Golden Angle Dynamics</w:t>
      </w:r>
    </w:p>
    <w:p>
      <w:pPr>
        <w:spacing w:after="120"/>
      </w:pPr>
      <w:r>
        <w:t xml:space="preserve">After n ratchet steps, accumulated rotation = n × 360°/φ². The winding number advances approximately once every φ² ≈ 2.618 clicks — a step function with golden-ratio-spaced discontinuities. Approximate closure at Fibonacci intervals.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sz="0"/>
              <w:left w:val="none" w:sz="0"/>
              <w:bottom w:val="none" w:sz="0"/>
              <w:right w:val="none" w:sz="0"/>
            </w:tcBorders>
            <w:shd w:fill="E8F5E9" w:val="clear"/>
            <w:tcMar>
              <w:top w:type="dxa" w:w="60"/>
              <w:left w:type="dxa" w:w="100"/>
              <w:bottom w:type="dxa" w:w="60"/>
              <w:right w:type="dxa" w:w="100"/>
            </w:tcMar>
            <w:vAlign w:val="center"/>
          </w:tcPr>
          <w:p>
            <w:r>
              <w:rPr>
                <w:rFonts w:ascii="Arial" w:cs="Arial" w:eastAsia="Arial" w:hAnsi="Arial"/>
                <w:b/>
                <w:bCs/>
                <w:sz w:val="18"/>
                <w:szCs w:val="18"/>
              </w:rPr>
              <w:t xml:space="preserve">PROVED</w:t>
            </w:r>
          </w:p>
        </w:tc>
        <w:tc>
          <w:tcPr>
            <w:tcW w:type="dxa" w:w="7960"/>
            <w:tcBorders>
              <w:top w:val="none" w:sz="0"/>
              <w:left w:val="none" w:sz="0"/>
              <w:bottom w:val="none" w:sz="0"/>
              <w:right w:val="none" w:sz="0"/>
            </w:tcBorders>
            <w:shd w:fill="E8F5E9" w:val="clear"/>
            <w:tcMar>
              <w:top w:type="dxa" w:w="60"/>
              <w:left w:type="dxa" w:w="100"/>
              <w:bottom w:type="dxa" w:w="60"/>
              <w:right w:type="dxa" w:w="100"/>
            </w:tcMar>
          </w:tcPr>
          <w:p>
            <w:pPr>
              <w:spacing w:after="0"/>
            </w:pPr>
            <w:r>
              <w:rPr>
                <w:rFonts w:ascii="Arial" w:cs="Arial" w:eastAsia="Arial" w:hAnsi="Arial"/>
                <w:sz w:val="20"/>
                <w:szCs w:val="20"/>
              </w:rPr>
              <w:t xml:space="preserve">Spinor double cover, fermion parity ℤ/2 grading, Fibonacci approximant convergence, and π₁(S¹) ≅ ℤ via HoTT are all established.</w:t>
            </w:r>
          </w:p>
        </w:tc>
      </w:tr>
    </w:tbl>
    <w:p>
      <w:pPr>
        <w:spacing w:after="80"/>
      </w:pPr>
    </w:p>
    <w:p>
      <w:r>
        <w:br w:type="page"/>
      </w:r>
    </w:p>
    <w:p>
      <w:pPr>
        <w:pStyle w:val="Heading1"/>
      </w:pPr>
      <w:r>
        <w:t xml:space="preserve">9. Unified Summary</w:t>
      </w:r>
    </w:p>
    <w:p>
      <w:pPr>
        <w:pStyle w:val="Heading2"/>
      </w:pPr>
      <w:r>
        <w:t xml:space="preserve">9.1 The Full Construction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100"/>
        <w:gridCol w:w="1600"/>
        <w:gridCol w:w="5260"/>
      </w:tblGrid>
      <w:tr>
        <w:tc>
          <w:tcPr>
            <w:tcW w:type="dxa" w:w="400"/>
            <w:tcBorders>
              <w:top w:val="single" w:color="999999" w:sz="1"/>
              <w:left w:val="single" w:color="999999" w:sz="1"/>
              <w:bottom w:val="single" w:color="999999" w:sz="1"/>
              <w:right w:val="single" w:color="999999" w:sz="1"/>
            </w:tcBorders>
            <w:shd w:fill="2C3E50" w:val="clear"/>
            <w:tcMar>
              <w:top w:type="dxa" w:w="60"/>
              <w:left w:type="dxa" w:w="100"/>
              <w:bottom w:type="dxa" w:w="60"/>
              <w:right w:type="dxa" w:w="100"/>
            </w:tcMar>
          </w:tcPr>
          <w:p>
            <w:r>
              <w:rPr>
                <w:b/>
                <w:bCs/>
                <w:color w:val="FFFFFF"/>
                <w:sz w:val="18"/>
                <w:szCs w:val="18"/>
              </w:rPr>
              <w:t xml:space="preserve">#</w:t>
            </w:r>
          </w:p>
        </w:tc>
        <w:tc>
          <w:tcPr>
            <w:tcW w:type="dxa" w:w="2100"/>
            <w:tcBorders>
              <w:top w:val="single" w:color="999999" w:sz="1"/>
              <w:left w:val="single" w:color="999999" w:sz="1"/>
              <w:bottom w:val="single" w:color="999999" w:sz="1"/>
              <w:right w:val="single" w:color="999999" w:sz="1"/>
            </w:tcBorders>
            <w:shd w:fill="2C3E50" w:val="clear"/>
            <w:tcMar>
              <w:top w:type="dxa" w:w="60"/>
              <w:left w:type="dxa" w:w="100"/>
              <w:bottom w:type="dxa" w:w="60"/>
              <w:right w:type="dxa" w:w="100"/>
            </w:tcMar>
          </w:tcPr>
          <w:p>
            <w:r>
              <w:rPr>
                <w:b/>
                <w:bCs/>
                <w:color w:val="FFFFFF"/>
                <w:sz w:val="18"/>
                <w:szCs w:val="18"/>
              </w:rPr>
              <w:t xml:space="preserve">Layer</w:t>
            </w:r>
          </w:p>
        </w:tc>
        <w:tc>
          <w:tcPr>
            <w:tcW w:type="dxa" w:w="1600"/>
            <w:tcBorders>
              <w:top w:val="single" w:color="999999" w:sz="1"/>
              <w:left w:val="single" w:color="999999" w:sz="1"/>
              <w:bottom w:val="single" w:color="999999" w:sz="1"/>
              <w:right w:val="single" w:color="999999" w:sz="1"/>
            </w:tcBorders>
            <w:shd w:fill="2C3E50" w:val="clear"/>
            <w:tcMar>
              <w:top w:type="dxa" w:w="60"/>
              <w:left w:type="dxa" w:w="100"/>
              <w:bottom w:type="dxa" w:w="60"/>
              <w:right w:type="dxa" w:w="100"/>
            </w:tcMar>
          </w:tcPr>
          <w:p>
            <w:r>
              <w:rPr>
                <w:b/>
                <w:bCs/>
                <w:color w:val="FFFFFF"/>
                <w:sz w:val="18"/>
                <w:szCs w:val="18"/>
              </w:rPr>
              <w:t xml:space="preserve">Status</w:t>
            </w:r>
          </w:p>
        </w:tc>
        <w:tc>
          <w:tcPr>
            <w:tcW w:type="dxa" w:w="5260"/>
            <w:tcBorders>
              <w:top w:val="single" w:color="999999" w:sz="1"/>
              <w:left w:val="single" w:color="999999" w:sz="1"/>
              <w:bottom w:val="single" w:color="999999" w:sz="1"/>
              <w:right w:val="single" w:color="999999" w:sz="1"/>
            </w:tcBorders>
            <w:shd w:fill="2C3E50" w:val="clear"/>
            <w:tcMar>
              <w:top w:type="dxa" w:w="60"/>
              <w:left w:type="dxa" w:w="100"/>
              <w:bottom w:type="dxa" w:w="60"/>
              <w:right w:type="dxa" w:w="100"/>
            </w:tcMar>
          </w:tcPr>
          <w:p>
            <w:r>
              <w:rPr>
                <w:b/>
                <w:bCs/>
                <w:color w:val="FFFFFF"/>
                <w:sz w:val="18"/>
                <w:szCs w:val="18"/>
              </w:rPr>
              <w:t xml:space="preserve">Description</w:t>
            </w:r>
          </w:p>
        </w:tc>
      </w:tr>
      <w:tr>
        <w:tc>
          <w:tcPr>
            <w:tcW w:type="dxa" w:w="40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r>
              <w:rPr>
                <w:b/>
                <w:bCs/>
                <w:sz w:val="18"/>
                <w:szCs w:val="18"/>
              </w:rPr>
              <w:t xml:space="preserve">1</w:t>
            </w:r>
          </w:p>
        </w:tc>
        <w:tc>
          <w:tcPr>
            <w:tcW w:type="dxa" w:w="210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r>
              <w:rPr>
                <w:b/>
                <w:bCs/>
                <w:sz w:val="18"/>
                <w:szCs w:val="18"/>
              </w:rPr>
              <w:t xml:space="preserve">GOLDEN ANGLE SCREW</w:t>
            </w:r>
          </w:p>
        </w:tc>
        <w:tc>
          <w:tcPr>
            <w:tcW w:type="dxa" w:w="160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r>
              <w:rPr>
                <w:b w:val="false"/>
                <w:bCs w:val="false"/>
                <w:sz w:val="18"/>
                <w:szCs w:val="18"/>
              </w:rPr>
              <w:t xml:space="preserve">PROVED</w:t>
            </w:r>
          </w:p>
        </w:tc>
        <w:tc>
          <w:tcPr>
            <w:tcW w:type="dxa" w:w="526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r>
              <w:rPr>
                <w:b w:val="false"/>
                <w:bCs w:val="false"/>
                <w:sz w:val="18"/>
                <w:szCs w:val="18"/>
              </w:rPr>
              <w:t xml:space="preserve">Doubly quasiperiodic helical path, θg ≈ 137.5°</w:t>
            </w:r>
          </w:p>
        </w:tc>
      </w:tr>
      <w:tr>
        <w:tc>
          <w:tcPr>
            <w:tcW w:type="dxa" w:w="4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b/>
                <w:bCs/>
                <w:sz w:val="18"/>
                <w:szCs w:val="18"/>
              </w:rPr>
              <w:t xml:space="preserve">2</w:t>
            </w:r>
          </w:p>
        </w:tc>
        <w:tc>
          <w:tcPr>
            <w:tcW w:type="dxa" w:w="21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b/>
                <w:bCs/>
                <w:sz w:val="18"/>
                <w:szCs w:val="18"/>
              </w:rPr>
              <w:t xml:space="preserve">PENROSE P3 SUBSTRATE</w:t>
            </w:r>
          </w:p>
        </w:tc>
        <w:tc>
          <w:tcPr>
            <w:tcW w:type="dxa" w:w="1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b w:val="false"/>
                <w:bCs w:val="false"/>
                <w:sz w:val="18"/>
                <w:szCs w:val="18"/>
              </w:rPr>
              <w:t xml:space="preserve">PROVED</w:t>
            </w:r>
          </w:p>
        </w:tc>
        <w:tc>
          <w:tcPr>
            <w:tcW w:type="dxa" w:w="52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b w:val="false"/>
                <w:bCs w:val="false"/>
                <w:sz w:val="18"/>
                <w:szCs w:val="18"/>
              </w:rPr>
              <w:t xml:space="preserve">φ-native tiling with 5/7 curvature operators</w:t>
            </w:r>
          </w:p>
        </w:tc>
      </w:tr>
      <w:tr>
        <w:tc>
          <w:tcPr>
            <w:tcW w:type="dxa" w:w="40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r>
              <w:rPr>
                <w:b/>
                <w:bCs/>
                <w:sz w:val="18"/>
                <w:szCs w:val="18"/>
              </w:rPr>
              <w:t xml:space="preserve">3</w:t>
            </w:r>
          </w:p>
        </w:tc>
        <w:tc>
          <w:tcPr>
            <w:tcW w:type="dxa" w:w="210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r>
              <w:rPr>
                <w:b/>
                <w:bCs/>
                <w:sz w:val="18"/>
                <w:szCs w:val="18"/>
              </w:rPr>
              <w:t xml:space="preserve">SW DEFECT BUCKLING</w:t>
            </w:r>
          </w:p>
        </w:tc>
        <w:tc>
          <w:tcPr>
            <w:tcW w:type="dxa" w:w="160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r>
              <w:rPr>
                <w:b w:val="false"/>
                <w:bCs w:val="false"/>
                <w:sz w:val="18"/>
                <w:szCs w:val="18"/>
              </w:rPr>
              <w:t xml:space="preserve">PROVED</w:t>
            </w:r>
          </w:p>
        </w:tc>
        <w:tc>
          <w:tcPr>
            <w:tcW w:type="dxa" w:w="526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r>
              <w:rPr>
                <w:b w:val="false"/>
                <w:bCs w:val="false"/>
                <w:sz w:val="18"/>
                <w:szCs w:val="18"/>
              </w:rPr>
              <w:t xml:space="preserve">Dynamic corrugated non-Euclidean surface</w:t>
            </w:r>
          </w:p>
        </w:tc>
      </w:tr>
      <w:tr>
        <w:tc>
          <w:tcPr>
            <w:tcW w:type="dxa" w:w="4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b/>
                <w:bCs/>
                <w:sz w:val="18"/>
                <w:szCs w:val="18"/>
              </w:rPr>
              <w:t xml:space="preserve">4</w:t>
            </w:r>
          </w:p>
        </w:tc>
        <w:tc>
          <w:tcPr>
            <w:tcW w:type="dxa" w:w="21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b/>
                <w:bCs/>
                <w:sz w:val="18"/>
                <w:szCs w:val="18"/>
              </w:rPr>
              <w:t xml:space="preserve">5/7 GRINDING RATCHET</w:t>
            </w:r>
          </w:p>
        </w:tc>
        <w:tc>
          <w:tcPr>
            <w:tcW w:type="dxa" w:w="1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b w:val="false"/>
                <w:bCs w:val="false"/>
                <w:sz w:val="18"/>
                <w:szCs w:val="18"/>
              </w:rPr>
              <w:t xml:space="preserve">DEMONSTRATED</w:t>
            </w:r>
          </w:p>
        </w:tc>
        <w:tc>
          <w:tcPr>
            <w:tcW w:type="dxa" w:w="52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b w:val="false"/>
                <w:bCs w:val="false"/>
                <w:sz w:val="18"/>
                <w:szCs w:val="18"/>
              </w:rPr>
              <w:t xml:space="preserve">Broken time-reversal via coprime incompatibility</w:t>
            </w:r>
          </w:p>
        </w:tc>
      </w:tr>
      <w:tr>
        <w:tc>
          <w:tcPr>
            <w:tcW w:type="dxa" w:w="40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r>
              <w:rPr>
                <w:b/>
                <w:bCs/>
                <w:sz w:val="18"/>
                <w:szCs w:val="18"/>
              </w:rPr>
              <w:t xml:space="preserve">5</w:t>
            </w:r>
          </w:p>
        </w:tc>
        <w:tc>
          <w:tcPr>
            <w:tcW w:type="dxa" w:w="210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r>
              <w:rPr>
                <w:b/>
                <w:bCs/>
                <w:sz w:val="18"/>
                <w:szCs w:val="18"/>
              </w:rPr>
              <w:t xml:space="preserve">HAMILTONIAN BRIDGE</w:t>
            </w:r>
          </w:p>
        </w:tc>
        <w:tc>
          <w:tcPr>
            <w:tcW w:type="dxa" w:w="160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r>
              <w:rPr>
                <w:b w:val="false"/>
                <w:bCs w:val="false"/>
                <w:sz w:val="18"/>
                <w:szCs w:val="18"/>
              </w:rPr>
              <w:t xml:space="preserve">DEMONSTRATED</w:t>
            </w:r>
          </w:p>
        </w:tc>
        <w:tc>
          <w:tcPr>
            <w:tcW w:type="dxa" w:w="526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r>
              <w:rPr>
                <w:b w:val="false"/>
                <w:bCs w:val="false"/>
                <w:sz w:val="18"/>
                <w:szCs w:val="18"/>
              </w:rPr>
              <w:t xml:space="preserve">BdG on screw path: w = 1, two MZMs, 99.7% edge-localized</w:t>
            </w:r>
          </w:p>
        </w:tc>
      </w:tr>
      <w:tr>
        <w:tc>
          <w:tcPr>
            <w:tcW w:type="dxa" w:w="4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b/>
                <w:bCs/>
                <w:sz w:val="18"/>
                <w:szCs w:val="18"/>
              </w:rPr>
              <w:t xml:space="preserve">6</w:t>
            </w:r>
          </w:p>
        </w:tc>
        <w:tc>
          <w:tcPr>
            <w:tcW w:type="dxa" w:w="21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b/>
                <w:bCs/>
                <w:sz w:val="18"/>
                <w:szCs w:val="18"/>
              </w:rPr>
              <w:t xml:space="preserve">PHONON GLASS</w:t>
            </w:r>
          </w:p>
        </w:tc>
        <w:tc>
          <w:tcPr>
            <w:tcW w:type="dxa" w:w="1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b w:val="false"/>
                <w:bCs w:val="false"/>
                <w:sz w:val="18"/>
                <w:szCs w:val="18"/>
              </w:rPr>
              <w:t xml:space="preserve">DEMONSTRATED</w:t>
            </w:r>
          </w:p>
        </w:tc>
        <w:tc>
          <w:tcPr>
            <w:tcW w:type="dxa" w:w="52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b w:val="false"/>
                <w:bCs w:val="false"/>
                <w:sz w:val="18"/>
                <w:szCs w:val="18"/>
              </w:rPr>
              <w:t xml:space="preserve">κ reduced 14–16% (1D); glass-like in 2D/3D quasicrystals (experimental)</w:t>
            </w:r>
          </w:p>
        </w:tc>
      </w:tr>
      <w:tr>
        <w:tc>
          <w:tcPr>
            <w:tcW w:type="dxa" w:w="40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r>
              <w:rPr>
                <w:b/>
                <w:bCs/>
                <w:sz w:val="18"/>
                <w:szCs w:val="18"/>
              </w:rPr>
              <w:t xml:space="preserve">7</w:t>
            </w:r>
          </w:p>
        </w:tc>
        <w:tc>
          <w:tcPr>
            <w:tcW w:type="dxa" w:w="210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r>
              <w:rPr>
                <w:b/>
                <w:bCs/>
                <w:sz w:val="18"/>
                <w:szCs w:val="18"/>
              </w:rPr>
              <w:t xml:space="preserve">ALGEBRAIC LADDER</w:t>
            </w:r>
          </w:p>
        </w:tc>
        <w:tc>
          <w:tcPr>
            <w:tcW w:type="dxa" w:w="160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r>
              <w:rPr>
                <w:b w:val="false"/>
                <w:bCs w:val="false"/>
                <w:sz w:val="18"/>
                <w:szCs w:val="18"/>
              </w:rPr>
              <w:t xml:space="preserve">PROVED + CONJ</w:t>
            </w:r>
          </w:p>
        </w:tc>
        <w:tc>
          <w:tcPr>
            <w:tcW w:type="dxa" w:w="526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r>
              <w:rPr>
                <w:b w:val="false"/>
                <w:bCs w:val="false"/>
                <w:sz w:val="18"/>
                <w:szCs w:val="18"/>
              </w:rPr>
              <w:t xml:space="preserve">AZ classification via Clifford periodicity; AI→D mapping open</w:t>
            </w:r>
          </w:p>
        </w:tc>
      </w:tr>
      <w:tr>
        <w:tc>
          <w:tcPr>
            <w:tcW w:type="dxa" w:w="4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b/>
                <w:bCs/>
                <w:sz w:val="18"/>
                <w:szCs w:val="18"/>
              </w:rPr>
              <w:t xml:space="preserve">8</w:t>
            </w:r>
          </w:p>
        </w:tc>
        <w:tc>
          <w:tcPr>
            <w:tcW w:type="dxa" w:w="21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b/>
                <w:bCs/>
                <w:sz w:val="18"/>
                <w:szCs w:val="18"/>
              </w:rPr>
              <w:t xml:space="preserve">WINDING NUMBER</w:t>
            </w:r>
          </w:p>
        </w:tc>
        <w:tc>
          <w:tcPr>
            <w:tcW w:type="dxa" w:w="1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b w:val="false"/>
                <w:bCs w:val="false"/>
                <w:sz w:val="18"/>
                <w:szCs w:val="18"/>
              </w:rPr>
              <w:t xml:space="preserve">PROVED</w:t>
            </w:r>
          </w:p>
        </w:tc>
        <w:tc>
          <w:tcPr>
            <w:tcW w:type="dxa" w:w="52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b w:val="false"/>
                <w:bCs w:val="false"/>
                <w:sz w:val="18"/>
                <w:szCs w:val="18"/>
              </w:rPr>
              <w:t xml:space="preserve">w ∈ ½ℤ, fermion parity clock, Fibonacci approximate closure</w:t>
            </w:r>
          </w:p>
        </w:tc>
      </w:tr>
      <w:tr>
        <w:tc>
          <w:tcPr>
            <w:tcW w:type="dxa" w:w="40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r>
              <w:rPr>
                <w:b/>
                <w:bCs/>
                <w:sz w:val="18"/>
                <w:szCs w:val="18"/>
              </w:rPr>
              <w:t xml:space="preserve">9</w:t>
            </w:r>
          </w:p>
        </w:tc>
        <w:tc>
          <w:tcPr>
            <w:tcW w:type="dxa" w:w="210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r>
              <w:rPr>
                <w:b/>
                <w:bCs/>
                <w:sz w:val="18"/>
                <w:szCs w:val="18"/>
              </w:rPr>
              <w:t xml:space="preserve">SELF-PROTECTION</w:t>
            </w:r>
          </w:p>
        </w:tc>
        <w:tc>
          <w:tcPr>
            <w:tcW w:type="dxa" w:w="160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r>
              <w:rPr>
                <w:b w:val="false"/>
                <w:bCs w:val="false"/>
                <w:sz w:val="18"/>
                <w:szCs w:val="18"/>
              </w:rPr>
              <w:t xml:space="preserve">DEMONSTRATED</w:t>
            </w:r>
          </w:p>
        </w:tc>
        <w:tc>
          <w:tcPr>
            <w:tcW w:type="dxa" w:w="526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r>
              <w:rPr>
                <w:b w:val="false"/>
                <w:bCs w:val="false"/>
                <w:sz w:val="18"/>
                <w:szCs w:val="18"/>
              </w:rPr>
              <w:t xml:space="preserve">Same modulation: electrons extended, phonons scattered</w:t>
            </w:r>
          </w:p>
        </w:tc>
      </w:tr>
    </w:tbl>
    <w:p>
      <w:pPr>
        <w:spacing w:after="80"/>
      </w:pPr>
    </w:p>
    <w:p>
      <w:pPr>
        <w:spacing w:after="120"/>
      </w:pPr>
      <w:r>
        <w:rPr>
          <w:i/>
          <w:iCs/>
        </w:rPr>
        <w:t xml:space="preserve">Row 5 was the central gap in v1–v2. It is now computationally filled. Row 6 is the new contribution of v3.</w:t>
      </w:r>
    </w:p>
    <w:p>
      <w:pPr>
        <w:spacing w:after="80"/>
      </w:pPr>
    </w:p>
    <w:p>
      <w:pPr>
        <w:pStyle w:val="Heading2"/>
      </w:pPr>
      <w:r>
        <w:t xml:space="preserve">9.2 Open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sz="0"/>
              <w:left w:val="none" w:sz="0"/>
              <w:bottom w:val="none" w:sz="0"/>
              <w:right w:val="none" w:sz="0"/>
            </w:tcBorders>
            <w:shd w:fill="F3E5F5" w:val="clear"/>
            <w:tcMar>
              <w:top w:type="dxa" w:w="60"/>
              <w:left w:type="dxa" w:w="100"/>
              <w:bottom w:type="dxa" w:w="60"/>
              <w:right w:type="dxa" w:w="100"/>
            </w:tcMar>
            <w:vAlign w:val="center"/>
          </w:tcPr>
          <w:p>
            <w:r>
              <w:rPr>
                <w:rFonts w:ascii="Arial" w:cs="Arial" w:eastAsia="Arial" w:hAnsi="Arial"/>
                <w:b/>
                <w:bCs/>
                <w:sz w:val="18"/>
                <w:szCs w:val="18"/>
              </w:rPr>
              <w:t xml:space="preserve">CONJECTURED</w:t>
            </w:r>
          </w:p>
        </w:tc>
        <w:tc>
          <w:tcPr>
            <w:tcW w:type="dxa" w:w="7960"/>
            <w:tcBorders>
              <w:top w:val="none" w:sz="0"/>
              <w:left w:val="none" w:sz="0"/>
              <w:bottom w:val="none" w:sz="0"/>
              <w:right w:val="none" w:sz="0"/>
            </w:tcBorders>
            <w:shd w:fill="F3E5F5" w:val="clear"/>
            <w:tcMar>
              <w:top w:type="dxa" w:w="60"/>
              <w:left w:type="dxa" w:w="100"/>
              <w:bottom w:type="dxa" w:w="60"/>
              <w:right w:type="dxa" w:w="100"/>
            </w:tcMar>
          </w:tcPr>
          <w:p>
            <w:pPr>
              <w:spacing w:after="0"/>
            </w:pPr>
            <w:r>
              <w:rPr>
                <w:rFonts w:ascii="Arial" w:cs="Arial" w:eastAsia="Arial" w:hAnsi="Arial"/>
                <w:sz w:val="20"/>
                <w:szCs w:val="20"/>
              </w:rPr>
              <w:t xml:space="preserve">Q1. AZ classification: Does the 5/7 boundary formally map to an AI → D symmetry class transition? The conditional theorem is proved (RunGDescend.lean); the full symmetry analysis remains open.</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sz="0"/>
              <w:left w:val="none" w:sz="0"/>
              <w:bottom w:val="none" w:sz="0"/>
              <w:right w:val="none" w:sz="0"/>
            </w:tcBorders>
            <w:shd w:fill="F3E5F5" w:val="clear"/>
            <w:tcMar>
              <w:top w:type="dxa" w:w="60"/>
              <w:left w:type="dxa" w:w="100"/>
              <w:bottom w:type="dxa" w:w="60"/>
              <w:right w:type="dxa" w:w="100"/>
            </w:tcMar>
            <w:vAlign w:val="center"/>
          </w:tcPr>
          <w:p>
            <w:r>
              <w:rPr>
                <w:rFonts w:ascii="Arial" w:cs="Arial" w:eastAsia="Arial" w:hAnsi="Arial"/>
                <w:b/>
                <w:bCs/>
                <w:sz w:val="18"/>
                <w:szCs w:val="18"/>
              </w:rPr>
              <w:t xml:space="preserve">CONJECTURED</w:t>
            </w:r>
          </w:p>
        </w:tc>
        <w:tc>
          <w:tcPr>
            <w:tcW w:type="dxa" w:w="7960"/>
            <w:tcBorders>
              <w:top w:val="none" w:sz="0"/>
              <w:left w:val="none" w:sz="0"/>
              <w:bottom w:val="none" w:sz="0"/>
              <w:right w:val="none" w:sz="0"/>
            </w:tcBorders>
            <w:shd w:fill="F3E5F5" w:val="clear"/>
            <w:tcMar>
              <w:top w:type="dxa" w:w="60"/>
              <w:left w:type="dxa" w:w="100"/>
              <w:bottom w:type="dxa" w:w="60"/>
              <w:right w:type="dxa" w:w="100"/>
            </w:tcMar>
          </w:tcPr>
          <w:p>
            <w:pPr>
              <w:spacing w:after="0"/>
            </w:pPr>
            <w:r>
              <w:rPr>
                <w:rFonts w:ascii="Arial" w:cs="Arial" w:eastAsia="Arial" w:hAnsi="Arial"/>
                <w:sz w:val="20"/>
                <w:szCs w:val="20"/>
              </w:rPr>
              <w:t xml:space="preserve">Q2. 2D phonon glass: Does a 2D quasiperiodic lattice show phonon localization length shorter than MZM coherence length? The 1D result shows onset; 2D requires a dynamical matrix on a patch rather than a chain.</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sz="0"/>
              <w:left w:val="none" w:sz="0"/>
              <w:bottom w:val="none" w:sz="0"/>
              <w:right w:val="none" w:sz="0"/>
            </w:tcBorders>
            <w:shd w:fill="FBE9E7" w:val="clear"/>
            <w:tcMar>
              <w:top w:type="dxa" w:w="60"/>
              <w:left w:type="dxa" w:w="100"/>
              <w:bottom w:type="dxa" w:w="60"/>
              <w:right w:type="dxa" w:w="100"/>
            </w:tcMar>
            <w:vAlign w:val="center"/>
          </w:tcPr>
          <w:p>
            <w:r>
              <w:rPr>
                <w:rFonts w:ascii="Arial" w:cs="Arial" w:eastAsia="Arial" w:hAnsi="Arial"/>
                <w:b/>
                <w:bCs/>
                <w:sz w:val="18"/>
                <w:szCs w:val="18"/>
              </w:rPr>
              <w:t xml:space="preserve">SPECULATIVE</w:t>
            </w:r>
          </w:p>
        </w:tc>
        <w:tc>
          <w:tcPr>
            <w:tcW w:type="dxa" w:w="7960"/>
            <w:tcBorders>
              <w:top w:val="none" w:sz="0"/>
              <w:left w:val="none" w:sz="0"/>
              <w:bottom w:val="none" w:sz="0"/>
              <w:right w:val="none" w:sz="0"/>
            </w:tcBorders>
            <w:shd w:fill="FBE9E7" w:val="clear"/>
            <w:tcMar>
              <w:top w:type="dxa" w:w="60"/>
              <w:left w:type="dxa" w:w="100"/>
              <w:bottom w:type="dxa" w:w="60"/>
              <w:right w:type="dxa" w:w="100"/>
            </w:tcMar>
          </w:tcPr>
          <w:p>
            <w:pPr>
              <w:spacing w:after="0"/>
            </w:pPr>
            <w:r>
              <w:rPr>
                <w:rFonts w:ascii="Arial" w:cs="Arial" w:eastAsia="Arial" w:hAnsi="Arial"/>
                <w:sz w:val="20"/>
                <w:szCs w:val="20"/>
              </w:rPr>
              <w:t xml:space="preserve">Q3. Experimental realization: Can a superconducting quasicrystalline thin film (e.g. Al-Zn-Mg) be fabricated with the required p-wave pairing and measured for MZM signatures while exploiting the intrinsic phonon glass property?</w:t>
            </w:r>
          </w:p>
        </w:tc>
      </w:tr>
    </w:tbl>
    <w:p>
      <w:pPr>
        <w:spacing w:after="80"/>
      </w:pPr>
    </w:p>
    <w:p>
      <w:pPr>
        <w:pStyle w:val="Heading2"/>
      </w:pPr>
      <w:r>
        <w:t xml:space="preserve">9.3 Nearest Research Domains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999999" w:sz="1"/>
              <w:left w:val="single" w:color="999999" w:sz="1"/>
              <w:bottom w:val="single" w:color="999999" w:sz="1"/>
              <w:right w:val="single" w:color="999999" w:sz="1"/>
            </w:tcBorders>
            <w:shd w:fill="2C3E50" w:val="clear"/>
            <w:tcMar>
              <w:top w:type="dxa" w:w="60"/>
              <w:left w:type="dxa" w:w="100"/>
              <w:bottom w:type="dxa" w:w="60"/>
              <w:right w:type="dxa" w:w="100"/>
            </w:tcMar>
          </w:tcPr>
          <w:p>
            <w:r>
              <w:rPr>
                <w:b/>
                <w:bCs/>
                <w:color w:val="FFFFFF"/>
                <w:sz w:val="20"/>
                <w:szCs w:val="20"/>
              </w:rPr>
              <w:t xml:space="preserve">This Construction</w:t>
            </w:r>
          </w:p>
        </w:tc>
        <w:tc>
          <w:tcPr>
            <w:tcW w:type="dxa" w:w="4680"/>
            <w:tcBorders>
              <w:top w:val="single" w:color="999999" w:sz="1"/>
              <w:left w:val="single" w:color="999999" w:sz="1"/>
              <w:bottom w:val="single" w:color="999999" w:sz="1"/>
              <w:right w:val="single" w:color="999999" w:sz="1"/>
            </w:tcBorders>
            <w:shd w:fill="2C3E50" w:val="clear"/>
            <w:tcMar>
              <w:top w:type="dxa" w:w="60"/>
              <w:left w:type="dxa" w:w="100"/>
              <w:bottom w:type="dxa" w:w="60"/>
              <w:right w:type="dxa" w:w="100"/>
            </w:tcMar>
          </w:tcPr>
          <w:p>
            <w:r>
              <w:rPr>
                <w:b/>
                <w:bCs/>
                <w:color w:val="FFFFFF"/>
                <w:sz w:val="20"/>
                <w:szCs w:val="20"/>
              </w:rPr>
              <w:t xml:space="preserve">Established Physics / Mathematics</w:t>
            </w:r>
          </w:p>
        </w:tc>
      </w:tr>
      <w:tr>
        <w:tc>
          <w:tcPr>
            <w:tcW w:type="dxa" w:w="468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r>
              <w:rPr>
                <w:b/>
                <w:bCs/>
                <w:sz w:val="20"/>
                <w:szCs w:val="20"/>
              </w:rPr>
              <w:t xml:space="preserve">Topological invariant computation</w:t>
            </w:r>
          </w:p>
        </w:tc>
        <w:tc>
          <w:tcPr>
            <w:tcW w:type="dxa" w:w="468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r>
              <w:rPr>
                <w:sz w:val="20"/>
                <w:szCs w:val="20"/>
              </w:rPr>
              <w:t xml:space="preserve">Discrete differential geometry (Bobenko, Schröder)</w:t>
            </w:r>
          </w:p>
        </w:tc>
      </w:tr>
      <w:tr>
        <w:tc>
          <w:tcPr>
            <w:tcW w:type="dxa" w:w="468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b/>
                <w:bCs/>
                <w:sz w:val="20"/>
                <w:szCs w:val="20"/>
              </w:rPr>
              <w:t xml:space="preserve">Quasicrystal thermal transport</w:t>
            </w:r>
          </w:p>
        </w:tc>
        <w:tc>
          <w:tcPr>
            <w:tcW w:type="dxa" w:w="468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sz w:val="20"/>
                <w:szCs w:val="20"/>
              </w:rPr>
              <w:t xml:space="preserve">Takeuchi, Dubois: measured κ in icosahedral/decagonal QC</w:t>
            </w:r>
          </w:p>
        </w:tc>
      </w:tr>
      <w:tr>
        <w:tc>
          <w:tcPr>
            <w:tcW w:type="dxa" w:w="468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r>
              <w:rPr>
                <w:b/>
                <w:bCs/>
                <w:sz w:val="20"/>
                <w:szCs w:val="20"/>
              </w:rPr>
              <w:t xml:space="preserve">PGEC materials design</w:t>
            </w:r>
          </w:p>
        </w:tc>
        <w:tc>
          <w:tcPr>
            <w:tcW w:type="dxa" w:w="468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r>
              <w:rPr>
                <w:sz w:val="20"/>
                <w:szCs w:val="20"/>
              </w:rPr>
              <w:t xml:space="preserve">Slack (1995), thermoelectrics community</w:t>
            </w:r>
          </w:p>
        </w:tc>
      </w:tr>
      <w:tr>
        <w:tc>
          <w:tcPr>
            <w:tcW w:type="dxa" w:w="468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b/>
                <w:bCs/>
                <w:sz w:val="20"/>
                <w:szCs w:val="20"/>
              </w:rPr>
              <w:t xml:space="preserve">Amorphous topological phases</w:t>
            </w:r>
          </w:p>
        </w:tc>
        <w:tc>
          <w:tcPr>
            <w:tcW w:type="dxa" w:w="468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sz w:val="20"/>
                <w:szCs w:val="20"/>
              </w:rPr>
              <w:t xml:space="preserve">Agarwala and Shenoy: topology without long-range order</w:t>
            </w:r>
          </w:p>
        </w:tc>
      </w:tr>
      <w:tr>
        <w:tc>
          <w:tcPr>
            <w:tcW w:type="dxa" w:w="468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r>
              <w:rPr>
                <w:b/>
                <w:bCs/>
                <w:sz w:val="20"/>
                <w:szCs w:val="20"/>
              </w:rPr>
              <w:t xml:space="preserve">Formal verification of physics</w:t>
            </w:r>
          </w:p>
        </w:tc>
        <w:tc>
          <w:tcPr>
            <w:tcW w:type="dxa" w:w="468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r>
              <w:rPr>
                <w:sz w:val="20"/>
                <w:szCs w:val="20"/>
              </w:rPr>
              <w:t xml:space="preserve">PhysLean: Lean 4 formalization of QM</w:t>
            </w:r>
          </w:p>
        </w:tc>
      </w:tr>
      <w:tr>
        <w:tc>
          <w:tcPr>
            <w:tcW w:type="dxa" w:w="468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b/>
                <w:bCs/>
                <w:sz w:val="20"/>
                <w:szCs w:val="20"/>
              </w:rPr>
              <w:t xml:space="preserve">Tenfold way / Clifford periodicity</w:t>
            </w:r>
          </w:p>
        </w:tc>
        <w:tc>
          <w:tcPr>
            <w:tcW w:type="dxa" w:w="468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sz w:val="20"/>
                <w:szCs w:val="20"/>
              </w:rPr>
              <w:t xml:space="preserve">Kitaev (2009), Ryu et al. (2010)</w:t>
            </w:r>
          </w:p>
        </w:tc>
      </w:tr>
      <w:tr>
        <w:tc>
          <w:tcPr>
            <w:tcW w:type="dxa" w:w="468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r>
              <w:rPr>
                <w:b/>
                <w:bCs/>
                <w:sz w:val="20"/>
                <w:szCs w:val="20"/>
              </w:rPr>
              <w:t xml:space="preserve">Superconducting quasicrystals</w:t>
            </w:r>
          </w:p>
        </w:tc>
        <w:tc>
          <w:tcPr>
            <w:tcW w:type="dxa" w:w="468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r>
              <w:rPr>
                <w:sz w:val="20"/>
                <w:szCs w:val="20"/>
              </w:rPr>
              <w:t xml:space="preserve">Kamiya et al.: SC in Al-Zn-Mg quasicrystals</w:t>
            </w:r>
          </w:p>
        </w:tc>
      </w:tr>
    </w:tbl>
    <w:p>
      <w:pPr>
        <w:spacing w:after="80"/>
      </w:pPr>
    </w:p>
    <w:p>
      <w:r>
        <w:br w:type="page"/>
      </w:r>
    </w:p>
    <w:p>
      <w:pPr>
        <w:pStyle w:val="Heading1"/>
      </w:pPr>
      <w:r>
        <w:t xml:space="preserve">10. Methodological Note</w:t>
      </w:r>
    </w:p>
    <w:p>
      <w:pPr>
        <w:spacing w:after="120"/>
      </w:pPr>
      <w:r>
        <w:t xml:space="preserve">This thesis was developed via AI-assisted geometric reasoning — iterative dialogue with stress-testing at each step. The epistemic tagging discipline is a structural commitment: the boundary between established and novel is explicit at every claim.</w:t>
      </w:r>
    </w:p>
    <w:p>
      <w:pPr>
        <w:spacing w:after="120"/>
      </w:pPr>
      <w:r>
        <w:t xml:space="preserve">Three codebases support the work:</w:t>
      </w:r>
    </w:p>
    <w:p>
      <w:pPr>
        <w:spacing w:after="120"/>
      </w:pPr>
      <w:r>
        <w:rPr>
          <w:b/>
          <w:bCs/>
        </w:rPr>
        <w:t xml:space="preserve">GeometryOfState.lean</w:t>
      </w:r>
      <w:r>
        <w:t xml:space="preserve"> — Cl(2,0) and Cl(3,0) algebras, Kitaev chain, gap condition as proof obligation. Zero sorry, six rfl proofs.</w:t>
      </w:r>
    </w:p>
    <w:p>
      <w:pPr>
        <w:spacing w:after="120"/>
      </w:pPr>
      <w:r>
        <w:rPr>
          <w:b/>
          <w:bCs/>
        </w:rPr>
        <w:t xml:space="preserve">RunGDescend.lean</w:t>
      </w:r>
      <w:r>
        <w:t xml:space="preserve"> — Division algebra ladder, AZ classification, Bott periodicity, conditional theorem: if 5/7 maps to AI→D, then wall is topological. Zero sorry.</w:t>
      </w:r>
    </w:p>
    <w:p>
      <w:pPr>
        <w:spacing w:after="120"/>
      </w:pPr>
      <w:r>
        <w:rPr>
          <w:b/>
          <w:bCs/>
        </w:rPr>
        <w:t xml:space="preserve">ratchet_full.py</w:t>
      </w:r>
      <w:r>
        <w:t xml:space="preserve"> — BdG Hamiltonian on golden-angle modulated chain, dynamical matrix for phonon analysis, dual localization sweep, thermal conductivity proxy. All numerical results reproducible.</w:t>
      </w:r>
    </w:p>
    <w:p>
      <w:pPr>
        <w:spacing w:after="120"/>
      </w:pPr>
      <w:r>
        <w:t xml:space="preserve">The evolution from v1 to v3 is itself a demonstration of the methodology: v1 identified the construction and the gap; v2 characterized the gap as a type error and located it precisely; v3 filled the gap computationally and discovered the phonon glass mechanism as a consequence. Each version is more honest than the last because the epistemic tags force explicit accountability.</w:t>
      </w:r>
    </w:p>
    <w:p>
      <w:pPr>
        <w:spacing w:after="80"/>
      </w:pPr>
    </w:p>
    <w:p>
      <w:pPr>
        <w:spacing w:before="400"/>
        <w:jc w:val="center"/>
      </w:pPr>
      <w:r>
        <w:rPr>
          <w:i/>
          <w:iCs/>
        </w:rPr>
        <w:t xml:space="preserve">— End of Working Thesis v3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Page </w:t>
    </w: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999999"/>
        <w:sz w:val="16"/>
        <w:szCs w:val="16"/>
      </w:rPr>
      <w:t xml:space="preserve">Quasiperiodic Topological Ratchet — Working Thesis v3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237E"/>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28359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2026-03-17T15:46:43.199Z</dcterms:created>
  <dcterms:modified xsi:type="dcterms:W3CDTF">2026-03-17T15:46:43.200Z</dcterms:modified>
</cp:coreProperties>
</file>

<file path=docProps/custom.xml><?xml version="1.0" encoding="utf-8"?>
<Properties xmlns="http://schemas.openxmlformats.org/officeDocument/2006/custom-properties" xmlns:vt="http://schemas.openxmlformats.org/officeDocument/2006/docPropsVTypes"/>
</file>