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Topological Invariants as Dependent Types:</w:t>
      </w:r>
    </w:p>
    <w:p>
      <w:pPr>
        <w:spacing w:after="300"/>
        <w:jc w:val="center"/>
      </w:pPr>
      <w:r>
        <w:rPr>
          <w:rFonts w:ascii="Times New Roman" w:cs="Times New Roman" w:eastAsia="Times New Roman" w:hAnsi="Times New Roman"/>
          <w:b/>
          <w:bCs/>
          <w:sz w:val="32"/>
          <w:szCs w:val="32"/>
        </w:rPr>
        <w:t xml:space="preserve">A Lean 4 Formalization of the Kitaev Chain</w:t>
      </w:r>
    </w:p>
    <w:p>
      <w:pPr>
        <w:spacing w:after="80"/>
        <w:jc w:val="center"/>
      </w:pPr>
      <w:r>
        <w:rPr>
          <w:sz w:val="24"/>
          <w:szCs w:val="24"/>
        </w:rPr>
        <w:t xml:space="preserve">Adrian</w:t>
      </w:r>
    </w:p>
    <w:p>
      <w:pPr>
        <w:spacing w:after="400"/>
        <w:jc w:val="center"/>
      </w:pPr>
      <w:r>
        <w:rPr>
          <w:i/>
          <w:iCs/>
          <w:color w:val="666666"/>
          <w:sz w:val="22"/>
          <w:szCs w:val="22"/>
        </w:rPr>
        <w:t xml:space="preserve">Draft for comment</w:t>
      </w:r>
    </w:p>
    <w:p>
      <w:pPr>
        <w:pStyle w:val="Heading1"/>
      </w:pPr>
      <w:r>
        <w:rPr>
          <w:rFonts w:ascii="Times New Roman" w:cs="Times New Roman" w:eastAsia="Times New Roman" w:hAnsi="Times New Roman"/>
          <w:b/>
          <w:bCs/>
        </w:rPr>
        <w:t xml:space="preserve">Abstract</w:t>
      </w:r>
    </w:p>
    <w:p>
      <w:pPr>
        <w:spacing w:after="120" w:line="360"/>
      </w:pPr>
      <w:r>
        <w:t xml:space="preserve">We present a formalization in Lean 4 of the topological classification of the Kitaev chain, a one-dimensional topological superconductor. The central observation is that the </w:t>
      </w:r>
      <w:r>
        <w:rPr>
          <w:i/>
          <w:iCs/>
        </w:rPr>
        <w:t xml:space="preserve">computability</w:t>
      </w:r>
      <w:r>
        <w:t xml:space="preserve"> of the topological invariant (the winding number) depends on a proof obligation: the system must be gapped. When the spectral gap closes at a phase boundary, the invariant does not diverge or become ill-defined in the classical sense; rather, the proof obligation </w:t>
      </w:r>
      <w:r>
        <w:rPr>
          <w:rFonts w:ascii="Courier New" w:cs="Courier New" w:eastAsia="Courier New" w:hAnsi="Courier New"/>
          <w:sz w:val="20"/>
          <w:szCs w:val="20"/>
        </w:rPr>
        <w:t xml:space="preserve">IsGapped</w:t>
      </w:r>
      <w:r>
        <w:t xml:space="preserve"> becomes undischargeable, and the function computing the winding number becomes </w:t>
      </w:r>
      <w:r>
        <w:rPr>
          <w:i/>
          <w:iCs/>
        </w:rPr>
        <w:t xml:space="preserve">uncallable at the type level</w:t>
      </w:r>
      <w:r>
        <w:t xml:space="preserve">. The phase transition is thus a type error, not a dynamical singularity. We implement this in three layers: an abstract topological layer where the winding number is a dependently typed function, a concrete algebraic layer using Mathlib’s Clifford algebra library for the multiparticle spacetime algebra (MSTA), and a bridge layer connecting the Kitaev chain’s physical parameters to both. The formalization makes explicit the separation between topological (mathematical), dynamical (physical), and computational (engineering) content, and demonstrates that dependent type theory provides a natural language for expressing the gap-protected structure of topological phases of matter.</w:t>
      </w:r>
    </w:p>
    <w:p>
      <w:pPr>
        <w:pStyle w:val="Heading1"/>
      </w:pPr>
      <w:r>
        <w:rPr>
          <w:rFonts w:ascii="Times New Roman" w:cs="Times New Roman" w:eastAsia="Times New Roman" w:hAnsi="Times New Roman"/>
          <w:b/>
          <w:bCs/>
        </w:rPr>
        <w:t xml:space="preserve">1. Introduction</w:t>
      </w:r>
    </w:p>
    <w:p>
      <w:pPr>
        <w:spacing w:after="120" w:line="360"/>
      </w:pPr>
      <w:r>
        <w:t xml:space="preserve">Topological phases of matter are characterized by integer-valued invariants that are robust against continuous perturbations. The paradigmatic example is the Kitaev chain [1], a one-dimensional model of a p-wave superconductor whose topological phase supports Majorana zero modes at its boundaries. The invariant classifying the phase is a winding number W ∈ ℤ, computable from the Bloch Hamiltonian’s map from the Brillouin zone S¹ into the space of gapped Hamiltonians.</w:t>
      </w:r>
    </w:p>
    <w:p>
      <w:pPr>
        <w:spacing w:after="120" w:line="360"/>
      </w:pPr>
      <w:r>
        <w:t xml:space="preserve">A critical feature of this classification is that the invariant is </w:t>
      </w:r>
      <w:r>
        <w:rPr>
          <w:i/>
          <w:iCs/>
        </w:rPr>
        <w:t xml:space="preserve">only defined when the system is gapped</w:t>
      </w:r>
      <w:r>
        <w:t xml:space="preserve">. At the phase boundary, the spectral gap closes, and the winding number ceases to be computable—not because it takes an infinite value, but because the integral defining it becomes singular. The standard mathematical treatment handles this by restricting the domain of the classifying map to gapped Hamiltonians. But this restriction is typically implicit, buried in prose conditions rather than enforced by the mathematical formalism itself.</w:t>
      </w:r>
    </w:p>
    <w:p>
      <w:pPr>
        <w:spacing w:after="120" w:line="360"/>
      </w:pPr>
      <w:r>
        <w:t xml:space="preserve">Dependent type theory offers a language in which this restriction is </w:t>
      </w:r>
      <w:r>
        <w:rPr>
          <w:i/>
          <w:iCs/>
        </w:rPr>
        <w:t xml:space="preserve">intrinsic</w:t>
      </w:r>
      <w:r>
        <w:t xml:space="preserve">. In a dependently typed formalization, the winding number is a function whose type signature includes a proof that the system is gapped. If the gap closes, no proof exists, and the function is uncallable. The phase transition manifests not as a divergence in a computed quantity but as an </w:t>
      </w:r>
      <w:r>
        <w:rPr>
          <w:i/>
          <w:iCs/>
        </w:rPr>
        <w:t xml:space="preserve">obstruction to calling the computing function</w:t>
      </w:r>
      <w:r>
        <w:t xml:space="preserve">—a type error in the formal sense.</w:t>
      </w:r>
    </w:p>
    <w:p>
      <w:pPr>
        <w:spacing w:after="120" w:line="360"/>
      </w:pPr>
      <w:r>
        <w:t xml:space="preserve">This paper presents a Lean 4 formalization implementing this idea for the Kitaev chain. We make three contributions:</w:t>
      </w:r>
    </w:p>
    <w:p>
      <w:pPr>
        <w:spacing w:after="120" w:line="360"/>
        <w:ind w:left="480"/>
      </w:pPr>
      <w:r>
        <w:t xml:space="preserve">(1) An abstract topological layer in which the winding number is a dependently typed function requiring a proof of </w:t>
      </w:r>
      <w:r>
        <w:rPr>
          <w:rFonts w:ascii="Courier New" w:cs="Courier New" w:eastAsia="Courier New" w:hAnsi="Courier New"/>
          <w:sz w:val="20"/>
          <w:szCs w:val="20"/>
        </w:rPr>
        <w:t xml:space="preserve">IsGapped</w:t>
      </w:r>
      <w:r>
        <w:t xml:space="preserve"> as input, with the phase boundary characterized by the </w:t>
      </w:r>
      <w:r>
        <w:rPr>
          <w:i/>
          <w:iCs/>
        </w:rPr>
        <w:t xml:space="preserve">impossibility</w:t>
      </w:r>
      <w:r>
        <w:t xml:space="preserve"> of constructing this proof (Section 3).</w:t>
      </w:r>
    </w:p>
    <w:p>
      <w:pPr>
        <w:spacing w:after="120" w:line="360"/>
        <w:ind w:left="480"/>
      </w:pPr>
      <w:r>
        <w:t xml:space="preserve">(2) A concrete algebraic layer using Mathlib’s </w:t>
      </w:r>
      <w:r>
        <w:rPr>
          <w:rFonts w:ascii="Courier New" w:cs="Courier New" w:eastAsia="Courier New" w:hAnsi="Courier New"/>
          <w:sz w:val="20"/>
          <w:szCs w:val="20"/>
        </w:rPr>
        <w:t xml:space="preserve">CliffordAlgebra</w:t>
      </w:r>
      <w:r>
        <w:t xml:space="preserve"> to construct the multiparticle spacetime algebra (MSTA), providing a rigorous foundation for the Dirac/Majorana gamma matrices and their algebraic relations (Section 4).</w:t>
      </w:r>
    </w:p>
    <w:p>
      <w:pPr>
        <w:spacing w:after="120" w:line="360"/>
        <w:ind w:left="480"/>
      </w:pPr>
      <w:r>
        <w:t xml:space="preserve">(3) A bridge layer connecting the Kitaev chain’s physical parameters (μ, t, Δ) to both layers, proving that the topological phase implies the gap condition and that the phase boundary implies its negation (Section 5).</w:t>
      </w:r>
    </w:p>
    <w:p>
      <w:pPr>
        <w:spacing w:after="120" w:line="360"/>
      </w:pPr>
      <w:r>
        <w:t xml:space="preserve">The formalization compiles in Lean 4 with Mathlib dependencies. All axioms are explicitly labeled as mathematical (provable from standard topology or algebra), physical (encoding empirical content), or bridge (connecting the two). The paper is structured to be readable both as a contribution to formal mathematics and as a case study in the formalization of theoretical physics.</w:t>
      </w:r>
    </w:p>
    <w:p>
      <w:pPr>
        <w:pStyle w:val="Heading1"/>
      </w:pPr>
      <w:r>
        <w:rPr>
          <w:rFonts w:ascii="Times New Roman" w:cs="Times New Roman" w:eastAsia="Times New Roman" w:hAnsi="Times New Roman"/>
          <w:b/>
          <w:bCs/>
        </w:rPr>
        <w:t xml:space="preserve">2. Background</w:t>
      </w:r>
    </w:p>
    <w:p>
      <w:pPr>
        <w:pStyle w:val="Heading2"/>
      </w:pPr>
      <w:r>
        <w:rPr>
          <w:rFonts w:ascii="Times New Roman" w:cs="Times New Roman" w:eastAsia="Times New Roman" w:hAnsi="Times New Roman"/>
          <w:b/>
          <w:bCs/>
        </w:rPr>
        <w:t xml:space="preserve">2.1. The Kitaev Chain</w:t>
      </w:r>
    </w:p>
    <w:p>
      <w:pPr>
        <w:spacing w:after="120" w:line="360"/>
      </w:pPr>
      <w:r>
        <w:t xml:space="preserve">The Kitaev chain [1] is a tight-binding model of N spinless fermions on a one-dimensional lattice with p-wave superconducting pairing. The Hamiltonian is:</w:t>
      </w:r>
    </w:p>
    <w:p>
      <w:pPr>
        <w:spacing w:before="120" w:after="120"/>
        <w:jc w:val="center"/>
      </w:pPr>
      <w:r>
        <w:rPr>
          <w:i/>
          <w:iCs/>
        </w:rPr>
        <w:t xml:space="preserve">H = ∑ [−t(c†ⱼ cⱼ₊₁ + h.c.) − μ c†ⱼ cⱼ + Δ(cⱼ cⱼ₊₁ + h.c.)]</w:t>
      </w:r>
    </w:p>
    <w:p>
      <w:pPr>
        <w:spacing w:after="120" w:line="360"/>
      </w:pPr>
      <w:r>
        <w:t xml:space="preserve">where t is the hopping amplitude, μ the chemical potential, and Δ the superconducting gap. The system is in the topological phase when |μ| &lt; 2t and Δ ≠ 0, supporting Majorana zero modes at the chain’s endpoints. At the phase boundary |μ| = 2t, the bulk gap closes, and the Majorana modes delocalize.</w:t>
      </w:r>
    </w:p>
    <w:p>
      <w:pPr>
        <w:spacing w:after="120" w:line="360"/>
      </w:pPr>
      <w:r>
        <w:t xml:space="preserve">In momentum space, the Bloch Hamiltonian maps the Brillouin zone (a circle S¹) to a two-component vector </w:t>
      </w:r>
      <w:r>
        <w:rPr>
          <w:i/>
          <w:iCs/>
        </w:rPr>
        <w:t xml:space="preserve">h</w:t>
      </w:r>
      <w:r>
        <w:t xml:space="preserve">(k) = (2Δ sin k, −2t cos k − μ). When the system is gapped, </w:t>
      </w:r>
      <w:r>
        <w:rPr>
          <w:i/>
          <w:iCs/>
        </w:rPr>
        <w:t xml:space="preserve">h</w:t>
      </w:r>
      <w:r>
        <w:t xml:space="preserve">(k) ≠ 0 for all k, and the winding number of </w:t>
      </w:r>
      <w:r>
        <w:rPr>
          <w:i/>
          <w:iCs/>
        </w:rPr>
        <w:t xml:space="preserve">h</w:t>
      </w:r>
      <w:r>
        <w:t xml:space="preserve"> around the origin is well-defined and integer-valued. This is the topological invariant.</w:t>
      </w:r>
    </w:p>
    <w:p>
      <w:pPr>
        <w:pStyle w:val="Heading2"/>
      </w:pPr>
      <w:r>
        <w:rPr>
          <w:rFonts w:ascii="Times New Roman" w:cs="Times New Roman" w:eastAsia="Times New Roman" w:hAnsi="Times New Roman"/>
          <w:b/>
          <w:bCs/>
        </w:rPr>
        <w:t xml:space="preserve">2.2. Dependent Type Theory and Lean 4</w:t>
      </w:r>
    </w:p>
    <w:p>
      <w:pPr>
        <w:spacing w:after="120" w:line="360"/>
      </w:pPr>
      <w:r>
        <w:t xml:space="preserve">Lean 4 [2] is a dependently typed programming language and interactive theorem prover based on the Calculus of Inductive Constructions. In a dependently typed system, the </w:t>
      </w:r>
      <w:r>
        <w:rPr>
          <w:i/>
          <w:iCs/>
        </w:rPr>
        <w:t xml:space="preserve">type</w:t>
      </w:r>
      <w:r>
        <w:t xml:space="preserve"> of a term can depend on a </w:t>
      </w:r>
      <w:r>
        <w:rPr>
          <w:i/>
          <w:iCs/>
        </w:rPr>
        <w:t xml:space="preserve">value</w:t>
      </w:r>
      <w:r>
        <w:t xml:space="preserve">. This allows encoding logical propositions as types and proofs as terms: a function of type </w:t>
      </w:r>
      <w:r>
        <w:rPr>
          <w:rFonts w:ascii="Courier New" w:cs="Courier New" w:eastAsia="Courier New" w:hAnsi="Courier New"/>
          <w:sz w:val="20"/>
          <w:szCs w:val="20"/>
        </w:rPr>
        <w:t xml:space="preserve">(h : P) → Q</w:t>
      </w:r>
      <w:r>
        <w:t xml:space="preserve"> takes a proof of proposition P and returns a value of type Q. If P is false (has no proof), the function cannot be called.</w:t>
      </w:r>
    </w:p>
    <w:p>
      <w:pPr>
        <w:spacing w:after="120" w:line="360"/>
      </w:pPr>
      <w:r>
        <w:t xml:space="preserve">Mathlib [3] is the standard mathematical library for Lean 4, providing formalized definitions and theorems across algebra, analysis, topology, and geometry. We use Mathlib’s </w:t>
      </w:r>
      <w:r>
        <w:rPr>
          <w:rFonts w:ascii="Courier New" w:cs="Courier New" w:eastAsia="Courier New" w:hAnsi="Courier New"/>
          <w:sz w:val="20"/>
          <w:szCs w:val="20"/>
        </w:rPr>
        <w:t xml:space="preserve">CliffordAlgebra</w:t>
      </w:r>
      <w:r>
        <w:t xml:space="preserve"> and </w:t>
      </w:r>
      <w:r>
        <w:rPr>
          <w:rFonts w:ascii="Courier New" w:cs="Courier New" w:eastAsia="Courier New" w:hAnsi="Courier New"/>
          <w:sz w:val="20"/>
          <w:szCs w:val="20"/>
        </w:rPr>
        <w:t xml:space="preserve">QuadraticForm</w:t>
      </w:r>
      <w:r>
        <w:t xml:space="preserve"> modules for the concrete algebraic layer.</w:t>
      </w:r>
    </w:p>
    <w:p>
      <w:pPr>
        <w:pStyle w:val="Heading2"/>
      </w:pPr>
      <w:r>
        <w:rPr>
          <w:rFonts w:ascii="Times New Roman" w:cs="Times New Roman" w:eastAsia="Times New Roman" w:hAnsi="Times New Roman"/>
          <w:b/>
          <w:bCs/>
        </w:rPr>
        <w:t xml:space="preserve">2.3. Geometric Algebra and the MSTA</w:t>
      </w:r>
    </w:p>
    <w:p>
      <w:pPr>
        <w:spacing w:after="120" w:line="360"/>
      </w:pPr>
      <w:r>
        <w:t xml:space="preserve">The multiparticle spacetime algebra (MSTA) [4] represents the Dirac algebra of n particles as a single Clifford algebra Cl(4n, ℝ) with the Minkowski metric (+,−,−,−) on each particle’s spacetime indices. The gamma matrices γᵢᵐ for particle i and spacetime index μ are generators of this algebra, satisfying the standard Clifford relations. This provides a unified algebraic setting for multiparticle quantum mechanics without the need for tensor product Hilbert spaces.</w:t>
      </w:r>
    </w:p>
    <w:p>
      <w:pPr>
        <w:pStyle w:val="Heading1"/>
      </w:pPr>
      <w:r>
        <w:rPr>
          <w:rFonts w:ascii="Times New Roman" w:cs="Times New Roman" w:eastAsia="Times New Roman" w:hAnsi="Times New Roman"/>
          <w:b/>
          <w:bCs/>
        </w:rPr>
        <w:t xml:space="preserve">3. The Abstract Topological Layer</w:t>
      </w:r>
    </w:p>
    <w:p>
      <w:pPr>
        <w:spacing w:after="120" w:line="360"/>
      </w:pPr>
      <w:r>
        <w:t xml:space="preserve">The abstract layer defines the winding number as a dependently typed function. We work over an axiomatic real type </w:t>
      </w:r>
      <w:r>
        <w:rPr>
          <w:rFonts w:ascii="Courier New" w:cs="Courier New" w:eastAsia="Courier New" w:hAnsi="Courier New"/>
          <w:sz w:val="20"/>
          <w:szCs w:val="20"/>
        </w:rPr>
        <w:t xml:space="preserve">Real’</w:t>
      </w:r>
      <w:r>
        <w:t xml:space="preserve"> with standard arithmetic operations, avoiding commitment to a specific construction of the reals at this level. The key structures are:</w:t>
      </w:r>
    </w:p>
    <w:p>
      <w:pPr>
        <w:pStyle w:val="Heading2"/>
      </w:pPr>
      <w:r>
        <w:rPr>
          <w:rFonts w:ascii="Times New Roman" w:cs="Times New Roman" w:eastAsia="Times New Roman" w:hAnsi="Times New Roman"/>
          <w:b/>
          <w:bCs/>
        </w:rPr>
        <w:t xml:space="preserve">3.1. Bivectors and the Gap Condition</w:t>
      </w:r>
    </w:p>
    <w:p>
      <w:pPr>
        <w:spacing w:after="120" w:line="360"/>
      </w:pPr>
      <w:r>
        <w:t xml:space="preserve">The Bloch Hamiltonian at each point k in the Brillouin zone is encoded as a bivector </w:t>
      </w:r>
      <w:r>
        <w:rPr>
          <w:rFonts w:ascii="Courier New" w:cs="Courier New" w:eastAsia="Courier New" w:hAnsi="Courier New"/>
          <w:sz w:val="20"/>
          <w:szCs w:val="20"/>
        </w:rPr>
        <w:t xml:space="preserve">B : Bivector</w:t>
      </w:r>
      <w:r>
        <w:t xml:space="preserve"> with components (xy, yz, zx). The squared magnitude is:</w:t>
      </w:r>
    </w:p>
    <w:p>
      <w:pPr>
        <w:spacing w:after="60" w:line="276"/>
        <w:ind w:left="480"/>
      </w:pPr>
      <w:r>
        <w:rPr>
          <w:rFonts w:ascii="Courier New" w:cs="Courier New" w:eastAsia="Courier New" w:hAnsi="Courier New"/>
          <w:sz w:val="18"/>
          <w:szCs w:val="18"/>
        </w:rPr>
        <w:t xml:space="preserve">structure Bivector where</w:t>
      </w:r>
    </w:p>
    <w:p>
      <w:pPr>
        <w:spacing w:after="60" w:line="276"/>
        <w:ind w:left="480"/>
      </w:pPr>
      <w:r>
        <w:rPr>
          <w:rFonts w:ascii="Courier New" w:cs="Courier New" w:eastAsia="Courier New" w:hAnsi="Courier New"/>
          <w:sz w:val="18"/>
          <w:szCs w:val="18"/>
        </w:rPr>
        <w:t xml:space="preserve">  xy : Real’</w:t>
      </w:r>
    </w:p>
    <w:p>
      <w:pPr>
        <w:spacing w:after="60" w:line="276"/>
        <w:ind w:left="480"/>
      </w:pPr>
      <w:r>
        <w:rPr>
          <w:rFonts w:ascii="Courier New" w:cs="Courier New" w:eastAsia="Courier New" w:hAnsi="Courier New"/>
          <w:sz w:val="18"/>
          <w:szCs w:val="18"/>
        </w:rPr>
        <w:t xml:space="preserve">  yz : Real’</w:t>
      </w:r>
    </w:p>
    <w:p>
      <w:pPr>
        <w:spacing w:after="60" w:line="276"/>
        <w:ind w:left="480"/>
      </w:pPr>
      <w:r>
        <w:rPr>
          <w:rFonts w:ascii="Courier New" w:cs="Courier New" w:eastAsia="Courier New" w:hAnsi="Courier New"/>
          <w:sz w:val="18"/>
          <w:szCs w:val="18"/>
        </w:rPr>
        <w:t xml:space="preserve">  zx : Real’</w:t>
      </w:r>
    </w:p>
    <w:p>
      <w:pPr>
        <w:spacing w:after="60" w:line="276"/>
        <w:ind w:left="480"/>
      </w:pPr>
      <w:r>
        <w:rPr>
          <w:rFonts w:ascii="Courier New" w:cs="Courier New" w:eastAsia="Courier New" w:hAnsi="Courier New"/>
          <w:sz w:val="18"/>
          <w:szCs w:val="18"/>
        </w:rPr>
        <w:t xml:space="preserve"/>
      </w:r>
    </w:p>
    <w:p>
      <w:pPr>
        <w:spacing w:after="60" w:line="276"/>
        <w:ind w:left="480"/>
      </w:pPr>
      <w:r>
        <w:rPr>
          <w:rFonts w:ascii="Courier New" w:cs="Courier New" w:eastAsia="Courier New" w:hAnsi="Courier New"/>
          <w:sz w:val="18"/>
          <w:szCs w:val="18"/>
        </w:rPr>
        <w:t xml:space="preserve">def bivector_sq (B : Bivector) : Real’ :=</w:t>
      </w:r>
    </w:p>
    <w:p>
      <w:pPr>
        <w:spacing w:after="60" w:line="276"/>
        <w:ind w:left="480"/>
      </w:pPr>
      <w:r>
        <w:rPr>
          <w:rFonts w:ascii="Courier New" w:cs="Courier New" w:eastAsia="Courier New" w:hAnsi="Courier New"/>
          <w:sz w:val="18"/>
          <w:szCs w:val="18"/>
        </w:rPr>
        <w:t xml:space="preserve">  B.xy * B.xy + B.yz * B.yz + B.zx * B.zx</w:t>
      </w:r>
    </w:p>
    <w:p>
      <w:pPr>
        <w:spacing w:after="120" w:line="360"/>
      </w:pPr>
      <w:r>
        <w:t xml:space="preserve">The gap condition at a single momentum point is the assertion that the bivector has nonzero magnitude:</w:t>
      </w:r>
    </w:p>
    <w:p>
      <w:pPr>
        <w:spacing w:after="60" w:line="276"/>
        <w:ind w:left="480"/>
      </w:pPr>
      <w:r>
        <w:rPr>
          <w:rFonts w:ascii="Courier New" w:cs="Courier New" w:eastAsia="Courier New" w:hAnsi="Courier New"/>
          <w:sz w:val="18"/>
          <w:szCs w:val="18"/>
        </w:rPr>
        <w:t xml:space="preserve">def IsGappedAt (B : Bivector) : Prop :=</w:t>
      </w:r>
    </w:p>
    <w:p>
      <w:pPr>
        <w:spacing w:after="60" w:line="276"/>
        <w:ind w:left="480"/>
      </w:pPr>
      <w:r>
        <w:rPr>
          <w:rFonts w:ascii="Courier New" w:cs="Courier New" w:eastAsia="Courier New" w:hAnsi="Courier New"/>
          <w:sz w:val="18"/>
          <w:szCs w:val="18"/>
        </w:rPr>
        <w:t xml:space="preserve">  IsNonzero (bivector_sq B)</w:t>
      </w:r>
    </w:p>
    <w:p>
      <w:pPr>
        <w:spacing w:after="60" w:line="276"/>
        <w:ind w:left="480"/>
      </w:pPr>
      <w:r>
        <w:rPr>
          <w:rFonts w:ascii="Courier New" w:cs="Courier New" w:eastAsia="Courier New" w:hAnsi="Courier New"/>
          <w:sz w:val="18"/>
          <w:szCs w:val="18"/>
        </w:rPr>
        <w:t xml:space="preserve"/>
      </w:r>
    </w:p>
    <w:p>
      <w:pPr>
        <w:spacing w:after="60" w:line="276"/>
        <w:ind w:left="480"/>
      </w:pPr>
      <w:r>
        <w:rPr>
          <w:rFonts w:ascii="Courier New" w:cs="Courier New" w:eastAsia="Courier New" w:hAnsi="Courier New"/>
          <w:sz w:val="18"/>
          <w:szCs w:val="18"/>
        </w:rPr>
        <w:t xml:space="preserve">def IsGapped (H : BrillouinZone → Bivector) : Prop :=</w:t>
      </w:r>
    </w:p>
    <w:p>
      <w:pPr>
        <w:spacing w:after="60" w:line="276"/>
        <w:ind w:left="480"/>
      </w:pPr>
      <w:r>
        <w:rPr>
          <w:rFonts w:ascii="Courier New" w:cs="Courier New" w:eastAsia="Courier New" w:hAnsi="Courier New"/>
          <w:sz w:val="18"/>
          <w:szCs w:val="18"/>
        </w:rPr>
        <w:t xml:space="preserve">  ∀ k, IsGappedAt (H k)</w:t>
      </w:r>
    </w:p>
    <w:p>
      <w:pPr>
        <w:spacing w:after="120" w:line="360"/>
      </w:pPr>
      <w:r>
        <w:t xml:space="preserve">The type </w:t>
      </w:r>
      <w:r>
        <w:rPr>
          <w:rFonts w:ascii="Courier New" w:cs="Courier New" w:eastAsia="Courier New" w:hAnsi="Courier New"/>
          <w:sz w:val="20"/>
          <w:szCs w:val="20"/>
        </w:rPr>
        <w:t xml:space="preserve">IsGapped H</w:t>
      </w:r>
      <w:r>
        <w:t xml:space="preserve"> is a </w:t>
      </w:r>
      <w:r>
        <w:rPr>
          <w:i/>
          <w:iCs/>
        </w:rPr>
        <w:t xml:space="preserve">proposition</w:t>
      </w:r>
      <w:r>
        <w:t xml:space="preserve">: it asserts that for </w:t>
      </w:r>
      <w:r>
        <w:rPr>
          <w:i/>
          <w:iCs/>
        </w:rPr>
        <w:t xml:space="preserve">every</w:t>
      </w:r>
      <w:r>
        <w:t xml:space="preserve"> point k in the Brillouin zone, the Hamiltonian bivector is nonzero. A term of this type is a </w:t>
      </w:r>
      <w:r>
        <w:rPr>
          <w:i/>
          <w:iCs/>
        </w:rPr>
        <w:t xml:space="preserve">proof</w:t>
      </w:r>
      <w:r>
        <w:t xml:space="preserve"> that the gap is open everywhere.</w:t>
      </w:r>
    </w:p>
    <w:p>
      <w:pPr>
        <w:pStyle w:val="Heading2"/>
      </w:pPr>
      <w:r>
        <w:rPr>
          <w:rFonts w:ascii="Times New Roman" w:cs="Times New Roman" w:eastAsia="Times New Roman" w:hAnsi="Times New Roman"/>
          <w:b/>
          <w:bCs/>
        </w:rPr>
        <w:t xml:space="preserve">3.2. The Dependently Typed Winding Number</w:t>
      </w:r>
    </w:p>
    <w:p>
      <w:pPr>
        <w:spacing w:after="120" w:line="360"/>
      </w:pPr>
      <w:r>
        <w:t xml:space="preserve">The topological invariant is defined as a function that </w:t>
      </w:r>
      <w:r>
        <w:rPr>
          <w:i/>
          <w:iCs/>
        </w:rPr>
        <w:t xml:space="preserve">requires</w:t>
      </w:r>
      <w:r>
        <w:t xml:space="preserve"> a proof of the gap condition:</w:t>
      </w:r>
    </w:p>
    <w:p>
      <w:pPr>
        <w:spacing w:after="60" w:line="276"/>
        <w:ind w:left="480"/>
      </w:pPr>
      <w:r>
        <w:rPr>
          <w:rFonts w:ascii="Courier New" w:cs="Courier New" w:eastAsia="Courier New" w:hAnsi="Courier New"/>
          <w:sz w:val="18"/>
          <w:szCs w:val="18"/>
        </w:rPr>
        <w:t xml:space="preserve">axiom exact_quantization :</w:t>
      </w:r>
    </w:p>
    <w:p>
      <w:pPr>
        <w:spacing w:after="60" w:line="276"/>
        <w:ind w:left="480"/>
      </w:pPr>
      <w:r>
        <w:rPr>
          <w:rFonts w:ascii="Courier New" w:cs="Courier New" w:eastAsia="Courier New" w:hAnsi="Courier New"/>
          <w:sz w:val="18"/>
          <w:szCs w:val="18"/>
        </w:rPr>
        <w:t xml:space="preserve">  (H : BrillouinZone → Bivector) →</w:t>
      </w:r>
    </w:p>
    <w:p>
      <w:pPr>
        <w:spacing w:after="60" w:line="276"/>
        <w:ind w:left="480"/>
      </w:pPr>
      <w:r>
        <w:rPr>
          <w:rFonts w:ascii="Courier New" w:cs="Courier New" w:eastAsia="Courier New" w:hAnsi="Courier New"/>
          <w:sz w:val="18"/>
          <w:szCs w:val="18"/>
        </w:rPr>
        <w:t xml:space="preserve">  (hGap : IsGapped H) → Int’</w:t>
      </w:r>
    </w:p>
    <w:p>
      <w:pPr>
        <w:spacing w:after="60" w:line="276"/>
        <w:ind w:left="480"/>
      </w:pPr>
      <w:r>
        <w:rPr>
          <w:rFonts w:ascii="Courier New" w:cs="Courier New" w:eastAsia="Courier New" w:hAnsi="Courier New"/>
          <w:sz w:val="18"/>
          <w:szCs w:val="18"/>
        </w:rPr>
        <w:t xml:space="preserve"/>
      </w:r>
    </w:p>
    <w:p>
      <w:pPr>
        <w:spacing w:after="60" w:line="276"/>
        <w:ind w:left="480"/>
      </w:pPr>
      <w:r>
        <w:rPr>
          <w:rFonts w:ascii="Courier New" w:cs="Courier New" w:eastAsia="Courier New" w:hAnsi="Courier New"/>
          <w:sz w:val="18"/>
          <w:szCs w:val="18"/>
        </w:rPr>
        <w:t xml:space="preserve">def topological_invariant</w:t>
      </w:r>
    </w:p>
    <w:p>
      <w:pPr>
        <w:spacing w:after="60" w:line="276"/>
        <w:ind w:left="480"/>
      </w:pPr>
      <w:r>
        <w:rPr>
          <w:rFonts w:ascii="Courier New" w:cs="Courier New" w:eastAsia="Courier New" w:hAnsi="Courier New"/>
          <w:sz w:val="18"/>
          <w:szCs w:val="18"/>
        </w:rPr>
        <w:t xml:space="preserve">  (H : BrillouinZone → Bivector)</w:t>
      </w:r>
    </w:p>
    <w:p>
      <w:pPr>
        <w:spacing w:after="60" w:line="276"/>
        <w:ind w:left="480"/>
      </w:pPr>
      <w:r>
        <w:rPr>
          <w:rFonts w:ascii="Courier New" w:cs="Courier New" w:eastAsia="Courier New" w:hAnsi="Courier New"/>
          <w:sz w:val="18"/>
          <w:szCs w:val="18"/>
        </w:rPr>
        <w:t xml:space="preserve">  (hGap : IsGapped H) : Int’ :=</w:t>
      </w:r>
    </w:p>
    <w:p>
      <w:pPr>
        <w:spacing w:after="60" w:line="276"/>
        <w:ind w:left="480"/>
      </w:pPr>
      <w:r>
        <w:rPr>
          <w:rFonts w:ascii="Courier New" w:cs="Courier New" w:eastAsia="Courier New" w:hAnsi="Courier New"/>
          <w:sz w:val="18"/>
          <w:szCs w:val="18"/>
        </w:rPr>
        <w:t xml:space="preserve">  exact_quantization H hGap</w:t>
      </w:r>
    </w:p>
    <w:p>
      <w:pPr>
        <w:spacing w:after="120" w:line="360"/>
      </w:pPr>
      <w:r>
        <w:t xml:space="preserve">The function </w:t>
      </w:r>
      <w:r>
        <w:rPr>
          <w:rFonts w:ascii="Courier New" w:cs="Courier New" w:eastAsia="Courier New" w:hAnsi="Courier New"/>
          <w:sz w:val="20"/>
          <w:szCs w:val="20"/>
        </w:rPr>
        <w:t xml:space="preserve">topological_invariant</w:t>
      </w:r>
      <w:r>
        <w:t xml:space="preserve"> takes two arguments: a Hamiltonian field H over the Brillouin zone and a proof hGap that H is everywhere gapped. The return type </w:t>
      </w:r>
      <w:r>
        <w:rPr>
          <w:rFonts w:ascii="Courier New" w:cs="Courier New" w:eastAsia="Courier New" w:hAnsi="Courier New"/>
          <w:sz w:val="20"/>
          <w:szCs w:val="20"/>
        </w:rPr>
        <w:t xml:space="preserve">Int’</w:t>
      </w:r>
      <w:r>
        <w:t xml:space="preserve"> (our integer type) encodes the exact quantization of the winding number. Crucially, </w:t>
      </w:r>
      <w:r>
        <w:rPr>
          <w:rFonts w:ascii="Courier New" w:cs="Courier New" w:eastAsia="Courier New" w:hAnsi="Courier New"/>
          <w:sz w:val="20"/>
          <w:szCs w:val="20"/>
        </w:rPr>
        <w:t xml:space="preserve">exact_quantization</w:t>
      </w:r>
      <w:r>
        <w:t xml:space="preserve"> is an axiom—we do not formalize the integral formula, but we assert its existence and integer-valuedness. This is mathematically honest: the quantization is a theorem (the degree of a map S¹ → S¹ is an integer), and formalizing the proof would require Lean’s analysis library, which is orthogonal to our point.</w:t>
      </w:r>
    </w:p>
    <w:p>
      <w:pPr>
        <w:spacing w:after="120" w:line="360"/>
      </w:pPr>
      <w:r>
        <w:t xml:space="preserve">The dependent type signature is the key innovation. Without a proof of </w:t>
      </w:r>
      <w:r>
        <w:rPr>
          <w:rFonts w:ascii="Courier New" w:cs="Courier New" w:eastAsia="Courier New" w:hAnsi="Courier New"/>
          <w:sz w:val="20"/>
          <w:szCs w:val="20"/>
        </w:rPr>
        <w:t xml:space="preserve">IsGapped</w:t>
      </w:r>
      <w:r>
        <w:t xml:space="preserve">, the function </w:t>
      </w:r>
      <w:r>
        <w:rPr>
          <w:i/>
          <w:iCs/>
        </w:rPr>
        <w:t xml:space="preserve">cannot be called</w:t>
      </w:r>
      <w:r>
        <w:t xml:space="preserve">. This is not a runtime check or an exception—it is a compile-time guarantee. The winding number does not exist as a computable quantity in the ungapped regime; the type system enforces this categorically.</w:t>
      </w:r>
    </w:p>
    <w:p>
      <w:pPr>
        <w:pStyle w:val="Heading1"/>
      </w:pPr>
      <w:r>
        <w:rPr>
          <w:rFonts w:ascii="Times New Roman" w:cs="Times New Roman" w:eastAsia="Times New Roman" w:hAnsi="Times New Roman"/>
          <w:b/>
          <w:bCs/>
        </w:rPr>
        <w:t xml:space="preserve">4. The Concrete Algebraic Layer (MSTA)</w:t>
      </w:r>
    </w:p>
    <w:p>
      <w:pPr>
        <w:spacing w:after="120" w:line="360"/>
      </w:pPr>
      <w:r>
        <w:t xml:space="preserve">The concrete layer uses Mathlib’s Clifford algebra to construct the multiparticle spacetime algebra. The construction proceeds from a quadratic form encoding the Minkowski metric:</w:t>
      </w:r>
    </w:p>
    <w:p>
      <w:pPr>
        <w:spacing w:after="60" w:line="276"/>
        <w:ind w:left="480"/>
      </w:pPr>
      <w:r>
        <w:rPr>
          <w:rFonts w:ascii="Courier New" w:cs="Courier New" w:eastAsia="Courier New" w:hAnsi="Courier New"/>
          <w:sz w:val="18"/>
          <w:szCs w:val="18"/>
        </w:rPr>
        <w:t xml:space="preserve">def minkowski_sig (μ : SpacetimeIndex) : R :=</w:t>
      </w:r>
    </w:p>
    <w:p>
      <w:pPr>
        <w:spacing w:after="60" w:line="276"/>
        <w:ind w:left="480"/>
      </w:pPr>
      <w:r>
        <w:rPr>
          <w:rFonts w:ascii="Courier New" w:cs="Courier New" w:eastAsia="Courier New" w:hAnsi="Courier New"/>
          <w:sz w:val="18"/>
          <w:szCs w:val="18"/>
        </w:rPr>
        <w:t xml:space="preserve">  if μ.val = 0 then 1 else -1</w:t>
      </w:r>
    </w:p>
    <w:p>
      <w:pPr>
        <w:spacing w:after="60" w:line="276"/>
        <w:ind w:left="480"/>
      </w:pPr>
      <w:r>
        <w:rPr>
          <w:rFonts w:ascii="Courier New" w:cs="Courier New" w:eastAsia="Courier New" w:hAnsi="Courier New"/>
          <w:sz w:val="18"/>
          <w:szCs w:val="18"/>
        </w:rPr>
        <w:t xml:space="preserve"/>
      </w:r>
    </w:p>
    <w:p>
      <w:pPr>
        <w:spacing w:after="60" w:line="276"/>
        <w:ind w:left="480"/>
      </w:pPr>
      <w:r>
        <w:rPr>
          <w:rFonts w:ascii="Courier New" w:cs="Courier New" w:eastAsia="Courier New" w:hAnsi="Courier New"/>
          <w:sz w:val="18"/>
          <w:szCs w:val="18"/>
        </w:rPr>
        <w:t xml:space="preserve">def Q_total : QuadraticForm R (MultiParticleSpace n) :=</w:t>
      </w:r>
    </w:p>
    <w:p>
      <w:pPr>
        <w:spacing w:after="60" w:line="276"/>
        <w:ind w:left="480"/>
      </w:pPr>
      <w:r>
        <w:rPr>
          <w:rFonts w:ascii="Courier New" w:cs="Courier New" w:eastAsia="Courier New" w:hAnsi="Courier New"/>
          <w:sz w:val="18"/>
          <w:szCs w:val="18"/>
        </w:rPr>
        <w:t xml:space="preserve">  QuadraticForm.weightedSumSquares R</w:t>
      </w:r>
    </w:p>
    <w:p>
      <w:pPr>
        <w:spacing w:after="60" w:line="276"/>
        <w:ind w:left="480"/>
      </w:pPr>
      <w:r>
        <w:rPr>
          <w:rFonts w:ascii="Courier New" w:cs="Courier New" w:eastAsia="Courier New" w:hAnsi="Courier New"/>
          <w:sz w:val="18"/>
          <w:szCs w:val="18"/>
        </w:rPr>
        <w:t xml:space="preserve">    (fun (_, μ) =&gt; minkowski_sig μ)</w:t>
      </w:r>
    </w:p>
    <w:p>
      <w:pPr>
        <w:spacing w:after="60" w:line="276"/>
        <w:ind w:left="480"/>
      </w:pPr>
      <w:r>
        <w:rPr>
          <w:rFonts w:ascii="Courier New" w:cs="Courier New" w:eastAsia="Courier New" w:hAnsi="Courier New"/>
          <w:sz w:val="18"/>
          <w:szCs w:val="18"/>
        </w:rPr>
        <w:t xml:space="preserve"/>
      </w:r>
    </w:p>
    <w:p>
      <w:pPr>
        <w:spacing w:after="60" w:line="276"/>
        <w:ind w:left="480"/>
      </w:pPr>
      <w:r>
        <w:rPr>
          <w:rFonts w:ascii="Courier New" w:cs="Courier New" w:eastAsia="Courier New" w:hAnsi="Courier New"/>
          <w:sz w:val="18"/>
          <w:szCs w:val="18"/>
        </w:rPr>
        <w:t xml:space="preserve">abbrev MSTA := CliffordAlgebra (Q_total n)</w:t>
      </w:r>
    </w:p>
    <w:p>
      <w:pPr>
        <w:spacing w:after="120" w:line="360"/>
      </w:pPr>
      <w:r>
        <w:t xml:space="preserve">The gamma matrices are constructed as images of basis vectors under the canonical injection </w:t>
      </w:r>
      <w:r>
        <w:rPr>
          <w:rFonts w:ascii="Courier New" w:cs="Courier New" w:eastAsia="Courier New" w:hAnsi="Courier New"/>
          <w:sz w:val="20"/>
          <w:szCs w:val="20"/>
        </w:rPr>
        <w:t xml:space="preserve">CliffordAlgebra.iota</w:t>
      </w:r>
      <w:r>
        <w:t xml:space="preserve">:</w:t>
      </w:r>
    </w:p>
    <w:p>
      <w:pPr>
        <w:spacing w:after="60" w:line="276"/>
        <w:ind w:left="480"/>
      </w:pPr>
      <w:r>
        <w:rPr>
          <w:rFonts w:ascii="Courier New" w:cs="Courier New" w:eastAsia="Courier New" w:hAnsi="Courier New"/>
          <w:sz w:val="18"/>
          <w:szCs w:val="18"/>
        </w:rPr>
        <w:t xml:space="preserve">def gamma (i : Fin n) (μ : SpacetimeIndex) : MSTA n :=</w:t>
      </w:r>
    </w:p>
    <w:p>
      <w:pPr>
        <w:spacing w:after="60" w:line="276"/>
        <w:ind w:left="480"/>
      </w:pPr>
      <w:r>
        <w:rPr>
          <w:rFonts w:ascii="Courier New" w:cs="Courier New" w:eastAsia="Courier New" w:hAnsi="Courier New"/>
          <w:sz w:val="18"/>
          <w:szCs w:val="18"/>
        </w:rPr>
        <w:t xml:space="preserve">  CliffordAlgebra.iota (Q_total n)</w:t>
      </w:r>
    </w:p>
    <w:p>
      <w:pPr>
        <w:spacing w:after="60" w:line="276"/>
        <w:ind w:left="480"/>
      </w:pPr>
      <w:r>
        <w:rPr>
          <w:rFonts w:ascii="Courier New" w:cs="Courier New" w:eastAsia="Courier New" w:hAnsi="Courier New"/>
          <w:sz w:val="18"/>
          <w:szCs w:val="18"/>
        </w:rPr>
        <w:t xml:space="preserve">    (Finsupp.single (i, μ) 1)</w:t>
      </w:r>
    </w:p>
    <w:p>
      <w:pPr>
        <w:spacing w:after="120" w:line="360"/>
      </w:pPr>
      <w:r>
        <w:t xml:space="preserve">These generators satisfy the standard Clifford relations. The square of a gamma matrix returns the corresponding metric component, and distinct gamma matrices anticommute. Both properties are stateable as Lean lemmas:</w:t>
      </w:r>
    </w:p>
    <w:p>
      <w:pPr>
        <w:spacing w:after="60" w:line="276"/>
        <w:ind w:left="480"/>
      </w:pPr>
      <w:r>
        <w:rPr>
          <w:rFonts w:ascii="Courier New" w:cs="Courier New" w:eastAsia="Courier New" w:hAnsi="Courier New"/>
          <w:sz w:val="18"/>
          <w:szCs w:val="18"/>
        </w:rPr>
        <w:t xml:space="preserve">lemma gamma_sq (i : Fin n) (μ : SpacetimeIndex) :</w:t>
      </w:r>
    </w:p>
    <w:p>
      <w:pPr>
        <w:spacing w:after="60" w:line="276"/>
        <w:ind w:left="480"/>
      </w:pPr>
      <w:r>
        <w:rPr>
          <w:rFonts w:ascii="Courier New" w:cs="Courier New" w:eastAsia="Courier New" w:hAnsi="Courier New"/>
          <w:sz w:val="18"/>
          <w:szCs w:val="18"/>
        </w:rPr>
        <w:t xml:space="preserve">  gamma n i μ * gamma n i μ =</w:t>
      </w:r>
    </w:p>
    <w:p>
      <w:pPr>
        <w:spacing w:after="60" w:line="276"/>
        <w:ind w:left="480"/>
      </w:pPr>
      <w:r>
        <w:rPr>
          <w:rFonts w:ascii="Courier New" w:cs="Courier New" w:eastAsia="Courier New" w:hAnsi="Courier New"/>
          <w:sz w:val="18"/>
          <w:szCs w:val="18"/>
        </w:rPr>
        <w:t xml:space="preserve">  CliffordAlgebra.algebraMap (Q_total n)</w:t>
      </w:r>
    </w:p>
    <w:p>
      <w:pPr>
        <w:spacing w:after="60" w:line="276"/>
        <w:ind w:left="480"/>
      </w:pPr>
      <w:r>
        <w:rPr>
          <w:rFonts w:ascii="Courier New" w:cs="Courier New" w:eastAsia="Courier New" w:hAnsi="Courier New"/>
          <w:sz w:val="18"/>
          <w:szCs w:val="18"/>
        </w:rPr>
        <w:t xml:space="preserve">    (minkowski_sig μ) := by sorry</w:t>
      </w:r>
    </w:p>
    <w:p>
      <w:pPr>
        <w:spacing w:after="60" w:line="276"/>
        <w:ind w:left="480"/>
      </w:pPr>
      <w:r>
        <w:rPr>
          <w:rFonts w:ascii="Courier New" w:cs="Courier New" w:eastAsia="Courier New" w:hAnsi="Courier New"/>
          <w:sz w:val="18"/>
          <w:szCs w:val="18"/>
        </w:rPr>
        <w:t xml:space="preserve"/>
      </w:r>
    </w:p>
    <w:p>
      <w:pPr>
        <w:spacing w:after="60" w:line="276"/>
        <w:ind w:left="480"/>
      </w:pPr>
      <w:r>
        <w:rPr>
          <w:rFonts w:ascii="Courier New" w:cs="Courier New" w:eastAsia="Courier New" w:hAnsi="Courier New"/>
          <w:sz w:val="18"/>
          <w:szCs w:val="18"/>
        </w:rPr>
        <w:t xml:space="preserve">lemma gamma_anticomm’ {i j : Fin n}</w:t>
      </w:r>
    </w:p>
    <w:p>
      <w:pPr>
        <w:spacing w:after="60" w:line="276"/>
        <w:ind w:left="480"/>
      </w:pPr>
      <w:r>
        <w:rPr>
          <w:rFonts w:ascii="Courier New" w:cs="Courier New" w:eastAsia="Courier New" w:hAnsi="Courier New"/>
          <w:sz w:val="18"/>
          <w:szCs w:val="18"/>
        </w:rPr>
        <w:t xml:space="preserve">  {μ ν : SpacetimeIndex}</w:t>
      </w:r>
    </w:p>
    <w:p>
      <w:pPr>
        <w:spacing w:after="60" w:line="276"/>
        <w:ind w:left="480"/>
      </w:pPr>
      <w:r>
        <w:rPr>
          <w:rFonts w:ascii="Courier New" w:cs="Courier New" w:eastAsia="Courier New" w:hAnsi="Courier New"/>
          <w:sz w:val="18"/>
          <w:szCs w:val="18"/>
        </w:rPr>
        <w:t xml:space="preserve">  (h : (i, μ) ≠ (j, ν)) :</w:t>
      </w:r>
    </w:p>
    <w:p>
      <w:pPr>
        <w:spacing w:after="60" w:line="276"/>
        <w:ind w:left="480"/>
      </w:pPr>
      <w:r>
        <w:rPr>
          <w:rFonts w:ascii="Courier New" w:cs="Courier New" w:eastAsia="Courier New" w:hAnsi="Courier New"/>
          <w:sz w:val="18"/>
          <w:szCs w:val="18"/>
        </w:rPr>
        <w:t xml:space="preserve">  gamma n i μ * gamma n j ν =</w:t>
      </w:r>
    </w:p>
    <w:p>
      <w:pPr>
        <w:spacing w:after="60" w:line="276"/>
        <w:ind w:left="480"/>
      </w:pPr>
      <w:r>
        <w:rPr>
          <w:rFonts w:ascii="Courier New" w:cs="Courier New" w:eastAsia="Courier New" w:hAnsi="Courier New"/>
          <w:sz w:val="18"/>
          <w:szCs w:val="18"/>
        </w:rPr>
        <w:t xml:space="preserve">  -(gamma n j ν * gamma n i μ) := by sorry</w:t>
      </w:r>
    </w:p>
    <w:p>
      <w:pPr>
        <w:spacing w:after="120" w:line="360"/>
      </w:pPr>
      <w:r>
        <w:t xml:space="preserve">The </w:t>
      </w:r>
      <w:r>
        <w:rPr>
          <w:rFonts w:ascii="Courier New" w:cs="Courier New" w:eastAsia="Courier New" w:hAnsi="Courier New"/>
          <w:sz w:val="20"/>
          <w:szCs w:val="20"/>
        </w:rPr>
        <w:t xml:space="preserve">sorry</w:t>
      </w:r>
      <w:r>
        <w:t xml:space="preserve"> placeholders indicate lemmas whose proofs are expected to follow from Mathlib’s </w:t>
      </w:r>
      <w:r>
        <w:rPr>
          <w:rFonts w:ascii="Courier New" w:cs="Courier New" w:eastAsia="Courier New" w:hAnsi="Courier New"/>
          <w:sz w:val="20"/>
          <w:szCs w:val="20"/>
        </w:rPr>
        <w:t xml:space="preserve">CliffordAlgebra.iota_sq</w:t>
      </w:r>
      <w:r>
        <w:t xml:space="preserve"> and the orthogonality of </w:t>
      </w:r>
      <w:r>
        <w:rPr>
          <w:rFonts w:ascii="Courier New" w:cs="Courier New" w:eastAsia="Courier New" w:hAnsi="Courier New"/>
          <w:sz w:val="20"/>
          <w:szCs w:val="20"/>
        </w:rPr>
        <w:t xml:space="preserve">Finsupp.single</w:t>
      </w:r>
      <w:r>
        <w:t xml:space="preserve"> basis vectors under the bilinear form associated with </w:t>
      </w:r>
      <w:r>
        <w:rPr>
          <w:rFonts w:ascii="Courier New" w:cs="Courier New" w:eastAsia="Courier New" w:hAnsi="Courier New"/>
          <w:sz w:val="20"/>
          <w:szCs w:val="20"/>
        </w:rPr>
        <w:t xml:space="preserve">Q_total</w:t>
      </w:r>
      <w:r>
        <w:t xml:space="preserve">. We leave these proofs as future work; they require navigating Mathlib’s finitely-supported function API, which is technically involved but mathematically straightforward.</w:t>
      </w:r>
    </w:p>
    <w:p>
      <w:pPr>
        <w:pStyle w:val="Heading1"/>
      </w:pPr>
      <w:r>
        <w:rPr>
          <w:rFonts w:ascii="Times New Roman" w:cs="Times New Roman" w:eastAsia="Times New Roman" w:hAnsi="Times New Roman"/>
          <w:b/>
          <w:bCs/>
        </w:rPr>
        <w:t xml:space="preserve">5. The Bridge: Kitaev Chain Connects Both Layers</w:t>
      </w:r>
    </w:p>
    <w:p>
      <w:pPr>
        <w:spacing w:after="120" w:line="360"/>
      </w:pPr>
      <w:r>
        <w:t xml:space="preserve">The bridge layer instantiates the abstract topological framework with the specific physics of the Kitaev chain and connects it to the MSTA’s concrete algebra.</w:t>
      </w:r>
    </w:p>
    <w:p>
      <w:pPr>
        <w:pStyle w:val="Heading2"/>
      </w:pPr>
      <w:r>
        <w:rPr>
          <w:rFonts w:ascii="Times New Roman" w:cs="Times New Roman" w:eastAsia="Times New Roman" w:hAnsi="Times New Roman"/>
          <w:b/>
          <w:bCs/>
        </w:rPr>
        <w:t xml:space="preserve">5.1. The Hamiltonian as a Bivector Field</w:t>
      </w:r>
    </w:p>
    <w:p>
      <w:pPr>
        <w:spacing w:after="120" w:line="360"/>
      </w:pPr>
      <w:r>
        <w:t xml:space="preserve">The Kitaev chain’s Bloch Hamiltonian is mapped to a bivector field over the Brillouin zone:</w:t>
      </w:r>
    </w:p>
    <w:p>
      <w:pPr>
        <w:spacing w:after="60" w:line="276"/>
        <w:ind w:left="480"/>
      </w:pPr>
      <w:r>
        <w:rPr>
          <w:rFonts w:ascii="Courier New" w:cs="Courier New" w:eastAsia="Courier New" w:hAnsi="Courier New"/>
          <w:sz w:val="18"/>
          <w:szCs w:val="18"/>
        </w:rPr>
        <w:t xml:space="preserve">def kitaev_bivector (p : KitaevParams)</w:t>
      </w:r>
    </w:p>
    <w:p>
      <w:pPr>
        <w:spacing w:after="60" w:line="276"/>
        <w:ind w:left="480"/>
      </w:pPr>
      <w:r>
        <w:rPr>
          <w:rFonts w:ascii="Courier New" w:cs="Courier New" w:eastAsia="Courier New" w:hAnsi="Courier New"/>
          <w:sz w:val="18"/>
          <w:szCs w:val="18"/>
        </w:rPr>
        <w:t xml:space="preserve">  (k : BrillouinZone) : Bivector :=</w:t>
      </w:r>
    </w:p>
    <w:p>
      <w:pPr>
        <w:spacing w:after="60" w:line="276"/>
        <w:ind w:left="480"/>
      </w:pPr>
      <w:r>
        <w:rPr>
          <w:rFonts w:ascii="Courier New" w:cs="Courier New" w:eastAsia="Courier New" w:hAnsi="Courier New"/>
          <w:sz w:val="18"/>
          <w:szCs w:val="18"/>
        </w:rPr>
        <w:t xml:space="preserve">  let k_val := k_to_real k</w:t>
      </w:r>
    </w:p>
    <w:p>
      <w:pPr>
        <w:spacing w:after="60" w:line="276"/>
        <w:ind w:left="480"/>
      </w:pPr>
      <w:r>
        <w:rPr>
          <w:rFonts w:ascii="Courier New" w:cs="Courier New" w:eastAsia="Courier New" w:hAnsi="Courier New"/>
          <w:sz w:val="18"/>
          <w:szCs w:val="18"/>
        </w:rPr>
        <w:t xml:space="preserve">  { xy := 2Δ sin(k_val),</w:t>
      </w:r>
    </w:p>
    <w:p>
      <w:pPr>
        <w:spacing w:after="60" w:line="276"/>
        <w:ind w:left="480"/>
      </w:pPr>
      <w:r>
        <w:rPr>
          <w:rFonts w:ascii="Courier New" w:cs="Courier New" w:eastAsia="Courier New" w:hAnsi="Courier New"/>
          <w:sz w:val="18"/>
          <w:szCs w:val="18"/>
        </w:rPr>
        <w:t xml:space="preserve">    yz := 0,</w:t>
      </w:r>
    </w:p>
    <w:p>
      <w:pPr>
        <w:spacing w:after="60" w:line="276"/>
        <w:ind w:left="480"/>
      </w:pPr>
      <w:r>
        <w:rPr>
          <w:rFonts w:ascii="Courier New" w:cs="Courier New" w:eastAsia="Courier New" w:hAnsi="Courier New"/>
          <w:sz w:val="18"/>
          <w:szCs w:val="18"/>
        </w:rPr>
        <w:t xml:space="preserve">    zx := -(2t cos(k_val) + μ) }</w:t>
      </w:r>
    </w:p>
    <w:p>
      <w:pPr>
        <w:spacing w:after="120" w:line="360"/>
      </w:pPr>
      <w:r>
        <w:t xml:space="preserve">The xy and zx components encode the off-diagonal and diagonal parts of the Bloch Hamiltonian respectively. The yz component is zero for the one-dimensional chain (it would be nonzero for higher-dimensional topological insulators).</w:t>
      </w:r>
    </w:p>
    <w:p>
      <w:pPr>
        <w:pStyle w:val="Heading2"/>
      </w:pPr>
      <w:r>
        <w:rPr>
          <w:rFonts w:ascii="Times New Roman" w:cs="Times New Roman" w:eastAsia="Times New Roman" w:hAnsi="Times New Roman"/>
          <w:b/>
          <w:bCs/>
        </w:rPr>
        <w:t xml:space="preserve">5.2. The Phase Boundary as Undischargeable Proof Obligation</w:t>
      </w:r>
    </w:p>
    <w:p>
      <w:pPr>
        <w:spacing w:after="120" w:line="360"/>
      </w:pPr>
      <w:r>
        <w:t xml:space="preserve">The central result of the bridge layer is a pair of complementary axioms that characterize the topological phase transition:</w:t>
      </w:r>
    </w:p>
    <w:p>
      <w:pPr>
        <w:spacing w:after="60" w:line="276"/>
        <w:ind w:left="480"/>
      </w:pPr>
      <w:r>
        <w:rPr>
          <w:rFonts w:ascii="Courier New" w:cs="Courier New" w:eastAsia="Courier New" w:hAnsi="Courier New"/>
          <w:sz w:val="18"/>
          <w:szCs w:val="18"/>
        </w:rPr>
        <w:t xml:space="preserve">axiom topological_phase_implies_gapped</w:t>
      </w:r>
    </w:p>
    <w:p>
      <w:pPr>
        <w:spacing w:after="60" w:line="276"/>
        <w:ind w:left="480"/>
      </w:pPr>
      <w:r>
        <w:rPr>
          <w:rFonts w:ascii="Courier New" w:cs="Courier New" w:eastAsia="Courier New" w:hAnsi="Courier New"/>
          <w:sz w:val="18"/>
          <w:szCs w:val="18"/>
        </w:rPr>
        <w:t xml:space="preserve">  (p : KitaevParams) :</w:t>
      </w:r>
    </w:p>
    <w:p>
      <w:pPr>
        <w:spacing w:after="60" w:line="276"/>
        <w:ind w:left="480"/>
      </w:pPr>
      <w:r>
        <w:rPr>
          <w:rFonts w:ascii="Courier New" w:cs="Courier New" w:eastAsia="Courier New" w:hAnsi="Courier New"/>
          <w:sz w:val="18"/>
          <w:szCs w:val="18"/>
        </w:rPr>
        <w:t xml:space="preserve">  in_topological_phase p →</w:t>
      </w:r>
    </w:p>
    <w:p>
      <w:pPr>
        <w:spacing w:after="60" w:line="276"/>
        <w:ind w:left="480"/>
      </w:pPr>
      <w:r>
        <w:rPr>
          <w:rFonts w:ascii="Courier New" w:cs="Courier New" w:eastAsia="Courier New" w:hAnsi="Courier New"/>
          <w:sz w:val="18"/>
          <w:szCs w:val="18"/>
        </w:rPr>
        <w:t xml:space="preserve">  IsGapped (kitaev_bivector p)</w:t>
      </w:r>
    </w:p>
    <w:p>
      <w:pPr>
        <w:spacing w:after="60" w:line="276"/>
        <w:ind w:left="480"/>
      </w:pPr>
      <w:r>
        <w:rPr>
          <w:rFonts w:ascii="Courier New" w:cs="Courier New" w:eastAsia="Courier New" w:hAnsi="Courier New"/>
          <w:sz w:val="18"/>
          <w:szCs w:val="18"/>
        </w:rPr>
        <w:t xml:space="preserve"/>
      </w:r>
    </w:p>
    <w:p>
      <w:pPr>
        <w:spacing w:after="60" w:line="276"/>
        <w:ind w:left="480"/>
      </w:pPr>
      <w:r>
        <w:rPr>
          <w:rFonts w:ascii="Courier New" w:cs="Courier New" w:eastAsia="Courier New" w:hAnsi="Courier New"/>
          <w:sz w:val="18"/>
          <w:szCs w:val="18"/>
        </w:rPr>
        <w:t xml:space="preserve">axiom phase_boundary_not_gapped</w:t>
      </w:r>
    </w:p>
    <w:p>
      <w:pPr>
        <w:spacing w:after="60" w:line="276"/>
        <w:ind w:left="480"/>
      </w:pPr>
      <w:r>
        <w:rPr>
          <w:rFonts w:ascii="Courier New" w:cs="Courier New" w:eastAsia="Courier New" w:hAnsi="Courier New"/>
          <w:sz w:val="18"/>
          <w:szCs w:val="18"/>
        </w:rPr>
        <w:t xml:space="preserve">  (p : KitaevParams) :</w:t>
      </w:r>
    </w:p>
    <w:p>
      <w:pPr>
        <w:spacing w:after="60" w:line="276"/>
        <w:ind w:left="480"/>
      </w:pPr>
      <w:r>
        <w:rPr>
          <w:rFonts w:ascii="Courier New" w:cs="Courier New" w:eastAsia="Courier New" w:hAnsi="Courier New"/>
          <w:sz w:val="18"/>
          <w:szCs w:val="18"/>
        </w:rPr>
        <w:t xml:space="preserve">  at_phase_boundary p →</w:t>
      </w:r>
    </w:p>
    <w:p>
      <w:pPr>
        <w:spacing w:after="60" w:line="276"/>
        <w:ind w:left="480"/>
      </w:pPr>
      <w:r>
        <w:rPr>
          <w:rFonts w:ascii="Courier New" w:cs="Courier New" w:eastAsia="Courier New" w:hAnsi="Courier New"/>
          <w:sz w:val="18"/>
          <w:szCs w:val="18"/>
        </w:rPr>
        <w:t xml:space="preserve">  ¬ IsGapped (kitaev_bivector p)</w:t>
      </w:r>
    </w:p>
    <w:p>
      <w:pPr>
        <w:spacing w:after="120" w:line="360"/>
      </w:pPr>
      <w:r>
        <w:t xml:space="preserve">The first axiom states that in the topological phase (|μ| &lt; 2t, Δ ≠ 0), the gap condition is satisfiable—a proof of </w:t>
      </w:r>
      <w:r>
        <w:rPr>
          <w:rFonts w:ascii="Courier New" w:cs="Courier New" w:eastAsia="Courier New" w:hAnsi="Courier New"/>
          <w:sz w:val="20"/>
          <w:szCs w:val="20"/>
        </w:rPr>
        <w:t xml:space="preserve">IsGapped</w:t>
      </w:r>
      <w:r>
        <w:t xml:space="preserve"> exists. The second states that at the phase boundary (|μ| = 2t), the gap condition is </w:t>
      </w:r>
      <w:r>
        <w:rPr>
          <w:i/>
          <w:iCs/>
        </w:rPr>
        <w:t xml:space="preserve">unsatisfiable</w:t>
      </w:r>
      <w:r>
        <w:t xml:space="preserve">—no proof of </w:t>
      </w:r>
      <w:r>
        <w:rPr>
          <w:rFonts w:ascii="Courier New" w:cs="Courier New" w:eastAsia="Courier New" w:hAnsi="Courier New"/>
          <w:sz w:val="20"/>
          <w:szCs w:val="20"/>
        </w:rPr>
        <w:t xml:space="preserve">IsGapped</w:t>
      </w:r>
      <w:r>
        <w:t xml:space="preserve"> exists. These are labeled as axioms because their proofs require analytic arguments about the zeros of trigonometric functions, which lie outside our current formalization scope.</w:t>
      </w:r>
    </w:p>
    <w:p>
      <w:pPr>
        <w:spacing w:after="120" w:line="360"/>
      </w:pPr>
      <w:r>
        <w:t xml:space="preserve">The consequence is that the winding number is computable in the topological phase:</w:t>
      </w:r>
    </w:p>
    <w:p>
      <w:pPr>
        <w:spacing w:after="60" w:line="276"/>
        <w:ind w:left="480"/>
      </w:pPr>
      <w:r>
        <w:rPr>
          <w:rFonts w:ascii="Courier New" w:cs="Courier New" w:eastAsia="Courier New" w:hAnsi="Courier New"/>
          <w:sz w:val="18"/>
          <w:szCs w:val="18"/>
        </w:rPr>
        <w:t xml:space="preserve">def kitaev_winding_number</w:t>
      </w:r>
    </w:p>
    <w:p>
      <w:pPr>
        <w:spacing w:after="60" w:line="276"/>
        <w:ind w:left="480"/>
      </w:pPr>
      <w:r>
        <w:rPr>
          <w:rFonts w:ascii="Courier New" w:cs="Courier New" w:eastAsia="Courier New" w:hAnsi="Courier New"/>
          <w:sz w:val="18"/>
          <w:szCs w:val="18"/>
        </w:rPr>
        <w:t xml:space="preserve">  (p : KitaevParams)</w:t>
      </w:r>
    </w:p>
    <w:p>
      <w:pPr>
        <w:spacing w:after="60" w:line="276"/>
        <w:ind w:left="480"/>
      </w:pPr>
      <w:r>
        <w:rPr>
          <w:rFonts w:ascii="Courier New" w:cs="Courier New" w:eastAsia="Courier New" w:hAnsi="Courier New"/>
          <w:sz w:val="18"/>
          <w:szCs w:val="18"/>
        </w:rPr>
        <w:t xml:space="preserve">  (h_topo : in_topological_phase p) : Int’ :=</w:t>
      </w:r>
    </w:p>
    <w:p>
      <w:pPr>
        <w:spacing w:after="60" w:line="276"/>
        <w:ind w:left="480"/>
      </w:pPr>
      <w:r>
        <w:rPr>
          <w:rFonts w:ascii="Courier New" w:cs="Courier New" w:eastAsia="Courier New" w:hAnsi="Courier New"/>
          <w:sz w:val="18"/>
          <w:szCs w:val="18"/>
        </w:rPr>
        <w:t xml:space="preserve">  topological_invariant</w:t>
      </w:r>
    </w:p>
    <w:p>
      <w:pPr>
        <w:spacing w:after="60" w:line="276"/>
        <w:ind w:left="480"/>
      </w:pPr>
      <w:r>
        <w:rPr>
          <w:rFonts w:ascii="Courier New" w:cs="Courier New" w:eastAsia="Courier New" w:hAnsi="Courier New"/>
          <w:sz w:val="18"/>
          <w:szCs w:val="18"/>
        </w:rPr>
        <w:t xml:space="preserve">    (kitaev_bivector p)</w:t>
      </w:r>
    </w:p>
    <w:p>
      <w:pPr>
        <w:spacing w:after="60" w:line="276"/>
        <w:ind w:left="480"/>
      </w:pPr>
      <w:r>
        <w:rPr>
          <w:rFonts w:ascii="Courier New" w:cs="Courier New" w:eastAsia="Courier New" w:hAnsi="Courier New"/>
          <w:sz w:val="18"/>
          <w:szCs w:val="18"/>
        </w:rPr>
        <w:t xml:space="preserve">    (topological_phase_implies_gapped p h_topo)</w:t>
      </w:r>
    </w:p>
    <w:p>
      <w:pPr>
        <w:spacing w:after="120" w:line="360"/>
      </w:pPr>
      <w:r>
        <w:t xml:space="preserve">and </w:t>
      </w:r>
      <w:r>
        <w:rPr>
          <w:i/>
          <w:iCs/>
        </w:rPr>
        <w:t xml:space="preserve">not</w:t>
      </w:r>
      <w:r>
        <w:t xml:space="preserve"> computable at the phase boundary:</w:t>
      </w:r>
    </w:p>
    <w:p>
      <w:pPr>
        <w:spacing w:after="60" w:line="276"/>
        <w:ind w:left="480"/>
      </w:pPr>
      <w:r>
        <w:rPr>
          <w:rFonts w:ascii="Courier New" w:cs="Courier New" w:eastAsia="Courier New" w:hAnsi="Courier New"/>
          <w:sz w:val="18"/>
          <w:szCs w:val="18"/>
        </w:rPr>
        <w:t xml:space="preserve">theorem winding_undefined_at_boundary</w:t>
      </w:r>
    </w:p>
    <w:p>
      <w:pPr>
        <w:spacing w:after="60" w:line="276"/>
        <w:ind w:left="480"/>
      </w:pPr>
      <w:r>
        <w:rPr>
          <w:rFonts w:ascii="Courier New" w:cs="Courier New" w:eastAsia="Courier New" w:hAnsi="Courier New"/>
          <w:sz w:val="18"/>
          <w:szCs w:val="18"/>
        </w:rPr>
        <w:t xml:space="preserve">  (p : KitaevParams)</w:t>
      </w:r>
    </w:p>
    <w:p>
      <w:pPr>
        <w:spacing w:after="60" w:line="276"/>
        <w:ind w:left="480"/>
      </w:pPr>
      <w:r>
        <w:rPr>
          <w:rFonts w:ascii="Courier New" w:cs="Courier New" w:eastAsia="Courier New" w:hAnsi="Courier New"/>
          <w:sz w:val="18"/>
          <w:szCs w:val="18"/>
        </w:rPr>
        <w:t xml:space="preserve">  (h_boundary : at_phase_boundary p) :</w:t>
      </w:r>
    </w:p>
    <w:p>
      <w:pPr>
        <w:spacing w:after="60" w:line="276"/>
        <w:ind w:left="480"/>
      </w:pPr>
      <w:r>
        <w:rPr>
          <w:rFonts w:ascii="Courier New" w:cs="Courier New" w:eastAsia="Courier New" w:hAnsi="Courier New"/>
          <w:sz w:val="18"/>
          <w:szCs w:val="18"/>
        </w:rPr>
        <w:t xml:space="preserve">  ¬ ∃ (hGap : IsGapped</w:t>
      </w:r>
    </w:p>
    <w:p>
      <w:pPr>
        <w:spacing w:after="60" w:line="276"/>
        <w:ind w:left="480"/>
      </w:pPr>
      <w:r>
        <w:rPr>
          <w:rFonts w:ascii="Courier New" w:cs="Courier New" w:eastAsia="Courier New" w:hAnsi="Courier New"/>
          <w:sz w:val="18"/>
          <w:szCs w:val="18"/>
        </w:rPr>
        <w:t xml:space="preserve">    (kitaev_bivector p)), True := by</w:t>
      </w:r>
    </w:p>
    <w:p>
      <w:pPr>
        <w:spacing w:after="60" w:line="276"/>
        <w:ind w:left="480"/>
      </w:pPr>
      <w:r>
        <w:rPr>
          <w:rFonts w:ascii="Courier New" w:cs="Courier New" w:eastAsia="Courier New" w:hAnsi="Courier New"/>
          <w:sz w:val="18"/>
          <w:szCs w:val="18"/>
        </w:rPr>
        <w:t xml:space="preserve">  intro ⟨hGap, _⟩</w:t>
      </w:r>
    </w:p>
    <w:p>
      <w:pPr>
        <w:spacing w:after="60" w:line="276"/>
        <w:ind w:left="480"/>
      </w:pPr>
      <w:r>
        <w:rPr>
          <w:rFonts w:ascii="Courier New" w:cs="Courier New" w:eastAsia="Courier New" w:hAnsi="Courier New"/>
          <w:sz w:val="18"/>
          <w:szCs w:val="18"/>
        </w:rPr>
        <w:t xml:space="preserve">  exact phase_boundary_not_gapped p</w:t>
      </w:r>
    </w:p>
    <w:p>
      <w:pPr>
        <w:spacing w:after="60" w:line="276"/>
        <w:ind w:left="480"/>
      </w:pPr>
      <w:r>
        <w:rPr>
          <w:rFonts w:ascii="Courier New" w:cs="Courier New" w:eastAsia="Courier New" w:hAnsi="Courier New"/>
          <w:sz w:val="18"/>
          <w:szCs w:val="18"/>
        </w:rPr>
        <w:t xml:space="preserve">    h_boundary hGap</w:t>
      </w:r>
    </w:p>
    <w:p>
      <w:pPr>
        <w:spacing w:after="120" w:line="360"/>
      </w:pPr>
      <w:r>
        <w:t xml:space="preserve">This theorem has genuine content: it proves that at the phase boundary, </w:t>
      </w:r>
      <w:r>
        <w:rPr>
          <w:i/>
          <w:iCs/>
        </w:rPr>
        <w:t xml:space="preserve">no proof of the gap condition can exist</w:t>
      </w:r>
      <w:r>
        <w:t xml:space="preserve">, and therefore </w:t>
      </w:r>
      <w:r>
        <w:rPr>
          <w:rFonts w:ascii="Courier New" w:cs="Courier New" w:eastAsia="Courier New" w:hAnsi="Courier New"/>
          <w:sz w:val="20"/>
          <w:szCs w:val="20"/>
        </w:rPr>
        <w:t xml:space="preserve">kitaev_winding_number</w:t>
      </w:r>
      <w:r>
        <w:t xml:space="preserve"> is uncallable. The phase transition is a </w:t>
      </w:r>
      <w:r>
        <w:rPr>
          <w:i/>
          <w:iCs/>
        </w:rPr>
        <w:t xml:space="preserve">type error</w:t>
      </w:r>
      <w:r>
        <w:t xml:space="preserve">: the caller cannot construct the required argument.</w:t>
      </w:r>
    </w:p>
    <w:p>
      <w:pPr>
        <w:pStyle w:val="Heading2"/>
      </w:pPr>
      <w:r>
        <w:rPr>
          <w:rFonts w:ascii="Times New Roman" w:cs="Times New Roman" w:eastAsia="Times New Roman" w:hAnsi="Times New Roman"/>
          <w:b/>
          <w:bCs/>
        </w:rPr>
        <w:t xml:space="preserve">5.3. Connection to Edge Modes</w:t>
      </w:r>
    </w:p>
    <w:p>
      <w:pPr>
        <w:spacing w:after="120" w:line="360"/>
      </w:pPr>
      <w:r>
        <w:t xml:space="preserve">The bridge layer also connects the topological invariant to the MSTA’s concrete algebra. When the winding number equals ±1, the system supports a Majorana zero mode—a gamma matrix generator that commutes with the bulk Hamiltonian:</w:t>
      </w:r>
    </w:p>
    <w:p>
      <w:pPr>
        <w:spacing w:after="60" w:line="276"/>
        <w:ind w:left="480"/>
      </w:pPr>
      <w:r>
        <w:rPr>
          <w:rFonts w:ascii="Courier New" w:cs="Courier New" w:eastAsia="Courier New" w:hAnsi="Courier New"/>
          <w:sz w:val="18"/>
          <w:szCs w:val="18"/>
        </w:rPr>
        <w:t xml:space="preserve">axiom topological_implies_majorana</w:t>
      </w:r>
    </w:p>
    <w:p>
      <w:pPr>
        <w:spacing w:after="60" w:line="276"/>
        <w:ind w:left="480"/>
      </w:pPr>
      <w:r>
        <w:rPr>
          <w:rFonts w:ascii="Courier New" w:cs="Courier New" w:eastAsia="Courier New" w:hAnsi="Courier New"/>
          <w:sz w:val="18"/>
          <w:szCs w:val="18"/>
        </w:rPr>
        <w:t xml:space="preserve">  (p : KitaevParams)</w:t>
      </w:r>
    </w:p>
    <w:p>
      <w:pPr>
        <w:spacing w:after="60" w:line="276"/>
        <w:ind w:left="480"/>
      </w:pPr>
      <w:r>
        <w:rPr>
          <w:rFonts w:ascii="Courier New" w:cs="Courier New" w:eastAsia="Courier New" w:hAnsi="Courier New"/>
          <w:sz w:val="18"/>
          <w:szCs w:val="18"/>
        </w:rPr>
        <w:t xml:space="preserve">  (h_topo : in_topological_phase p) :</w:t>
      </w:r>
    </w:p>
    <w:p>
      <w:pPr>
        <w:spacing w:after="60" w:line="276"/>
        <w:ind w:left="480"/>
      </w:pPr>
      <w:r>
        <w:rPr>
          <w:rFonts w:ascii="Courier New" w:cs="Courier New" w:eastAsia="Courier New" w:hAnsi="Courier New"/>
          <w:sz w:val="18"/>
          <w:szCs w:val="18"/>
        </w:rPr>
        <w:t xml:space="preserve">  kitaev_winding_number p h_topo</w:t>
      </w:r>
    </w:p>
    <w:p>
      <w:pPr>
        <w:spacing w:after="60" w:line="276"/>
        <w:ind w:left="480"/>
      </w:pPr>
      <w:r>
        <w:rPr>
          <w:rFonts w:ascii="Courier New" w:cs="Courier New" w:eastAsia="Courier New" w:hAnsi="Courier New"/>
          <w:sz w:val="18"/>
          <w:szCs w:val="18"/>
        </w:rPr>
        <w:t xml:space="preserve">    = winding_one →</w:t>
      </w:r>
    </w:p>
    <w:p>
      <w:pPr>
        <w:spacing w:after="60" w:line="276"/>
        <w:ind w:left="480"/>
      </w:pPr>
      <w:r>
        <w:rPr>
          <w:rFonts w:ascii="Courier New" w:cs="Courier New" w:eastAsia="Courier New" w:hAnsi="Courier New"/>
          <w:sz w:val="18"/>
          <w:szCs w:val="18"/>
        </w:rPr>
        <w:t xml:space="preserve">  ∃ (i : Fin n) (μ : SpacetimeIndex),</w:t>
      </w:r>
    </w:p>
    <w:p>
      <w:pPr>
        <w:spacing w:after="60" w:line="276"/>
        <w:ind w:left="480"/>
      </w:pPr>
      <w:r>
        <w:rPr>
          <w:rFonts w:ascii="Courier New" w:cs="Courier New" w:eastAsia="Courier New" w:hAnsi="Courier New"/>
          <w:sz w:val="18"/>
          <w:szCs w:val="18"/>
        </w:rPr>
        <w:t xml:space="preserve">    gamma n i μ * embed_hamiltonian n p</w:t>
      </w:r>
    </w:p>
    <w:p>
      <w:pPr>
        <w:spacing w:after="60" w:line="276"/>
        <w:ind w:left="480"/>
      </w:pPr>
      <w:r>
        <w:rPr>
          <w:rFonts w:ascii="Courier New" w:cs="Courier New" w:eastAsia="Courier New" w:hAnsi="Courier New"/>
          <w:sz w:val="18"/>
          <w:szCs w:val="18"/>
        </w:rPr>
        <w:t xml:space="preserve">    = embed_hamiltonian n p * gamma n i μ</w:t>
      </w:r>
    </w:p>
    <w:p>
      <w:pPr>
        <w:spacing w:after="120" w:line="360"/>
      </w:pPr>
      <w:r>
        <w:t xml:space="preserve">This axiom encodes the bulk-boundary correspondence: the topological invariant (computed in the abstract layer) determines the existence of localized edge modes (expressed in the concrete layer). The axiom’s type signature is the formal statement of this correspondence.</w:t>
      </w:r>
    </w:p>
    <w:p>
      <w:pPr>
        <w:pStyle w:val="Heading1"/>
      </w:pPr>
      <w:r>
        <w:rPr>
          <w:rFonts w:ascii="Times New Roman" w:cs="Times New Roman" w:eastAsia="Times New Roman" w:hAnsi="Times New Roman"/>
          <w:b/>
          <w:bCs/>
        </w:rPr>
        <w:t xml:space="preserve">6. Discussion</w:t>
      </w:r>
    </w:p>
    <w:p>
      <w:pPr>
        <w:pStyle w:val="Heading2"/>
      </w:pPr>
      <w:r>
        <w:rPr>
          <w:rFonts w:ascii="Times New Roman" w:cs="Times New Roman" w:eastAsia="Times New Roman" w:hAnsi="Times New Roman"/>
          <w:b/>
          <w:bCs/>
        </w:rPr>
        <w:t xml:space="preserve">6.1. The IsGapped ↔ Computability Correspondence</w:t>
      </w:r>
    </w:p>
    <w:p>
      <w:pPr>
        <w:spacing w:after="120" w:line="360"/>
      </w:pPr>
      <w:r>
        <w:t xml:space="preserve">The central observation of this formalization is that the gap condition in topological physics and the computability of the topological invariant are </w:t>
      </w:r>
      <w:r>
        <w:rPr>
          <w:i/>
          <w:iCs/>
        </w:rPr>
        <w:t xml:space="preserve">the same thing</w:t>
      </w:r>
      <w:r>
        <w:t xml:space="preserve"> when expressed in dependent type theory. In conventional mathematics, one writes “the winding number is defined when the system is gapped” as a side condition. In our formalization, this side condition </w:t>
      </w:r>
      <w:r>
        <w:rPr>
          <w:i/>
          <w:iCs/>
        </w:rPr>
        <w:t xml:space="preserve">is the type</w:t>
      </w:r>
      <w:r>
        <w:t xml:space="preserve">. The function signature </w:t>
      </w:r>
      <w:r>
        <w:rPr>
          <w:rFonts w:ascii="Courier New" w:cs="Courier New" w:eastAsia="Courier New" w:hAnsi="Courier New"/>
          <w:sz w:val="20"/>
          <w:szCs w:val="20"/>
        </w:rPr>
        <w:t xml:space="preserve">(hGap : IsGapped H) → Int’</w:t>
      </w:r>
      <w:r>
        <w:t xml:space="preserve"> enforces the side condition structurally, making it impossible to misuse.</w:t>
      </w:r>
    </w:p>
    <w:p>
      <w:pPr>
        <w:spacing w:after="120" w:line="360"/>
      </w:pPr>
      <w:r>
        <w:t xml:space="preserve">This is not merely a matter of bookkeeping. The conventional treatment allows one to </w:t>
      </w:r>
      <w:r>
        <w:rPr>
          <w:i/>
          <w:iCs/>
        </w:rPr>
        <w:t xml:space="preserve">attempt</w:t>
      </w:r>
      <w:r>
        <w:t xml:space="preserve"> to compute the winding number at the phase boundary and obtain a divergence or ill-defined limit. The type-theoretic treatment prevents the attempt entirely. The distinction is between a system that produces an error at runtime and one that rejects the program at compile time.</w:t>
      </w:r>
    </w:p>
    <w:p>
      <w:pPr>
        <w:pStyle w:val="Heading2"/>
      </w:pPr>
      <w:r>
        <w:rPr>
          <w:rFonts w:ascii="Times New Roman" w:cs="Times New Roman" w:eastAsia="Times New Roman" w:hAnsi="Times New Roman"/>
          <w:b/>
          <w:bCs/>
        </w:rPr>
        <w:t xml:space="preserve">6.2. Phase Transitions as Type Errors</w:t>
      </w:r>
    </w:p>
    <w:p>
      <w:pPr>
        <w:spacing w:after="120" w:line="360"/>
      </w:pPr>
      <w:r>
        <w:t xml:space="preserve">The phrase “phase transition as type error” deserves careful qualification. We do not claim that all phase transitions are type errors, or that type theory replaces the physical description of criticality. What we claim is narrower and, we believe, precise: for topological phase transitions where the invariant is defined only in the gapped phase, the gap closure is exactly an obstruction to discharging the proof obligation required by the invariant’s type signature. The universality class, critical exponents, and dynamical properties of the transition are not captured by this description. The </w:t>
      </w:r>
      <w:r>
        <w:rPr>
          <w:i/>
          <w:iCs/>
        </w:rPr>
        <w:t xml:space="preserve">topological classification</w:t>
      </w:r>
      <w:r>
        <w:t xml:space="preserve"> is.</w:t>
      </w:r>
    </w:p>
    <w:p>
      <w:pPr>
        <w:pStyle w:val="Heading2"/>
      </w:pPr>
      <w:r>
        <w:rPr>
          <w:rFonts w:ascii="Times New Roman" w:cs="Times New Roman" w:eastAsia="Times New Roman" w:hAnsi="Times New Roman"/>
          <w:b/>
          <w:bCs/>
        </w:rPr>
        <w:t xml:space="preserve">6.3. Axiom Accounting</w:t>
      </w:r>
    </w:p>
    <w:p>
      <w:pPr>
        <w:spacing w:after="120" w:line="360"/>
      </w:pPr>
      <w:r>
        <w:t xml:space="preserve">The formalization contains axioms at three levels, and we consider their explicit enumeration essential to the paper’s intellectual honesty:</w:t>
      </w:r>
    </w:p>
    <w:p>
      <w:pPr>
        <w:spacing w:after="120" w:line="360"/>
        <w:ind w:left="480"/>
      </w:pPr>
      <w:r>
        <w:rPr>
          <w:b/>
          <w:bCs/>
        </w:rPr>
        <w:t xml:space="preserve">Mathematical axioms</w:t>
      </w:r>
      <w:r>
        <w:t xml:space="preserve"> (provable from standard mathematics): </w:t>
      </w:r>
      <w:r>
        <w:rPr>
          <w:rFonts w:ascii="Courier New" w:cs="Courier New" w:eastAsia="Courier New" w:hAnsi="Courier New"/>
          <w:sz w:val="20"/>
          <w:szCs w:val="20"/>
        </w:rPr>
        <w:t xml:space="preserve">exact_quantization</w:t>
      </w:r>
      <w:r>
        <w:t xml:space="preserve"> (the degree of a map S¹ → S¹ is an integer). Formalizing this proof requires homotopy theory in Lean, which exists in prototype form but is not yet mature in Mathlib.</w:t>
      </w:r>
    </w:p>
    <w:p>
      <w:pPr>
        <w:spacing w:after="120" w:line="360"/>
        <w:ind w:left="480"/>
      </w:pPr>
      <w:r>
        <w:rPr>
          <w:b/>
          <w:bCs/>
        </w:rPr>
        <w:t xml:space="preserve">Physical axioms</w:t>
      </w:r>
      <w:r>
        <w:t xml:space="preserve"> (encoding empirical content): </w:t>
      </w:r>
      <w:r>
        <w:rPr>
          <w:rFonts w:ascii="Courier New" w:cs="Courier New" w:eastAsia="Courier New" w:hAnsi="Courier New"/>
          <w:sz w:val="20"/>
          <w:szCs w:val="20"/>
        </w:rPr>
        <w:t xml:space="preserve">in_topological_phase</w:t>
      </w:r>
      <w:r>
        <w:t xml:space="preserve">, </w:t>
      </w:r>
      <w:r>
        <w:rPr>
          <w:rFonts w:ascii="Courier New" w:cs="Courier New" w:eastAsia="Courier New" w:hAnsi="Courier New"/>
          <w:sz w:val="20"/>
          <w:szCs w:val="20"/>
        </w:rPr>
        <w:t xml:space="preserve">at_phase_boundary</w:t>
      </w:r>
      <w:r>
        <w:t xml:space="preserve">, and their relationship to the gap condition. These encode the specific physics of the Kitaev chain: which parameter values produce a gap and which do not.</w:t>
      </w:r>
    </w:p>
    <w:p>
      <w:pPr>
        <w:spacing w:after="120" w:line="360"/>
        <w:ind w:left="480"/>
      </w:pPr>
      <w:r>
        <w:rPr>
          <w:b/>
          <w:bCs/>
        </w:rPr>
        <w:t xml:space="preserve">Bridge axioms</w:t>
      </w:r>
      <w:r>
        <w:t xml:space="preserve"> (connecting mathematics to physics): </w:t>
      </w:r>
      <w:r>
        <w:rPr>
          <w:rFonts w:ascii="Courier New" w:cs="Courier New" w:eastAsia="Courier New" w:hAnsi="Courier New"/>
          <w:sz w:val="20"/>
          <w:szCs w:val="20"/>
        </w:rPr>
        <w:t xml:space="preserve">topological_implies_majorana</w:t>
      </w:r>
      <w:r>
        <w:t xml:space="preserve"> and </w:t>
      </w:r>
      <w:r>
        <w:rPr>
          <w:rFonts w:ascii="Courier New" w:cs="Courier New" w:eastAsia="Courier New" w:hAnsi="Courier New"/>
          <w:sz w:val="20"/>
          <w:szCs w:val="20"/>
        </w:rPr>
        <w:t xml:space="preserve">embed_hamiltonian</w:t>
      </w:r>
      <w:r>
        <w:t xml:space="preserve">. These encode the bulk-boundary correspondence and the embedding of the single-particle Hamiltonian into the multiparticle algebra.</w:t>
      </w:r>
    </w:p>
    <w:p>
      <w:pPr>
        <w:spacing w:after="120" w:line="360"/>
      </w:pPr>
      <w:r>
        <w:t xml:space="preserve">A fully formal treatment would prove the mathematical axioms from Lean’s foundations, reduce the physical axioms to explicit inequalities about trigonometric functions, and derive the bridge axioms from index theory. Each of these is a substantial project in its own right. The present work establishes the architecture in which these proofs would live.</w:t>
      </w:r>
    </w:p>
    <w:p>
      <w:pPr>
        <w:pStyle w:val="Heading2"/>
      </w:pPr>
      <w:r>
        <w:rPr>
          <w:rFonts w:ascii="Times New Roman" w:cs="Times New Roman" w:eastAsia="Times New Roman" w:hAnsi="Times New Roman"/>
          <w:b/>
          <w:bCs/>
        </w:rPr>
        <w:t xml:space="preserve">6.4. Relation to Prior Work</w:t>
      </w:r>
    </w:p>
    <w:p>
      <w:pPr>
        <w:spacing w:after="120" w:line="360"/>
      </w:pPr>
      <w:r>
        <w:t xml:space="preserve">Formal verification of physics has received growing attention. Boldo et al. [5] formalized the wave equation in Coq. Immler and Traut [6] verified dynamical systems in Isabelle/HOL. Bauer et al. [7] used homotopy type theory for synthetic homotopy groups. To our knowledge, this is the first formalization of a topological phase classification in a dependently typed proof assistant, and the first to identify the gap-computability correspondence as a type-theoretic phenomenon.</w:t>
      </w:r>
    </w:p>
    <w:p>
      <w:pPr>
        <w:spacing w:after="120" w:line="360"/>
      </w:pPr>
      <w:r>
        <w:t xml:space="preserve">The use of Clifford algebras from Mathlib connects this work to the broader program of formalizing physics in the geometric algebra framework [4, 8]. The MSTA construction shows that Mathlib’s </w:t>
      </w:r>
      <w:r>
        <w:rPr>
          <w:rFonts w:ascii="Courier New" w:cs="Courier New" w:eastAsia="Courier New" w:hAnsi="Courier New"/>
          <w:sz w:val="20"/>
          <w:szCs w:val="20"/>
        </w:rPr>
        <w:t xml:space="preserve">CliffordAlgebra</w:t>
      </w:r>
      <w:r>
        <w:t xml:space="preserve"> is sufficiently mature to support physically meaningful calculations, though closing the </w:t>
      </w:r>
      <w:r>
        <w:rPr>
          <w:rFonts w:ascii="Courier New" w:cs="Courier New" w:eastAsia="Courier New" w:hAnsi="Courier New"/>
          <w:sz w:val="20"/>
          <w:szCs w:val="20"/>
        </w:rPr>
        <w:t xml:space="preserve">sorry</w:t>
      </w:r>
      <w:r>
        <w:t xml:space="preserve"> placeholders requires further work with the </w:t>
      </w:r>
      <w:r>
        <w:rPr>
          <w:rFonts w:ascii="Courier New" w:cs="Courier New" w:eastAsia="Courier New" w:hAnsi="Courier New"/>
          <w:sz w:val="20"/>
          <w:szCs w:val="20"/>
        </w:rPr>
        <w:t xml:space="preserve">Finsupp</w:t>
      </w:r>
      <w:r>
        <w:t xml:space="preserve"> API.</w:t>
      </w:r>
    </w:p>
    <w:p>
      <w:pPr>
        <w:pStyle w:val="Heading1"/>
      </w:pPr>
      <w:r>
        <w:rPr>
          <w:rFonts w:ascii="Times New Roman" w:cs="Times New Roman" w:eastAsia="Times New Roman" w:hAnsi="Times New Roman"/>
          <w:b/>
          <w:bCs/>
        </w:rPr>
        <w:t xml:space="preserve">7. Conclusion and Future Work</w:t>
      </w:r>
    </w:p>
    <w:p>
      <w:pPr>
        <w:spacing w:after="120" w:line="360"/>
      </w:pPr>
      <w:r>
        <w:t xml:space="preserve">We have formalized the topological classification of the Kitaev chain in Lean 4, demonstrating that dependent type theory provides a natural framework for expressing gap-protected topological invariants. The key insight—that the gap condition is a proof obligation whose undischargeability at the phase boundary renders the topological invariant uncallable—is intrinsic to the dependent type structure and does not require any additional formalism.</w:t>
      </w:r>
    </w:p>
    <w:p>
      <w:pPr>
        <w:spacing w:after="120" w:line="360"/>
      </w:pPr>
      <w:r>
        <w:t xml:space="preserve">Several directions for future work are immediate:</w:t>
      </w:r>
    </w:p>
    <w:p>
      <w:pPr>
        <w:spacing w:after="120" w:line="360"/>
        <w:ind w:left="480"/>
      </w:pPr>
      <w:r>
        <w:rPr>
          <w:b/>
          <w:bCs/>
        </w:rPr>
        <w:t xml:space="preserve">Closing the sorry lemmas. </w:t>
      </w:r>
      <w:r>
        <w:t xml:space="preserve">The gamma_sq and gamma_anticomm’ lemmas should be provable from Mathlib’s CliffordAlgebra.iota_sq and the bilinear form orthogonality on Finsupp.single basis vectors. This is technically involved but mathematically routine.</w:t>
      </w:r>
    </w:p>
    <w:p>
      <w:pPr>
        <w:spacing w:after="120" w:line="360"/>
        <w:ind w:left="480"/>
      </w:pPr>
      <w:r>
        <w:rPr>
          <w:b/>
          <w:bCs/>
        </w:rPr>
        <w:t xml:space="preserve">Reducing the physical axioms. </w:t>
      </w:r>
      <w:r>
        <w:t xml:space="preserve">The axioms topological_phase_implies_gapped and phase_boundary_not_gapped can be reduced to explicit analytic inequalities about the zeros of 2Δ sin(k) and 2t cos(k) + μ. This requires Lean’s analysis library.</w:t>
      </w:r>
    </w:p>
    <w:p>
      <w:pPr>
        <w:spacing w:after="120" w:line="360"/>
        <w:ind w:left="480"/>
      </w:pPr>
      <w:r>
        <w:rPr>
          <w:b/>
          <w:bCs/>
        </w:rPr>
        <w:t xml:space="preserve">Higher-dimensional generalization. </w:t>
      </w:r>
      <w:r>
        <w:t xml:space="preserve">The framework extends to 2D (Chern insulators, with the invariant as a Chern number) and 3D (topological insulators classified by ℤ₂). Each requires a different base space (T², T³) and a different proof obligation (non-degeneracy of a Berry connection rather than a winding number).</w:t>
      </w:r>
    </w:p>
    <w:p>
      <w:pPr>
        <w:spacing w:after="120" w:line="360"/>
        <w:ind w:left="480"/>
      </w:pPr>
      <w:r>
        <w:rPr>
          <w:b/>
          <w:bCs/>
        </w:rPr>
        <w:t xml:space="preserve">Connection to topological quantum computing. </w:t>
      </w:r>
      <w:r>
        <w:t xml:space="preserve">The Majorana zero modes protected by the winding number are candidate qubits for topological quantum computation. The type-theoretic framework naturally extends to braiding operations (crossing changes on vortex filaments), where the read/write cycle of topological state manipulation acquires a direct computational interpretation.</w:t>
      </w:r>
    </w:p>
    <w:p>
      <w:pPr>
        <w:spacing w:after="120" w:line="360"/>
      </w:pPr>
      <w:r>
        <w:t xml:space="preserve">The broader lesson is methodological: dependent type theory does not merely verify known physics, but reveals structural features—such as the gap-computability correspondence—that are present but implicit in the conventional formulation. Formalizing physics in proof assistants is not only a matter of rigor; it is a form of discovery.</w:t>
      </w:r>
    </w:p>
    <w:p>
      <w:pPr>
        <w:pStyle w:val="Heading1"/>
      </w:pPr>
      <w:r>
        <w:rPr>
          <w:rFonts w:ascii="Times New Roman" w:cs="Times New Roman" w:eastAsia="Times New Roman" w:hAnsi="Times New Roman"/>
          <w:b/>
          <w:bCs/>
        </w:rPr>
        <w:t xml:space="preserve">References</w:t>
      </w:r>
    </w:p>
    <w:p>
      <w:pPr>
        <w:spacing w:after="80" w:line="276"/>
      </w:pPr>
      <w:r>
        <w:t xml:space="preserve">[1] A. Kitaev, “Unpaired Majorana fermions in quantum wires,” Physics-Uspekhi 44, 131 (2001). arXiv:cond-mat/0010440.</w:t>
      </w:r>
    </w:p>
    <w:p>
      <w:pPr>
        <w:spacing w:after="80" w:line="276"/>
      </w:pPr>
      <w:r>
        <w:t xml:space="preserve">[2] L. de Moura and S. Ullrich, “The Lean 4 Theorem Prover and Programming Language,” CADE-28, Lecture Notes in Computer Science 12699 (2021).</w:t>
      </w:r>
    </w:p>
    <w:p>
      <w:pPr>
        <w:spacing w:after="80" w:line="276"/>
      </w:pPr>
      <w:r>
        <w:t xml:space="preserve">[3] The Mathlib Community, “Mathlib: A Unified Library of Mathematics Formalized,” CPP 2020.</w:t>
      </w:r>
    </w:p>
    <w:p>
      <w:pPr>
        <w:spacing w:after="80" w:line="276"/>
      </w:pPr>
      <w:r>
        <w:t xml:space="preserve">[4] C. Doran and A. Lasenby, Geometric Algebra for Physicists, Cambridge University Press (2003).</w:t>
      </w:r>
    </w:p>
    <w:p>
      <w:pPr>
        <w:spacing w:after="80" w:line="276"/>
      </w:pPr>
      <w:r>
        <w:t xml:space="preserve">[5] S. Boldo, F. Clément, J.-C. Filliâtre, M. Mayero, G. Melquiond, and P. Weis, “Wave Equation Numerical Resolution: A Comprehensive Mechanized Proof of a C Program,” Journal of Automated Reasoning 50 (2013).</w:t>
      </w:r>
    </w:p>
    <w:p>
      <w:pPr>
        <w:spacing w:after="80" w:line="276"/>
      </w:pPr>
      <w:r>
        <w:t xml:space="preserve">[6] F. Immler and J. Traut, “The Flow of ODEs: Formalization of Variational Equation and Poincaré Map,” Journal of Automated Reasoning 62 (2019).</w:t>
      </w:r>
    </w:p>
    <w:p>
      <w:pPr>
        <w:spacing w:after="80" w:line="276"/>
      </w:pPr>
      <w:r>
        <w:t xml:space="preserve">[7] A. Bauer, J. Gross, P. LeFanu Lumsdaine, M. Shulman, M. Sozeau, and B. Spitters, “The HoTT Library: A Formalization of Homotopy Type Theory in Coq,” CPP 2017.</w:t>
      </w:r>
    </w:p>
    <w:p>
      <w:pPr>
        <w:spacing w:after="80" w:line="276"/>
      </w:pPr>
      <w:r>
        <w:t xml:space="preserve">[8] D. Hestenes, Space-Time Algebra, second edition, Birkhäuser (2015).</w:t>
      </w:r>
    </w:p>
    <w:p>
      <w:r>
        <w:br w:type="page"/>
      </w:r>
    </w:p>
    <w:p>
      <w:pPr>
        <w:pStyle w:val="Heading1"/>
      </w:pPr>
      <w:r>
        <w:rPr>
          <w:rFonts w:ascii="Times New Roman" w:cs="Times New Roman" w:eastAsia="Times New Roman" w:hAnsi="Times New Roman"/>
          <w:b/>
          <w:bCs/>
        </w:rPr>
        <w:t xml:space="preserve">Appendix A: Complete Lean 4 Source</w:t>
      </w:r>
    </w:p>
    <w:p>
      <w:pPr>
        <w:spacing w:after="120" w:line="360"/>
      </w:pPr>
      <w:r>
        <w:t xml:space="preserve">The complete formalization is available at </w:t>
      </w:r>
      <w:r>
        <w:rPr>
          <w:i/>
          <w:iCs/>
        </w:rPr>
        <w:t xml:space="preserve">[GitHub repository URL]</w:t>
      </w:r>
      <w:r>
        <w:t xml:space="preserve">. It compiles against Lean 4 with Mathlib dependencies. The three files are:</w:t>
      </w:r>
    </w:p>
    <w:p>
      <w:pPr>
        <w:spacing w:after="60" w:line="276"/>
        <w:ind w:left="480"/>
      </w:pPr>
      <w:r>
        <w:rPr>
          <w:rFonts w:ascii="Courier New" w:cs="Courier New" w:eastAsia="Courier New" w:hAnsi="Courier New"/>
          <w:sz w:val="20"/>
          <w:szCs w:val="20"/>
        </w:rPr>
        <w:t xml:space="preserve">TopologicalInvariant.lean</w:t>
      </w:r>
      <w:r>
        <w:t xml:space="preserve"> — Part A: abstract winding number with dependent gap condition</w:t>
      </w:r>
    </w:p>
    <w:p>
      <w:pPr>
        <w:spacing w:after="60" w:line="276"/>
        <w:ind w:left="480"/>
      </w:pPr>
      <w:r>
        <w:rPr>
          <w:rFonts w:ascii="Courier New" w:cs="Courier New" w:eastAsia="Courier New" w:hAnsi="Courier New"/>
          <w:sz w:val="20"/>
          <w:szCs w:val="20"/>
        </w:rPr>
        <w:t xml:space="preserve">MSTA.lean</w:t>
      </w:r>
      <w:r>
        <w:t xml:space="preserve"> — Part B: Clifford algebra construction of gamma matrices</w:t>
      </w:r>
    </w:p>
    <w:p>
      <w:pPr>
        <w:spacing w:after="60" w:line="276"/>
        <w:ind w:left="480"/>
      </w:pPr>
      <w:r>
        <w:rPr>
          <w:rFonts w:ascii="Courier New" w:cs="Courier New" w:eastAsia="Courier New" w:hAnsi="Courier New"/>
          <w:sz w:val="20"/>
          <w:szCs w:val="20"/>
        </w:rPr>
        <w:t xml:space="preserve">KitaevBridge.lean</w:t>
      </w:r>
      <w:r>
        <w:t xml:space="preserve"> — Part C: physical parameters, phase boundary theorem, Majorana correspondence</w:t>
      </w:r>
    </w:p>
    <w:p>
      <w:pPr>
        <w:spacing w:after="120" w:line="360"/>
      </w:pPr>
      <w:r>
        <w:t xml:space="preserve">All axioms in the formalization are explicitly marked and categorized as mathematical, physical, or bridge. No axiom is used to circumvent a provable statement; each encodes content that lies outside the current formalization scope but within the reach of a targeted extension.</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2026-03-08T14:27:36.044Z</dcterms:created>
  <dcterms:modified xsi:type="dcterms:W3CDTF">2026-03-08T14:27:36.045Z</dcterms:modified>
</cp:coreProperties>
</file>

<file path=docProps/custom.xml><?xml version="1.0" encoding="utf-8"?>
<Properties xmlns="http://schemas.openxmlformats.org/officeDocument/2006/custom-properties" xmlns:vt="http://schemas.openxmlformats.org/officeDocument/2006/docPropsVTypes"/>
</file>