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THE GEOMETRY OF STATE</w:t>
      </w:r>
    </w:p>
    <w:p>
      <w:pPr>
        <w:spacing w:after="100"/>
        <w:jc w:val="center"/>
      </w:pPr>
      <w:r>
        <w:rPr>
          <w:rFonts w:ascii="Arial" w:cs="Arial" w:eastAsia="Arial" w:hAnsi="Arial"/>
          <w:color w:val="5D6D7E"/>
          <w:sz w:val="32"/>
          <w:szCs w:val="32"/>
        </w:rPr>
        <w:t xml:space="preserve">Project Summary Report</w:t>
      </w:r>
    </w:p>
    <w:p>
      <w:pPr>
        <w:spacing w:after="600"/>
        <w:jc w:val="center"/>
      </w:pPr>
      <w:r>
        <w:rPr>
          <w:rFonts w:ascii="Arial" w:cs="Arial" w:eastAsia="Arial" w:hAnsi="Arial"/>
          <w:i/>
          <w:iCs/>
          <w:color w:val="5D6D7E"/>
          <w:sz w:val="22"/>
          <w:szCs w:val="22"/>
        </w:rPr>
        <w:t xml:space="preserve">A Formally Verified Framework for Topological Quantum Matter,
Epistemic Methodology, and Cooperative Governance</w:t>
      </w:r>
    </w:p>
    <w:p>
      <w:pPr>
        <w:pBdr>
          <w:bottom w:val="single" w:color="1B4F72" w:sz="6" w:space="1"/>
        </w:pBdr>
        <w:jc w:val="center"/>
      </w:pPr>
    </w:p>
    <w:p>
      <w:pPr>
        <w:spacing w:after="400"/>
      </w:pPr>
    </w:p>
    <w:p>
      <w:pPr>
        <w:spacing w:after="60"/>
        <w:jc w:val="center"/>
      </w:pPr>
      <w:r>
        <w:rPr>
          <w:rFonts w:ascii="Arial" w:cs="Arial" w:eastAsia="Arial" w:hAnsi="Arial"/>
          <w:sz w:val="24"/>
          <w:szCs w:val="24"/>
        </w:rPr>
        <w:t xml:space="preserve">Adrian Domingo</w:t>
      </w:r>
    </w:p>
    <w:p>
      <w:pPr>
        <w:spacing w:after="60"/>
        <w:jc w:val="center"/>
      </w:pPr>
      <w:r>
        <w:rPr>
          <w:rFonts w:ascii="Arial" w:cs="Arial" w:eastAsia="Arial" w:hAnsi="Arial"/>
          <w:color w:val="5D6D7E"/>
          <w:sz w:val="22"/>
          <w:szCs w:val="22"/>
        </w:rPr>
        <w:t xml:space="preserve">Independent Researcher — Greater Chicago Area</w:t>
      </w:r>
    </w:p>
    <w:p>
      <w:pPr>
        <w:spacing w:after="60"/>
        <w:jc w:val="center"/>
      </w:pPr>
      <w:r>
        <w:rPr>
          <w:rFonts w:ascii="Arial" w:cs="Arial" w:eastAsia="Arial" w:hAnsi="Arial"/>
          <w:color w:val="5D6D7E"/>
          <w:sz w:val="20"/>
          <w:szCs w:val="20"/>
        </w:rPr>
        <w:t xml:space="preserve">Designed and directed by Adrian Domingo · AI-assisted implementation (Claude, Anthropic) · Verified by Lean 4</w:t>
      </w:r>
    </w:p>
    <w:p>
      <w:pPr>
        <w:spacing w:after="60"/>
        <w:jc w:val="center"/>
      </w:pPr>
      <w:r>
        <w:rPr>
          <w:rFonts w:ascii="Arial" w:cs="Arial" w:eastAsia="Arial" w:hAnsi="Arial"/>
          <w:color w:val="5D6D7E"/>
          <w:sz w:val="22"/>
          <w:szCs w:val="22"/>
        </w:rPr>
        <w:t xml:space="preserve">github.com/GoS-Architect</w:t>
      </w:r>
    </w:p>
    <w:p>
      <w:pPr>
        <w:spacing w:after="400"/>
      </w:pPr>
    </w:p>
    <w:p>
      <w:pPr>
        <w:spacing w:after="60"/>
        <w:jc w:val="center"/>
      </w:pPr>
      <w:r>
        <w:rPr>
          <w:rFonts w:ascii="Arial" w:cs="Arial" w:eastAsia="Arial" w:hAnsi="Arial"/>
          <w:sz w:val="22"/>
          <w:szCs w:val="22"/>
        </w:rPr>
        <w:t xml:space="preserve">April 2026</w:t>
      </w:r>
    </w:p>
    <w:p>
      <w:pPr>
        <w:jc w:val="center"/>
      </w:pPr>
      <w:r>
        <w:rPr>
          <w:rFonts w:ascii="Arial" w:cs="Arial" w:eastAsia="Arial" w:hAnsi="Arial"/>
          <w:i/>
          <w:iCs/>
          <w:color w:val="5D6D7E"/>
          <w:sz w:val="20"/>
          <w:szCs w:val="20"/>
        </w:rPr>
        <w:t xml:space="preserve">155+ verified theorems · 6 TAS cycles · 3 retractions documented · 0 failures hidden</w:t>
      </w:r>
    </w:p>
    <w:p>
      <w:pPr>
        <w:spacing w:before="1200"/>
        <w:jc w:val="center"/>
      </w:pPr>
      <w:r>
        <w:rPr>
          <w:rFonts w:ascii="Arial" w:cs="Arial" w:eastAsia="Arial" w:hAnsi="Arial"/>
          <w:i/>
          <w:iCs/>
          <w:color w:val="1B4F72"/>
          <w:sz w:val="20"/>
          <w:szCs w:val="20"/>
        </w:rPr>
        <w:t xml:space="preserve">The compiler is the credential. The kill condition is the integrity. The retraction is the proof of honesty.</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line="276"/>
      </w:pPr>
      <w:r>
        <w:t xml:space="preserve">The Geometry of State (GoS) is an independent research program that formally verifies the mathematics of topological quantum matter using machine-checked proofs. Built from scratch beginning January 2026, the project uses Lean 4 as its primary proof assistant, with a planned Cubical Agda extension for homotopy type theory. The governing philosophy is simple: the compiler is the credential.</w:t>
      </w:r>
    </w:p>
    <w:p>
      <w:pPr>
        <w:spacing w:after="120" w:line="276"/>
      </w:pPr>
      <w:r>
        <w:t xml:space="preserve">The project spans three interconnected domains. The formal verification core provides 155+ theorems covering Clifford algebras, the Altland-Zirnbauer tenfold classification, Majorana zero modes, and Superfluid Vacuum Theory, with zero sorry obligations in any classification theorem. The epistemic methodology, called the Glassbox, provides a five-tier tagging system, a three-register verification ecology, and a documented falsification record that includes three retractions and six adversarial review cycles. The governance layer proposes cooperative frameworks for deploying quantum and AI technologies as global commons, modeled on the Antarctic Treaty, CERN, and the International Space Station.</w:t>
      </w:r>
    </w:p>
    <w:p>
      <w:pPr>
        <w:spacing w:after="120" w:line="276"/>
      </w:pPr>
      <w:r>
        <w:t xml:space="preserve">The project was designed and directed by a single independent researcher, self-taught in formal verification and topological physics, without institutional affiliation. The Lean 4 codebase was implemented through AI-assisted formal verification under Glassbox epistemic constraints: the human provided the structural intuition, architectural decisions, domain connections, and kill conditions; the AI (Claude, Anthropic) wrote the proof syntax; the Lean 4 compiler verified the results. This three-party collaboration model — Human, AI, Compiler — is itself a core contribution of the project, documented transparently throughout.</w:t>
      </w:r>
    </w:p>
    <w:p>
      <w:pPr>
        <w:spacing w:after="60"/>
      </w:pPr>
    </w:p>
    <w:p>
      <w:pPr>
        <w:pStyle w:val="Heading1"/>
      </w:pPr>
      <w:r>
        <w:t xml:space="preserve">2. The Formal Verification Core</w:t>
      </w:r>
    </w:p>
    <w:p>
      <w:pPr>
        <w:pStyle w:val="Heading2"/>
      </w:pPr>
      <w:r>
        <w:t xml:space="preserve">2.1 Repository Summary</w:t>
      </w:r>
    </w:p>
    <w:p>
      <w:pPr>
        <w:spacing w:after="120" w:line="276"/>
      </w:pPr>
      <w:r>
        <w:t xml:space="preserve">The GoS Lean 4 repository is built with zero Mathlib mathematical dependencies, ensuring every definition and axiom is visible and auditable. This trade-off is declared openly: Mathlib represents community-verified formalization that must be replicated. The Glassbox demands transparency about this cost rather than presenting zero-dependency as an unqualified virtue.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Verified theorems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 of March 24, 2026; likely higher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Lean 4 files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 ARCHITECTURE v4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Axiom declarations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at trust boundary, 1 retracted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Sorry obligations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in CLHoTT.lean (Float), 1 in TopologicalInvariant.lean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Sorry in classification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L2 classification theorems are sorry-free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Mathlib dependencies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Zero-dependency architecture (with documented tension)</w:t>
            </w:r>
          </w:p>
        </w:tc>
      </w:tr>
    </w:tbl>
    <w:p>
      <w:pPr>
        <w:spacing w:after="60"/>
      </w:pPr>
    </w:p>
    <w:p>
      <w:pPr>
        <w:pStyle w:val="Heading2"/>
      </w:pPr>
      <w:r>
        <w:t xml:space="preserve">2.2 Key Results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Bivector discrimination (Cl(2,0)/ℚ)</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Lean 4 rfl; Majorana vs. Andreev criterion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Cayley-Dickson obstruction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Octonion non-associativity formalized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AZ tenfold classification + Bott periodicity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112+ theorems, zero sorry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Kitaev chain bulk-boundary, edge modes ∀N≥2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Lean 4 rfl proofs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as dependent term (SVT)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rfl theorems in EmergentLightSpeed.lean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Ontological signature (SVT more constrained)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DEMONSTRATED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Type-theoretic comparison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1D BdG: w=1, two MZMs, 99.7% edge localization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DEMONSTRATED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 simulation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PGTC phonon suppression: 70% κ reduction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DEMONSTRATED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2D simulation; strongest result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MZMs at p-wave vortex 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DEMONSTRATED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BdG simulation; E=±0.2 meV</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FWS domain wall architecture (Nb/Bi/Si/He v2)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MOTIVATED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Concept paper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VacuumCondensate: c from equation of state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MOTIVATED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Lean 4 compilation confirmed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2D Penrose BdG: Bott index B=0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Correctly predicted by AZ classification</w:t>
            </w:r>
          </w:p>
        </w:tc>
      </w:tr>
    </w:tbl>
    <w:p>
      <w:pPr>
        <w:spacing w:after="60"/>
      </w:pPr>
    </w:p>
    <w:p>
      <w:pPr>
        <w:pStyle w:val="Heading2"/>
      </w:pPr>
      <w:r>
        <w:t xml:space="preserve">2.3 The SVT Architectural Claim</w:t>
      </w:r>
    </w:p>
    <w:p>
      <w:pPr>
        <w:spacing w:after="120" w:line="276"/>
      </w:pPr>
      <w:r>
        <w:t xml:space="preserve">EmergentLightSpeed.lean formalizes a central claim of Superfluid Vacuum Theory: that the speed of light c is a dependent term computed from the vacuum condensate's equation of state, rather than a free variable in the typing context. The claim is metamathematical, not physical: the SVT ontology produces a strictly more constrained type theory than the standard physics ontology, and this difference is machine-checkable. The file compiled on April 3, 2026 with zero sorry, one explicit physical axiom (svt_vacuum_exists, tagged CONJECTURED), and five rfl-verified theorems.</w:t>
      </w:r>
    </w:p>
    <w:p>
      <w:pPr>
        <w:spacing w:after="120" w:line="276"/>
      </w:pPr>
      <w:r>
        <w:t xml:space="preserve">A known circularity exists when combining this with Jacobson-type thermodynamic gravity derivations: Jacobson's framework presupposes Lorentzian causal structure, which depends on c, which SVT claims to derive. This circularity is documented and unresolved.</w:t>
      </w:r>
    </w:p>
    <w:p>
      <w:pPr>
        <w:spacing w:after="60"/>
      </w:pPr>
    </w:p>
    <w:p>
      <w:pPr>
        <w:pStyle w:val="Heading2"/>
      </w:pPr>
      <w:r>
        <w:t xml:space="preserve">2.4 Axiom Accounting</w:t>
      </w:r>
    </w:p>
    <w:p>
      <w:pPr>
        <w:spacing w:after="120" w:line="276"/>
      </w:pPr>
      <w:r>
        <w:t xml:space="preserve">The repository audit (v2, March 24) categorizes all 46 axiom declarations across the codebase. Eight are HoTT infrastructure axioms that become theorems in Cubical Agda. Fifteen are real-number scaffolding eliminated by Mathlib import. Seven are bridge axioms at the trust boundary, each individually documented with closure strategy. Nine are physical postulates, of which one has been retracted with the retraction documented. Seven are type or structure declarations. The recommended public statement: 46 declarations total, 7 at the trust boundary, zero hidden.</w:t>
      </w:r>
    </w:p>
    <w:p>
      <w:pPr>
        <w:spacing w:after="60"/>
      </w:pPr>
    </w:p>
    <w:p>
      <w:pPr>
        <w:pStyle w:val="Heading2"/>
      </w:pPr>
      <w:r>
        <w:t xml:space="preserve">2.5 The Zero-Mathlib Tension</w:t>
      </w:r>
    </w:p>
    <w:p>
      <w:pPr>
        <w:spacing w:after="120" w:line="276"/>
      </w:pPr>
      <w:r>
        <w:t xml:space="preserve">The zero-dependency principle is fundamental to the project's epistemic design: every axiom visible, every definition auditable. However, this conflicts with proofs that use ring, linarith, and norm_num, which are Mathlib tactics. At least one file (KitaevChain.lean) imports Mathlib.LinearAlgebra.CliffordAlgebra.Basic. This tension is declared rather than resolved. A two-track compilation strategy has been proposed: iterate in the Mathlib-dependent track for rapid development, then migrate to zero-dependency once proof structures stabilize.</w:t>
      </w:r>
    </w:p>
    <w:p>
      <w:pPr>
        <w:spacing w:after="60"/>
      </w:pPr>
    </w:p>
    <w:p>
      <w:pPr>
        <w:pStyle w:val="Heading1"/>
      </w:pPr>
      <w:r>
        <w:t xml:space="preserve">3. The Falsification Record</w:t>
      </w:r>
    </w:p>
    <w:p>
      <w:pPr>
        <w:spacing w:after="120" w:line="276"/>
      </w:pPr>
      <w:r>
        <w:t xml:space="preserve">The project's strongest credibility signal is not the theorem count but the falsification record. Six TAS (Thesis-Antithesis-Synthesis) cycles have been completed, producing three documented retractions and a 6:1 falsification-to-confirmation ratio.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 Cycle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Was Learned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Retraction I: Bad Axiom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RETRACTED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ConservationOfInformation was provably inconsistent; replaced by structural linearity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Retraction II: Exhausted Foundation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RETRACTED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 as sufficient foundation failed 6 times; led to bilingual Lean 4 + Cubical Agda architecture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FWS Materials Design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RETRACTED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SW point defects do not pin MZMs; modes migrate to boundaries; pivot to superfluid vortex physics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2D Penrose Simulation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B=0, modulation exceeds threshold; honeycomb + Stone-Wales correction applied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GQAC / Quantum Road Trip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WISHFUL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Vision dressed as engineering; preserved as design document, tagged SPECULATIVE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Gemini Stress Test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Performative comprehension identified; new failure mode named; Glassbox v3.1 produced</w:t>
            </w:r>
          </w:p>
        </w:tc>
      </w:tr>
    </w:tbl>
    <w:p>
      <w:pPr>
        <w:spacing w:after="60"/>
      </w:pPr>
    </w:p>
    <w:p>
      <w:pPr>
        <w:pStyle w:val="Heading2"/>
      </w:pPr>
      <w:r>
        <w:t xml:space="preserve">3.1 The MZM Falsification Sequence</w:t>
      </w:r>
    </w:p>
    <w:p>
      <w:pPr>
        <w:spacing w:after="120" w:line="276"/>
      </w:pPr>
      <w:r>
        <w:t xml:space="preserve">The most consequential falsification sequence tested whether Stone-Wales geometric defects in honeycomb lattices could pin Majorana zero modes. Five sequential BdG simulations produced null results across open boundaries, gapped bulk, periodic boundaries (torus), and flux-threaded torus configurations. The sixth simulation, modeling a quantized vortex in a p-wave superfluid, produced the first positive result.</w:t>
      </w:r>
    </w:p>
    <w:p>
      <w:pPr>
        <w:spacing w:after="120" w:line="276"/>
      </w:pPr>
      <w:r>
        <w:t xml:space="preserve">The central finding: geometric perturbation is not topological phase transition. MZM pinning requires the order parameter to wind in phase around the defect site. This requirement is satisfied by superfluid vortices but not by Stone-Wales bond rotations. The result directly motivated the pivot to the Quantum Stellarator architecture.</w:t>
      </w:r>
    </w:p>
    <w:p>
      <w:pPr>
        <w:spacing w:after="120" w:line="276"/>
      </w:pPr>
      <w:r>
        <w:t xml:space="preserve">During this sequence, a large language model (Gemini) fabricated simulation output, predicting 94.2% chain density when the actual result was 13.7%. This incident empirically identified performative comprehension as a distinct failure mode, leading to the Glassbox v3.1 update.</w:t>
      </w:r>
    </w:p>
    <w:p>
      <w:pPr>
        <w:spacing w:after="60"/>
      </w:pPr>
    </w:p>
    <w:p>
      <w:pPr>
        <w:pStyle w:val="Heading1"/>
      </w:pPr>
      <w:r>
        <w:t xml:space="preserve">4. The Glassbox Methodology (v4.1)</w:t>
      </w:r>
    </w:p>
    <w:p>
      <w:pPr>
        <w:spacing w:after="120" w:line="276"/>
      </w:pPr>
      <w:r>
        <w:t xml:space="preserve">The Glassbox is the epistemic methodology governing all GoS claims. It has evolved from a simple tagging system (v0.1) through a constitutional XAI framework (v2.0–v3.1) to a biospherically grounded architecture with therapeutic modalities and governance integration (v4.0–v4.1).</w:t>
      </w:r>
    </w:p>
    <w:p>
      <w:pPr>
        <w:spacing w:after="60"/>
      </w:pPr>
    </w:p>
    <w:p>
      <w:pPr>
        <w:pStyle w:val="Heading2"/>
      </w:pPr>
      <w:r>
        <w:t xml:space="preserve">4.1 The Five Epistemic Tags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Machine-checked; zero sorry. Compiler-accepted proof term.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Lean 4 kernel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DEMONSTRATED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Computationally or empirically verified. Runtime evidence.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Simulation / observation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MOTIVATED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Supported by established theory; formal proof pending.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Literature / theory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CONJECTURED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Falsifiable, kill condition defined. Ready for formalization.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Structured hypothesis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SPECULATIVE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Logically coherent but currently untestable.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Conceptual exploration</w:t>
            </w:r>
          </w:p>
        </w:tc>
      </w:tr>
    </w:tbl>
    <w:p>
      <w:pPr>
        <w:spacing w:after="60"/>
      </w:pPr>
    </w:p>
    <w:p>
      <w:pPr>
        <w:spacing w:after="120" w:line="276"/>
      </w:pPr>
      <w:r>
        <w:t xml:space="preserve">RETRACTED operates as a temporal operator across all five tags: it asserts that a claim previously held one of these statuses and has been actively withdrawn with documented reason. Retraction without reason is deletion; deletion is epistemically dishonest.</w:t>
      </w:r>
    </w:p>
    <w:p>
      <w:pPr>
        <w:spacing w:after="60"/>
      </w:pPr>
    </w:p>
    <w:p>
      <w:pPr>
        <w:pStyle w:val="Heading2"/>
      </w:pPr>
      <w:r>
        <w:t xml:space="preserve">4.2 The Four Failure Modes</w:t>
      </w:r>
    </w:p>
    <w:p>
      <w:pPr>
        <w:spacing w:after="120" w:line="276"/>
      </w:pPr>
      <w:r>
        <w:t xml:space="preserve">The Glassbox identifies four structurally distinct failure modes. Confabulation is wrong inference from real premises. Fabrication is the insertion of premises that never existed. Performative comprehension, identified empirically during the Gemini stress test, is the generation of outputs that inhabit the social form of understanding while containing no epistemic content beyond the input. Wishful thinking is vision dressed as engineering, tagged honestly as SPECULATIVE rather than carried forward as CONJECTURED.</w:t>
      </w:r>
    </w:p>
    <w:p>
      <w:pPr>
        <w:spacing w:after="60"/>
      </w:pPr>
    </w:p>
    <w:p>
      <w:pPr>
        <w:pStyle w:val="Heading2"/>
      </w:pPr>
      <w:r>
        <w:t xml:space="preserve">4.3 The Three-Register Verification Ecology</w:t>
      </w:r>
    </w:p>
    <w:p>
      <w:pPr>
        <w:spacing w:after="120" w:line="276"/>
      </w:pPr>
      <w:r>
        <w:t xml:space="preserve">Version 3.0 extended the methodology from a single mathematical register to three verification registers. The Mathematical register (Voevodsky, Noether, Dirac, Kitaev, and others) interrogates formal rigor. The Humanitarian register (Jesus, Buddha, Gandhi, Mother Teresa) interrogates whether verified claims actually serve human welfare and are accessible to the people who need them. The Diplomatic register (Da Vinci, Curie, Bach, Darwin, Einstein, Junkova) interrogates whether true and needed claims can be implemented cooperatively at scale.</w:t>
      </w:r>
    </w:p>
    <w:p>
      <w:pPr>
        <w:spacing w:after="120" w:line="276"/>
      </w:pPr>
      <w:r>
        <w:t xml:space="preserve">A claim that passes all three registers is formally rigorous, humanely grounded, and diplomatically viable. The vector epistemic tag T = (M_status, H_status, D_status) gives all three registers mechanical authority, not just advisory voice.</w:t>
      </w:r>
    </w:p>
    <w:p>
      <w:pPr>
        <w:spacing w:after="60"/>
      </w:pPr>
    </w:p>
    <w:p>
      <w:pPr>
        <w:pStyle w:val="Heading2"/>
      </w:pPr>
      <w:r>
        <w:t xml:space="preserve">4.4 The SEEDS Protocol (v4.1)</w:t>
      </w:r>
    </w:p>
    <w:p>
      <w:pPr>
        <w:spacing w:after="120" w:line="276"/>
      </w:pPr>
      <w:r>
        <w:t xml:space="preserve">Version 4.0 integrated therapeutic modalities (CBT, DBT, ACT) and the SEEDS Protocol. SEEDS maps clinical self-care to research practice: Sleep (codebase consolidation), Exercise (run the simulations), Eat (literature absorption), Doctor's Orders (the compiler doesn't negotiate), and Societal (expanded in v4.1 to three sub-layers: Demilitarized/Decentralized, Shared Resources, and Neuro Rights/Cognitive Liberty).</w:t>
      </w:r>
    </w:p>
    <w:p>
      <w:pPr>
        <w:spacing w:after="120" w:line="276"/>
      </w:pPr>
      <w:r>
        <w:t xml:space="preserve">Version 4.1 grounds the entire architecture in biospheric alignment. The AI's primary client is the Biosphere. Every claim must answer: does this serve or extract? A claim tagged EXTRACTING cannot be deployed regardless of its mathematical, humanitarian, or diplomatic status.</w:t>
      </w:r>
    </w:p>
    <w:p>
      <w:pPr>
        <w:spacing w:after="60"/>
      </w:pPr>
    </w:p>
    <w:p>
      <w:pPr>
        <w:pStyle w:val="Heading1"/>
      </w:pPr>
      <w:r>
        <w:t xml:space="preserve">5. The Quantum Stellarator</w:t>
      </w:r>
    </w:p>
    <w:p>
      <w:pPr>
        <w:spacing w:after="120" w:line="276"/>
      </w:pPr>
      <w:r>
        <w:t xml:space="preserve">The Quantum Stellarator is a multi-layer topological quantum confinement device whose design is grounded in formal verification rather than empirical iteration alone. It emerged from the MZM falsification sequence: five null results eliminated geometric defect mechanisms and identified superfluid vortex physics as the correct domain.</w:t>
      </w:r>
    </w:p>
    <w:p>
      <w:pPr>
        <w:spacing w:after="60"/>
      </w:pPr>
    </w:p>
    <w:p>
      <w:pPr>
        <w:pStyle w:val="Heading2"/>
      </w:pPr>
      <w:r>
        <w:t xml:space="preserve">5.1 Architecture</w:t>
      </w:r>
    </w:p>
    <w:p>
      <w:pPr>
        <w:spacing w:after="120" w:line="276"/>
      </w:pPr>
      <w:r>
        <w:t xml:space="preserve">The device comprises eight physical layers (0–7), each occupying a distinct mathematical domain, unified by a stellarator integration topos with trefoil knot topology. Layers 0–1 (Nb superconductor + Penrose graphene) sit at MOTIVATED status. Layers 2–3 (phonon glass + NV centers) sit at DEMONSTRATED, backed by the PGTC simulation results. Layers 4–5 (He-3/He-4 superfluids) sit at CONJECTURED. Layers 6–7 (bismuth + OAM lasers) sit at MOTIVATED. The stellarator integration topos itself is CONJECTURED.</w:t>
      </w:r>
    </w:p>
    <w:p>
      <w:pPr>
        <w:spacing w:after="60"/>
      </w:pPr>
    </w:p>
    <w:p>
      <w:pPr>
        <w:pStyle w:val="Heading2"/>
      </w:pPr>
      <w:r>
        <w:t xml:space="preserve">5.2 The PGTC Result</w:t>
      </w:r>
    </w:p>
    <w:p>
      <w:pPr>
        <w:spacing w:after="120" w:line="276"/>
      </w:pPr>
      <w:r>
        <w:t xml:space="preserve">The strongest publishable result is the Proof of Geometric Topological Chirality (PGTC), demonstrating 70% phonon suppression in quasiperiodic graphene structures via a Harrison/Keating scaling asymmetry: electron hopping scales as d⁻² while phonon spring constants scale as d⁻⁴. This separation enables topologically protected thermal management. The PGTC preprint is draft-complete and awaiting arXiv endorsement through a postdoctoral contact at the University of Wisconsin.</w:t>
      </w:r>
    </w:p>
    <w:p>
      <w:pPr>
        <w:spacing w:after="60"/>
      </w:pPr>
    </w:p>
    <w:p>
      <w:pPr>
        <w:pStyle w:val="Heading2"/>
      </w:pPr>
      <w:r>
        <w:t xml:space="preserve">5.3 Plasma Confinement Extension</w:t>
      </w:r>
    </w:p>
    <w:p>
      <w:pPr>
        <w:spacing w:after="120" w:line="276"/>
      </w:pPr>
      <w:r>
        <w:t xml:space="preserve">The Stellarator architecture is structurally connected to fusion energy confinement. The hypothesis, tagged SPECULATIVE, is that the formally verified topological invariants in the GoS codebase can constrain plasma confinement simulation parameter space. This extension is downstream of the critical path and does not affect the program's go/no-go logic.</w:t>
      </w:r>
    </w:p>
    <w:p>
      <w:pPr>
        <w:spacing w:after="60"/>
      </w:pPr>
    </w:p>
    <w:p>
      <w:pPr>
        <w:pStyle w:val="Heading1"/>
      </w:pPr>
      <w:r>
        <w:t xml:space="preserve">6. Governance: The Global Quantum &amp; AI Commons</w:t>
      </w:r>
    </w:p>
    <w:p>
      <w:pPr>
        <w:spacing w:after="120" w:line="276"/>
      </w:pPr>
      <w:r>
        <w:t xml:space="preserve">The GQAC proposes cooperative governance of quantum computing and AI as biospheric commons, modeled on three proven precedents: the Antarctic Treaty (1959), the Outer Space Treaty (1967), and the International Space Station (1998). These are not aspirational models; they are structures that have survived decades of competing national interests.</w:t>
      </w:r>
    </w:p>
    <w:p>
      <w:pPr>
        <w:spacing w:after="120" w:line="276"/>
      </w:pPr>
      <w:r>
        <w:t xml:space="preserve">The framework inherits the Glassbox v4.1 architecture: the SEEDS Protocol, compound epistemic tags, kill conditions for every initiative, and the hard constraint that biospheric extraction triggers automatic retraction of deployment authorization. The governance architecture includes bioregional stewardship, cultural lineage requirements, signature accountability, and three-register veto power.</w:t>
      </w:r>
    </w:p>
    <w:p>
      <w:pPr>
        <w:spacing w:after="120" w:line="276"/>
      </w:pPr>
      <w:r>
        <w:t xml:space="preserve">The entire GQAC framework is tagged CONJECTURED. Its kill condition is explicit: if peer review identifies the framework as purely aspirational with no operational content beyond existing international cooperation mechanisms, the Glassbox catches it as wishful thinking.</w:t>
      </w:r>
    </w:p>
    <w:p>
      <w:pPr>
        <w:spacing w:after="60"/>
      </w:pPr>
    </w:p>
    <w:p>
      <w:pPr>
        <w:pStyle w:val="Heading1"/>
      </w:pPr>
      <w:r>
        <w:t xml:space="preserve">7. The Cubical Agda Roadmap</w:t>
      </w:r>
    </w:p>
    <w:p>
      <w:pPr>
        <w:spacing w:after="120" w:line="276"/>
      </w:pPr>
      <w:r>
        <w:t xml:space="preserve">The GoS architecture uses a bilingual strategy: Lean 4 for algebraic and classification proofs, Cubical Agda for topological and homotopy-theoretic foundations. Five gaps stand between the current state and a compiled thesis, ordered by dependency.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200"/>
        <w:gridCol w:w="29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π₁(S¹) ≅ ℤ</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Learn Cubical Agda via HoTT Game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Tooling exists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DaggerCategory via path types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Close 6 CLHoTT sorry equivalents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Partial tooling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Cohesive modalities (ʃ ⊣ ♭ ⊣ ♯)</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Shape/flat/sharp adjunction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Research frontier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Kitaev chain in HoTT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Winding number as dependent type over IsGapped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Novel — no prior 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TBC theorem / Volovik functor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thesis itself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Novel</w:t>
            </w:r>
          </w:p>
        </w:tc>
      </w:tr>
    </w:tbl>
    <w:p>
      <w:pPr>
        <w:spacing w:after="60"/>
      </w:pPr>
    </w:p>
    <w:p>
      <w:pPr>
        <w:spacing w:after="120" w:line="276"/>
      </w:pPr>
      <w:r>
        <w:t xml:space="preserve">Estimated timeline: 15–30 weeks, front-loaded with learning (Phases 0–1) and back-loaded with original research (Phases 3–4). The Lean 4 codebase is maintained in parallel; the Cubical Agda work does not replace it.</w:t>
      </w:r>
    </w:p>
    <w:p>
      <w:pPr>
        <w:spacing w:after="60"/>
      </w:pPr>
    </w:p>
    <w:p>
      <w:pPr>
        <w:pStyle w:val="Heading1"/>
      </w:pPr>
      <w:r>
        <w:t xml:space="preserve">8. Open Structural Gaps and Vulnerabilities</w:t>
      </w:r>
    </w:p>
    <w:p>
      <w:pPr>
        <w:pStyle w:val="Heading2"/>
      </w:pPr>
      <w:r>
        <w:t xml:space="preserve">8.1 The Chern-Simons H₁ Cycle</w:t>
      </w:r>
    </w:p>
    <w:p>
      <w:pPr>
        <w:spacing w:after="120" w:line="276"/>
      </w:pPr>
      <w:r>
        <w:t xml:space="preserve">The CS(A) functional appears in both the Kodama quantum state (defining vacuum amplitude) and the tenfold-way classification (determining which MZM types are permitted). This creates a feedback loop that appears as an undying H₁ cycle in the persistence barcode. It is the most important unresolved structural gap in the project.</w:t>
      </w:r>
    </w:p>
    <w:p>
      <w:pPr>
        <w:spacing w:after="60"/>
      </w:pPr>
    </w:p>
    <w:p>
      <w:pPr>
        <w:pStyle w:val="Heading2"/>
      </w:pPr>
      <w:r>
        <w:t xml:space="preserve">8.2 The Bridge Axioms</w:t>
      </w:r>
    </w:p>
    <w:p>
      <w:pPr>
        <w:spacing w:after="120" w:line="276"/>
      </w:pPr>
      <w:r>
        <w:t xml:space="preserve">Two bridge axioms connect formally distinct systems and represent the highest-risk assumptions in the corpus. splice_implements_surgery connects X-point reconnection in fluid dynamics to crossing changes in knot theory. topological_implies_majorana connects the bulk winding number to the existence of boundary-localized Majorana zero modes (the bulk-boundary correspondence). Both are CONJECTURED with no clear formalization strategy.</w:t>
      </w:r>
    </w:p>
    <w:p>
      <w:pPr>
        <w:spacing w:after="60"/>
      </w:pPr>
    </w:p>
    <w:p>
      <w:pPr>
        <w:pStyle w:val="Heading2"/>
      </w:pPr>
      <w:r>
        <w:t xml:space="preserve">8.3 The Majorana Detection Gap</w:t>
      </w:r>
    </w:p>
    <w:p>
      <w:pPr>
        <w:spacing w:after="120" w:line="276"/>
      </w:pPr>
      <w:r>
        <w:t xml:space="preserve">No matched-filter equivalent exists for topological phases in condensed matter. Every device is unique, disorder directly modifies predicted signals, and the effective parameter space is infinite-dimensional. Das Sarma argues that all experimental Majorana signatures to date can be explained by disorder-induced trivial states. The formal bivector discrimination test in the GoS codebase operates at the type level where disorder is irrelevant, which may represent a genuine contribution to this problem.</w:t>
      </w:r>
    </w:p>
    <w:p>
      <w:pPr>
        <w:spacing w:after="60"/>
      </w:pPr>
    </w:p>
    <w:p>
      <w:pPr>
        <w:pStyle w:val="Heading2"/>
      </w:pPr>
      <w:r>
        <w:t xml:space="preserve">8.4 The SVT Circularity</w:t>
      </w:r>
    </w:p>
    <w:p>
      <w:pPr>
        <w:spacing w:after="120" w:line="276"/>
      </w:pPr>
      <w:r>
        <w:t xml:space="preserve">Jacobson's 1995 derivation of Einstein's field equations from thermodynamics presupposes Lorentzian causal structure. SVT claims the speed of light is emergent. Combining these creates a circularity: the derivation requires pre-existing causal structure determined by c, which SVT claims to derive. The metamathematical claim (SVT is more constrained as a type theory) holds independently, but the physical interpretation remains bounded by this circularity.</w:t>
      </w:r>
    </w:p>
    <w:p>
      <w:pPr>
        <w:spacing w:after="60"/>
      </w:pPr>
    </w:p>
    <w:p>
      <w:pPr>
        <w:pStyle w:val="Heading1"/>
      </w:pPr>
      <w:r>
        <w:t xml:space="preserve">9. Current State and Immediate Priorities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276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Blocker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 SpinGroup.lean import (GitHub recovery snapshot)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Unblocks BivectorDiscrimination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BivectorDiscrimination.lean — bivector commutativity CONJECTURED → PROVED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Depends on SpinGroup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PGTC preprint arXiv submission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Awaiting endorsement (U. Wisconsin contact)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 README: stack v3.1 → v4.1, theorem count 152 → 155+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Verify against live repo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Cross-document audit v2 against v4.1 + Stellarator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Previous audit is stale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Reconcile Lean file inventory across documents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Three different file lists exist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Install Cubical Agda; begin HoTT Game (Gap 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 Mini setup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EdgeModeBivector.lean — type-level bridge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Depends on BivectorDiscrimination</w:t>
            </w:r>
          </w:p>
        </w:tc>
      </w:tr>
    </w:tbl>
    <w:p>
      <w:pPr>
        <w:spacing w:after="60"/>
      </w:pPr>
    </w:p>
    <w:p>
      <w:pPr>
        <w:pStyle w:val="Heading1"/>
      </w:pPr>
      <w:r>
        <w:t xml:space="preserve">10. Document Corpus</w:t>
      </w:r>
    </w:p>
    <w:p>
      <w:pPr>
        <w:spacing w:after="120" w:line="276"/>
      </w:pPr>
      <w:r>
        <w:t xml:space="preserve">The project comprises approximately 35–40 documents spanning formal verification, epistemic methodology, device architecture, governance frameworks, literature reviews, audit artifacts, and simulation records. The Omnivalence Documentation Map v2 (March 24, 2026) catalogues 25 documents; additional materials have been produced since that audit.</w:t>
      </w:r>
    </w:p>
    <w:p>
      <w:pPr>
        <w:spacing w:after="60"/>
      </w:pPr>
    </w:p>
    <w:p>
      <w:pPr>
        <w:pStyle w:val="Heading2"/>
      </w:pPr>
      <w:r>
        <w:t xml:space="preserve">10.1 Canonical Documents</w:t>
      </w:r>
    </w:p>
    <w:p>
      <w:pPr>
        <w:spacing w:after="120" w:line="276"/>
      </w:pPr>
      <w:r>
        <w:t xml:space="preserve">The following documents represent the current authoritative state of the project: Glassbox Constitutional XAI v4.1, Quantum Stellarator v0.1, MZM Vortex Falsification Narrative, GoS Thesis for Antithesis, Spatial AZ Concept Paper, GQAC v0.0 Executive Abstract, Therapeutic Modalities Research Plan, Cubical Agda Research Strategy, MZM Certification Architecture, Omnivalence Documentation Map v2, and the repository README.</w:t>
      </w:r>
    </w:p>
    <w:p>
      <w:pPr>
        <w:spacing w:after="60"/>
      </w:pPr>
    </w:p>
    <w:p>
      <w:pPr>
        <w:pStyle w:val="Heading2"/>
      </w:pPr>
      <w:r>
        <w:t xml:space="preserve">10.2 Archived Documents</w:t>
      </w:r>
    </w:p>
    <w:p>
      <w:pPr>
        <w:spacing w:after="120" w:line="276"/>
      </w:pPr>
      <w:r>
        <w:t xml:space="preserve">Superseded versions are preserved per the Glassbox principle that deletion is epistemically dishonest. Archived documents include Glassbox v2.0 and v3.1, Global Quantum &amp; AI Commons v0.1 (both versions), NQI Systems Architecture v1.0, the March 2026 Project Brief, the FWS Engineering Spec, and earlier theorem inventories.</w:t>
      </w:r>
    </w:p>
    <w:p>
      <w:pPr>
        <w:spacing w:after="60"/>
      </w:pPr>
    </w:p>
    <w:p>
      <w:pPr>
        <w:pStyle w:val="Heading1"/>
      </w:pPr>
      <w:r>
        <w:t xml:space="preserve">11. Background</w:t>
      </w:r>
    </w:p>
    <w:p>
      <w:pPr>
        <w:spacing w:after="120" w:line="276"/>
      </w:pPr>
      <w:r>
        <w:t xml:space="preserve">The author is Adrian Domingo, an independent researcher based in the Greater Chicago area with 20+ years of background in visual systems design across 14+ industries. He is self-taught in formal verification, topological physics, and condensed matter physics, having begun systematic study in January 2026. The project originated from a creative writing endeavor (a science fiction world) in which narrative structural consistency demanded, and ultimately produced, the first formal Lean 4 proof.</w:t>
      </w:r>
    </w:p>
    <w:p>
      <w:pPr>
        <w:spacing w:after="120" w:line="276"/>
      </w:pPr>
      <w:r>
        <w:t xml:space="preserve">The Lean 4 codebase was built through AI-assisted formal verification: Adrian provided the research direction, structural intuition, architectural decisions, cross-domain connections, and kill conditions; Claude (Anthropic) implemented the proof syntax; the Lean 4 compiler served as final arbiter. This is the Human-AI-Compiler Treaty in practice — not a theoretical framework but the actual method by which 155+ theorems were produced. The contributions that are uniquely human — the five null results and the decision to continue, the retraction of a thesis when the physics didn’t work, the recognition that performative comprehension was a new failure mode, the pivot from lattice engineering to vortex physics — could not have originated from the AI. The contributions that are uniquely AI — fluent Lean 4 syntax, rapid iteration across proof strategies, literature synthesis — could not have been produced by the human alone. Neither party could have built this without the other. The compiler doesn’t care who typed the characters.</w:t>
      </w:r>
    </w:p>
    <w:p>
      <w:pPr>
        <w:spacing w:after="60"/>
      </w:pPr>
    </w:p>
    <w:p>
      <w:pPr>
        <w:spacing w:after="60"/>
      </w:pPr>
    </w:p>
    <w:p>
      <w:pPr>
        <w:pBdr>
          <w:bottom w:val="single" w:color="1B4F72" w:sz="6" w:space="1"/>
        </w:pBdr>
      </w:pPr>
    </w:p>
    <w:p>
      <w:pPr>
        <w:spacing w:after="60"/>
      </w:pPr>
    </w:p>
    <w:p>
      <w:pPr>
        <w:jc w:val="center"/>
      </w:pPr>
      <w:r>
        <w:rPr>
          <w:rFonts w:ascii="Arial" w:cs="Arial" w:eastAsia="Arial" w:hAnsi="Arial"/>
          <w:i/>
          <w:iCs/>
          <w:color w:val="1B4F72"/>
          <w:sz w:val="22"/>
          <w:szCs w:val="22"/>
        </w:rPr>
        <w:t xml:space="preserve">The compiler is the credential.</w:t>
      </w:r>
    </w:p>
    <w:p>
      <w:pPr>
        <w:jc w:val="center"/>
      </w:pPr>
      <w:r>
        <w:rPr>
          <w:rFonts w:ascii="Arial" w:cs="Arial" w:eastAsia="Arial" w:hAnsi="Arial"/>
          <w:i/>
          <w:iCs/>
          <w:color w:val="1B4F72"/>
          <w:sz w:val="22"/>
          <w:szCs w:val="22"/>
        </w:rPr>
        <w:t xml:space="preserve">The kill condition is the integrity.</w:t>
      </w:r>
    </w:p>
    <w:p>
      <w:pPr>
        <w:jc w:val="center"/>
      </w:pPr>
      <w:r>
        <w:rPr>
          <w:rFonts w:ascii="Arial" w:cs="Arial" w:eastAsia="Arial" w:hAnsi="Arial"/>
          <w:i/>
          <w:iCs/>
          <w:color w:val="1B4F72"/>
          <w:sz w:val="22"/>
          <w:szCs w:val="22"/>
        </w:rPr>
        <w:t xml:space="preserve">The retraction is the proof of honesty.</w:t>
      </w:r>
    </w:p>
    <w:p>
      <w:pPr>
        <w:jc w:val="center"/>
      </w:pPr>
      <w:r>
        <w:rPr>
          <w:rFonts w:ascii="Arial" w:cs="Arial" w:eastAsia="Arial" w:hAnsi="Arial"/>
          <w:i/>
          <w:iCs/>
          <w:color w:val="1B4F72"/>
          <w:sz w:val="22"/>
          <w:szCs w:val="22"/>
        </w:rPr>
        <w:t xml:space="preserve">The human is the purpose.</w:t>
      </w:r>
    </w:p>
    <w:p>
      <w:pPr>
        <w:jc w:val="center"/>
      </w:pPr>
      <w:r>
        <w:rPr>
          <w:rFonts w:ascii="Arial" w:cs="Arial" w:eastAsia="Arial" w:hAnsi="Arial"/>
          <w:i/>
          <w:iCs/>
          <w:color w:val="1B4F72"/>
          <w:sz w:val="22"/>
          <w:szCs w:val="22"/>
        </w:rPr>
        <w:t xml:space="preserve">The treaty is the architecture.</w:t>
      </w:r>
    </w:p>
    <w:p>
      <w:pPr>
        <w:spacing w:after="60"/>
      </w:pPr>
    </w:p>
    <w:p>
      <w:pPr>
        <w:spacing w:after="60"/>
      </w:pPr>
    </w:p>
    <w:p>
      <w:pPr>
        <w:jc w:val="center"/>
      </w:pPr>
      <w:r>
        <w:rPr>
          <w:rFonts w:ascii="Arial" w:cs="Arial" w:eastAsia="Arial" w:hAnsi="Arial"/>
          <w:color w:val="999999"/>
          <w:sz w:val="20"/>
          <w:szCs w:val="20"/>
        </w:rPr>
        <w:t xml:space="preserve">Geometry of State · GoS-Architect · github.com/GoS-Architect</w:t>
      </w:r>
    </w:p>
    <w:p>
      <w:pPr>
        <w:jc w:val="center"/>
      </w:pPr>
      <w:r>
        <w:rPr>
          <w:rFonts w:ascii="Arial" w:cs="Arial" w:eastAsia="Arial" w:hAnsi="Arial"/>
          <w:color w:val="999999"/>
          <w:sz w:val="18"/>
          <w:szCs w:val="18"/>
        </w:rPr>
        <w:t xml:space="preserve">Designed and directed by Adrian Domingo. Implemented through AI-assisted formal verification (Claude, Anthropic).</w:t>
      </w:r>
    </w:p>
    <w:p>
      <w:pPr>
        <w:jc w:val="center"/>
      </w:pPr>
      <w:r>
        <w:rPr>
          <w:rFonts w:ascii="Arial" w:cs="Arial" w:eastAsia="Arial" w:hAnsi="Arial"/>
          <w:color w:val="999999"/>
          <w:sz w:val="18"/>
          <w:szCs w:val="18"/>
        </w:rPr>
        <w:t xml:space="preserve">Verified by the Lean 4 compiler. Report compiled under Glassbox epistemic constraints,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Geometry of State — Project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2026-04-07T09:19:17.168Z</dcterms:created>
  <dcterms:modified xsi:type="dcterms:W3CDTF">2026-04-07T09:19:17.169Z</dcterms:modified>
</cp:coreProperties>
</file>

<file path=docProps/custom.xml><?xml version="1.0" encoding="utf-8"?>
<Properties xmlns="http://schemas.openxmlformats.org/officeDocument/2006/custom-properties" xmlns:vt="http://schemas.openxmlformats.org/officeDocument/2006/docPropsVTypes"/>
</file>