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80"/>
      </w:pPr>
      <w:r>
        <w:rPr>
          <w:rFonts w:ascii="Arial" w:cs="Arial" w:eastAsia="Arial" w:hAnsi="Arial"/>
        </w:rPr>
        <w:t xml:space="preserve"/>
      </w:r>
    </w:p>
    <w:p>
      <w:pPr>
        <w:jc w:val="center"/>
      </w:pPr>
      <w:r>
        <w:rPr>
          <w:rFonts w:ascii="Arial" w:cs="Arial" w:eastAsia="Arial" w:hAnsi="Arial"/>
          <w:b/>
          <w:bCs/>
          <w:color w:val="1B3A5C"/>
          <w:sz w:val="52"/>
          <w:szCs w:val="52"/>
        </w:rPr>
        <w:t xml:space="preserve">QUANTUM MATERIALS FOUNDATION</w:t>
      </w:r>
    </w:p>
    <w:p>
      <w:pPr>
        <w:spacing w:after="80"/>
        <w:jc w:val="center"/>
      </w:pPr>
      <w:r>
        <w:rPr>
          <w:rFonts w:ascii="Arial" w:cs="Arial" w:eastAsia="Arial" w:hAnsi="Arial"/>
          <w:b/>
          <w:bCs/>
          <w:color w:val="2A7F8A"/>
          <w:sz w:val="34"/>
          <w:szCs w:val="34"/>
        </w:rPr>
        <w:t xml:space="preserve">NotebookLM Research Architecture</w:t>
      </w:r>
    </w:p>
    <w:p>
      <w:pPr>
        <w:spacing w:after="400"/>
        <w:jc w:val="center"/>
      </w:pPr>
      <w:r>
        <w:rPr>
          <w:rFonts w:ascii="Arial" w:cs="Arial" w:eastAsia="Arial" w:hAnsi="Arial"/>
          <w:i/>
          <w:iCs/>
          <w:color w:val="4A6274"/>
          <w:sz w:val="24"/>
          <w:szCs w:val="24"/>
        </w:rPr>
        <w:t xml:space="preserve">Built from the Master Sitemap</w:t>
      </w:r>
    </w:p>
    <w:p>
      <w:pPr>
        <w:pBdr>
          <w:bottom w:val="single" w:color="C8A951" w:sz="4" w:space="1"/>
        </w:pBdr>
        <w:spacing w:after="160"/>
      </w:pPr>
      <w:r>
        <w:rPr>
          <w:rFonts w:ascii="Arial" w:cs="Arial" w:eastAsia="Arial" w:hAnsi="Arial"/>
        </w:rPr>
        <w:t xml:space="preserve"/>
      </w:r>
    </w:p>
    <w:p>
      <w:pPr>
        <w:spacing w:after="200"/>
      </w:pPr>
      <w:r>
        <w:rPr>
          <w:rFonts w:ascii="Arial" w:cs="Arial" w:eastAsia="Arial" w:hAnsi="Arial"/>
        </w:rPr>
        <w:t xml:space="preserve"/>
      </w:r>
    </w:p>
    <w:p>
      <w:pPr>
        <w:spacing w:after="80"/>
        <w:jc w:val="center"/>
      </w:pPr>
      <w:r>
        <w:rPr>
          <w:rFonts w:ascii="Arial" w:cs="Arial" w:eastAsia="Arial" w:hAnsi="Arial"/>
          <w:i/>
          <w:iCs/>
          <w:color w:val="4A6274"/>
          <w:sz w:val="22"/>
          <w:szCs w:val="22"/>
        </w:rPr>
        <w:t xml:space="preserve">Five-layer research system anchored in peer-reviewed literature</w:t>
      </w:r>
    </w:p>
    <w:p>
      <w:pPr>
        <w:spacing w:after="600"/>
        <w:jc w:val="center"/>
      </w:pPr>
      <w:r>
        <w:rPr>
          <w:rFonts w:ascii="Arial" w:cs="Arial" w:eastAsia="Arial" w:hAnsi="Arial"/>
          <w:i/>
          <w:iCs/>
          <w:color w:val="4A6274"/>
          <w:sz w:val="22"/>
          <w:szCs w:val="22"/>
        </w:rPr>
        <w:t xml:space="preserve">From theoretical kernel through strategic horizon</w:t>
      </w:r>
    </w:p>
    <w:p>
      <w:pPr>
        <w:spacing w:after="600"/>
      </w:pPr>
      <w:r>
        <w:rPr>
          <w:rFonts w:ascii="Arial" w:cs="Arial" w:eastAsia="Arial" w:hAnsi="Arial"/>
        </w:rPr>
        <w:t xml:space="preserve"/>
      </w:r>
    </w:p>
    <w:p>
      <w:pPr>
        <w:jc w:val="center"/>
      </w:pPr>
      <w:r>
        <w:rPr>
          <w:rFonts w:ascii="Arial" w:cs="Arial" w:eastAsia="Arial" w:hAnsi="Arial"/>
          <w:color w:val="4A6274"/>
          <w:sz w:val="20"/>
          <w:szCs w:val="20"/>
        </w:rPr>
        <w:t xml:space="preserve">Version 1.0  ·  2026</w:t>
      </w:r>
    </w:p>
    <w:p>
      <w:r>
        <w:br w:type="page"/>
      </w:r>
    </w:p>
    <w:p>
      <w:pPr>
        <w:pStyle w:val="Heading1"/>
        <w:spacing w:before="360" w:after="120"/>
      </w:pPr>
      <w:r>
        <w:rPr>
          <w:rFonts w:ascii="Arial" w:cs="Arial" w:eastAsia="Arial" w:hAnsi="Arial"/>
          <w:b/>
          <w:bCs/>
          <w:color w:val="1B3A5C"/>
          <w:sz w:val="30"/>
          <w:szCs w:val="30"/>
        </w:rPr>
        <w:t xml:space="preserve">SYSTEM OVERVIEW</w:t>
      </w:r>
    </w:p>
    <w:p>
      <w:pPr>
        <w:pBdr>
          <w:bottom w:val="single" w:color="2A7F8A" w:sz="4" w:space="1"/>
        </w:pBdr>
        <w:spacing w:after="160"/>
      </w:pPr>
      <w:r>
        <w:rPr>
          <w:rFonts w:ascii="Arial" w:cs="Arial" w:eastAsia="Arial" w:hAnsi="Arial"/>
        </w:rPr>
        <w:t xml:space="preserve"/>
      </w:r>
    </w:p>
    <w:p>
      <w:pPr>
        <w:spacing w:after="100"/>
      </w:pPr>
      <w:r>
        <w:rPr>
          <w:rFonts w:ascii="Arial" w:cs="Arial" w:eastAsia="Arial" w:hAnsi="Arial"/>
          <w:color w:val="1A1A2E"/>
          <w:sz w:val="20"/>
          <w:szCs w:val="20"/>
        </w:rPr>
        <w:t xml:space="preserve">This NotebookLM Research Architecture is built directly from the Quantum Materials Master Sitemap. It organizes five layers of research — from theoretical physics through strategic engineering horizons — into discrete, navigable modules. Each module contains anchor publications, a Gemini Deep Research prompt, and NotebookLM study questions.</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gridCol w:w="1760"/>
      </w:tblGrid>
      <w:tr>
        <w:tc>
          <w:tcPr>
            <w:tcW w:type="dxa" w:w="14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Layer</w:t>
            </w:r>
          </w:p>
        </w:tc>
        <w:tc>
          <w:tcPr>
            <w:tcW w:type="dxa" w:w="3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Title</w:t>
            </w:r>
          </w:p>
        </w:tc>
        <w:tc>
          <w:tcPr>
            <w:tcW w:type="dxa" w:w="30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Function</w:t>
            </w:r>
          </w:p>
        </w:tc>
        <w:tc>
          <w:tcPr>
            <w:tcW w:type="dxa" w:w="17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1.0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Theoretical Kernel</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Physics foundations — the rules of engagement</w:t>
            </w:r>
          </w:p>
        </w:tc>
        <w:tc>
          <w:tcPr>
            <w:tcW w:type="dxa" w:w="176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2.0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Material Taxonomy</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periodic table of topology — substrate library</w:t>
            </w:r>
          </w:p>
        </w:tc>
        <w:tc>
          <w:tcPr>
            <w:tcW w:type="dxa" w:w="176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3.0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Fabrication Pipeline</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Toolchain for instantiation and observation</w:t>
            </w:r>
          </w:p>
        </w:tc>
        <w:tc>
          <w:tcPr>
            <w:tcW w:type="dxa" w:w="176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4.0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Application Layer</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Early use cases — static quantum property utilization</w:t>
            </w:r>
          </w:p>
        </w:tc>
        <w:tc>
          <w:tcPr>
            <w:tcW w:type="dxa" w:w="176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5.0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Strategic Horizon</w:t>
            </w:r>
          </w:p>
        </w:tc>
        <w:tc>
          <w:tcPr>
            <w:tcW w:type="dxa" w:w="3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Static to Animate transition — active research frontier</w:t>
            </w:r>
          </w:p>
        </w:tc>
        <w:tc>
          <w:tcPr>
            <w:tcW w:type="dxa" w:w="176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w:t>
            </w:r>
          </w:p>
        </w:tc>
      </w:tr>
    </w:tbl>
    <w:p>
      <w:pPr>
        <w:spacing w:after="12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Grounding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Tag</w:t>
            </w:r>
          </w:p>
        </w:tc>
        <w:tc>
          <w:tcPr>
            <w:tcW w:type="dxa" w:w="77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Meaning</w:t>
            </w:r>
          </w:p>
        </w:tc>
      </w:tr>
      <w:tr>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[GROUNDED]</w:t>
            </w:r>
          </w:p>
        </w:tc>
        <w:tc>
          <w:tcPr>
            <w:tcW w:type="dxa" w:w="7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Peer-reviewed experimental evidence. Safe to cite directly.</w:t>
            </w:r>
          </w:p>
        </w:tc>
      </w:tr>
      <w:tr>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left"/>
            </w:pPr>
            <w:r>
              <w:rPr>
                <w:rFonts w:ascii="Arial" w:cs="Arial" w:eastAsia="Arial" w:hAnsi="Arial"/>
                <w:b/>
                <w:bCs/>
                <w:i w:val="false"/>
                <w:iCs w:val="false"/>
                <w:color w:val="E65100"/>
                <w:sz w:val="18"/>
                <w:szCs w:val="18"/>
              </w:rPr>
              <w:t xml:space="preserve">[BRIDGE]</w:t>
            </w:r>
          </w:p>
        </w:tc>
        <w:tc>
          <w:tcPr>
            <w:tcW w:type="dxa" w:w="7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Conceptually valid synthesis of grounded fields. Needs expert review before formal citation.</w:t>
            </w:r>
          </w:p>
        </w:tc>
      </w:tr>
      <w:tr>
        <w:tc>
          <w:tcPr>
            <w:tcW w:type="dxa" w:w="1600"/>
            <w:tcBorders>
              <w:top w:val="single" w:color="D0DCE4" w:sz="1"/>
              <w:left w:val="single" w:color="D0DCE4" w:sz="1"/>
              <w:bottom w:val="single" w:color="D0DCE4" w:sz="1"/>
              <w:right w:val="single" w:color="D0DCE4" w:sz="1"/>
            </w:tcBorders>
            <w:shd w:fill="FFEBEE" w:val="clear"/>
            <w:tcMar>
              <w:top w:type="dxa" w:w="80"/>
              <w:left w:type="dxa" w:w="120"/>
              <w:bottom w:type="dxa" w:w="80"/>
              <w:right w:type="dxa" w:w="120"/>
            </w:tcMar>
          </w:tcPr>
          <w:p>
            <w:pPr>
              <w:jc w:val="left"/>
            </w:pPr>
            <w:r>
              <w:rPr>
                <w:rFonts w:ascii="Arial" w:cs="Arial" w:eastAsia="Arial" w:hAnsi="Arial"/>
                <w:b/>
                <w:bCs/>
                <w:i w:val="false"/>
                <w:iCs w:val="false"/>
                <w:color w:val="C62828"/>
                <w:sz w:val="18"/>
                <w:szCs w:val="18"/>
              </w:rPr>
              <w:t xml:space="preserve">[SPECULATIVE]</w:t>
            </w:r>
          </w:p>
        </w:tc>
        <w:tc>
          <w:tcPr>
            <w:tcW w:type="dxa" w:w="7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Theoretically proposed. Not yet experimentally confirmed. Never cite as established fact.</w:t>
            </w:r>
          </w:p>
        </w:tc>
      </w:tr>
    </w:tbl>
    <w:p>
      <w:pPr>
        <w:spacing w:after="12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How to Use This Document with NotebookLM</w:t>
      </w:r>
    </w:p>
    <w:p>
      <w:pPr>
        <w:pStyle w:val="ListParagraph"/>
        <w:numPr>
          <w:ilvl w:val="0"/>
          <w:numId w:val="2"/>
        </w:numPr>
        <w:spacing w:after="80"/>
      </w:pPr>
      <w:r>
        <w:rPr>
          <w:rFonts w:ascii="Arial" w:cs="Arial" w:eastAsia="Arial" w:hAnsi="Arial"/>
          <w:color w:val="1A1A2E"/>
          <w:sz w:val="20"/>
          <w:szCs w:val="20"/>
        </w:rPr>
        <w:t xml:space="preserve">Upload this document as a primary source in NotebookLM.</w:t>
      </w:r>
    </w:p>
    <w:p>
      <w:pPr>
        <w:pStyle w:val="ListParagraph"/>
        <w:numPr>
          <w:ilvl w:val="0"/>
          <w:numId w:val="2"/>
        </w:numPr>
        <w:spacing w:after="80"/>
      </w:pPr>
      <w:r>
        <w:rPr>
          <w:rFonts w:ascii="Arial" w:cs="Arial" w:eastAsia="Arial" w:hAnsi="Arial"/>
          <w:color w:val="1A1A2E"/>
          <w:sz w:val="20"/>
          <w:szCs w:val="20"/>
        </w:rPr>
        <w:t xml:space="preserve">Upload the anchor papers from each module alongside it.</w:t>
      </w:r>
    </w:p>
    <w:p>
      <w:pPr>
        <w:pStyle w:val="ListParagraph"/>
        <w:numPr>
          <w:ilvl w:val="0"/>
          <w:numId w:val="2"/>
        </w:numPr>
        <w:spacing w:after="80"/>
      </w:pPr>
      <w:r>
        <w:rPr>
          <w:rFonts w:ascii="Arial" w:cs="Arial" w:eastAsia="Arial" w:hAnsi="Arial"/>
          <w:color w:val="1A1A2E"/>
          <w:sz w:val="20"/>
          <w:szCs w:val="20"/>
        </w:rPr>
        <w:t xml:space="preserve">Use the NotebookLM Study Questions in each module as your starting queries.</w:t>
      </w:r>
    </w:p>
    <w:p>
      <w:pPr>
        <w:pStyle w:val="ListParagraph"/>
        <w:numPr>
          <w:ilvl w:val="0"/>
          <w:numId w:val="2"/>
        </w:numPr>
        <w:spacing w:after="80"/>
      </w:pPr>
      <w:r>
        <w:rPr>
          <w:rFonts w:ascii="Arial" w:cs="Arial" w:eastAsia="Arial" w:hAnsi="Arial"/>
          <w:color w:val="1A1A2E"/>
          <w:sz w:val="20"/>
          <w:szCs w:val="20"/>
        </w:rPr>
        <w:t xml:space="preserve">Use the Gemini Deep Research Prompts in Gemini Pro with Deep Research enabled.</w:t>
      </w:r>
    </w:p>
    <w:p>
      <w:pPr>
        <w:pStyle w:val="ListParagraph"/>
        <w:numPr>
          <w:ilvl w:val="0"/>
          <w:numId w:val="2"/>
        </w:numPr>
        <w:spacing w:after="80"/>
      </w:pPr>
      <w:r>
        <w:rPr>
          <w:rFonts w:ascii="Arial" w:cs="Arial" w:eastAsia="Arial" w:hAnsi="Arial"/>
          <w:color w:val="1A1A2E"/>
          <w:sz w:val="20"/>
          <w:szCs w:val="20"/>
        </w:rPr>
        <w:t xml:space="preserve">The Table of Contents below is your sitemap — each section is a self-contained research node.</w:t>
      </w:r>
    </w:p>
    <w:p>
      <w:r>
        <w:br w:type="page"/>
      </w:r>
    </w:p>
    <w:p>
      <w:pPr>
        <w:pStyle w:val="Heading1"/>
        <w:spacing w:before="360" w:after="120"/>
      </w:pPr>
      <w:r>
        <w:rPr>
          <w:rFonts w:ascii="Arial" w:cs="Arial" w:eastAsia="Arial" w:hAnsi="Arial"/>
          <w:b/>
          <w:bCs/>
          <w:color w:val="1B3A5C"/>
          <w:sz w:val="30"/>
          <w:szCs w:val="30"/>
        </w:rPr>
        <w:t xml:space="preserve">MASTER SITEMAP — TABLE OF CONTENTS</w:t>
      </w:r>
    </w:p>
    <w:p>
      <w:pPr>
        <w:pBdr>
          <w:bottom w:val="single" w:color="2A7F8A" w:sz="4" w:space="1"/>
        </w:pBdr>
        <w:spacing w:after="160"/>
      </w:pPr>
      <w:r>
        <w:rPr>
          <w:rFonts w:ascii="Arial" w:cs="Arial" w:eastAsia="Arial" w:hAnsi="Arial"/>
        </w:rPr>
        <w:t xml:space="preserve"/>
      </w:r>
    </w:p>
    <w:p>
      <w:pPr>
        <w:pBdr>
          <w:left w:val="single" w:color="2A7F8A" w:sz="12" w:space="4"/>
        </w:pBdr>
        <w:shd w:fill="EAF2F5" w:val="clear"/>
        <w:spacing w:before="80" w:after="120"/>
      </w:pPr>
      <w:r>
        <w:rPr>
          <w:rFonts w:ascii="Arial" w:cs="Arial" w:eastAsia="Arial" w:hAnsi="Arial"/>
          <w:i/>
          <w:iCs/>
          <w:color w:val="2A7F8A"/>
          <w:sz w:val="18"/>
          <w:szCs w:val="18"/>
        </w:rPr>
        <w:t xml:space="preserve">This is your NotebookLM navigation map. Each row is a discrete research node.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00"/>
        <w:gridCol w:w="1760"/>
      </w:tblGrid>
      <w:tr>
        <w:tc>
          <w:tcPr>
            <w:tcW w:type="dxa" w:w="1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Module</w:t>
            </w:r>
          </w:p>
        </w:tc>
        <w:tc>
          <w:tcPr>
            <w:tcW w:type="dxa" w:w="40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Title</w:t>
            </w:r>
          </w:p>
        </w:tc>
        <w:tc>
          <w:tcPr>
            <w:tcW w:type="dxa" w:w="24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Key Concept</w:t>
            </w:r>
          </w:p>
        </w:tc>
        <w:tc>
          <w:tcPr>
            <w:tcW w:type="dxa" w:w="17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Analogy</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1.0</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The Theoretical Kernel</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Physics foundations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Rules of the Game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1.1</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Collective Shift</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Breakdown of independent-electron approx.</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More is Different</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1.2</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Entanglement</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Correlated bivector dynamics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Network</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1.3</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Fluctuations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Zero-point motion / quantum jitter</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Noise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1.4</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Emergence</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Quasiparticle instantiation</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Actors</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1.5</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Topology</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Invariant bivector winding numbers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Shape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2.0</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The Material Taxonomy</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Periodic Table of Topology</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Ingredient Library</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2.1</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Superconductors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Cooper Pairing / Meissner Effect</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Backbone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2.2</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Topological Materials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Bulk-Boundary Correspondence</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Error-Free Logic Gates</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2.3</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Strongly Correlated Systems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Mott Localization / MIT</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Switch</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2.4</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Spin Liquids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Fractionalization / Long-range entanglement</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Quantum Memory</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2.5</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Moiré / Twistronics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Tunable twist-angle potentials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Breadboard</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3.0</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The Fabrication Pipeline</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Write / Read / Observe</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Toolchain</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3.1</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Synthesis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MBE / CVD / Exfoliation</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Compiler / Printer / Lego</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3.2</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Characterization</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ARPES / STM / Neutron</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Debugger / Microscope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3.3</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Temporal Profiling</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Pump-Probe Spectroscopy</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Oscilloscope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4.0</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The Application Layer</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Early static use cases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First Products</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4.1</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Computing</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Topological Qubits / MZMs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Fault-Tolerant Logic</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4.2</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Spintronics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SOT-MRAM</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Low-Power Memory</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4.3</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Sensing</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NV Centers / Quantum Dots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Atomic-Scale Sensors</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4.4</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Energy</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Superconducting Cables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Lossless Grid</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4.5</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Transducers</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Coherent state conversion</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Routing Bus</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5.0</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The Strategic Horizon</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Static → Animate transition</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Frontier</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5.1</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Scalability Gap</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Lab-to-Fab bottlenecks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Engineering Wall</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5.2</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Prediction Gap</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AI pre-validation layer</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Search Engine</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5.3</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Feedback Loop</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computers designing quantum materials</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Bootstrap</w:t>
            </w:r>
          </w:p>
        </w:tc>
      </w:tr>
      <w:tr>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5.4</w:t>
            </w:r>
          </w:p>
        </w:tc>
        <w:tc>
          <w:tcPr>
            <w:tcW w:type="dxa" w:w="4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Floquet Engineering</w:t>
            </w:r>
          </w:p>
        </w:tc>
        <w:tc>
          <w:tcPr>
            <w:tcW w:type="dxa" w:w="2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Dynamic driving: R ψ R̃</w:t>
            </w:r>
          </w:p>
        </w:tc>
        <w:tc>
          <w:tcPr>
            <w:tcW w:type="dxa" w:w="1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A1A2E"/>
                <w:sz w:val="18"/>
                <w:szCs w:val="18"/>
              </w:rPr>
              <w:t xml:space="preserve">The Active Kernel</w:t>
            </w:r>
          </w:p>
        </w:tc>
      </w:tr>
    </w:tbl>
    <w:p>
      <w:r>
        <w:br w:type="page"/>
      </w:r>
    </w:p>
    <w:p>
      <w:pPr>
        <w:pStyle w:val="Heading1"/>
        <w:spacing w:before="360" w:after="120"/>
      </w:pPr>
      <w:r>
        <w:rPr>
          <w:rFonts w:ascii="Arial" w:cs="Arial" w:eastAsia="Arial" w:hAnsi="Arial"/>
          <w:b/>
          <w:bCs/>
          <w:color w:val="1B3A5C"/>
          <w:sz w:val="30"/>
          <w:szCs w:val="30"/>
        </w:rPr>
        <w:t xml:space="preserve">RESEARCH FLOWCHART</w:t>
      </w:r>
    </w:p>
    <w:p>
      <w:pPr>
        <w:pBdr>
          <w:bottom w:val="single" w:color="2A7F8A" w:sz="4" w:space="1"/>
        </w:pBdr>
        <w:spacing w:after="160"/>
      </w:pPr>
      <w:r>
        <w:rPr>
          <w:rFonts w:ascii="Arial" w:cs="Arial" w:eastAsia="Arial" w:hAnsi="Arial"/>
        </w:rPr>
        <w:t xml:space="preserve"/>
      </w:r>
    </w:p>
    <w:p>
      <w:pPr>
        <w:pBdr>
          <w:left w:val="single" w:color="2A7F8A" w:sz="12" w:space="4"/>
        </w:pBdr>
        <w:shd w:fill="EAF2F5" w:val="clear"/>
        <w:spacing w:before="80" w:after="120"/>
      </w:pPr>
      <w:r>
        <w:rPr>
          <w:rFonts w:ascii="Arial" w:cs="Arial" w:eastAsia="Arial" w:hAnsi="Arial"/>
          <w:i/>
          <w:iCs/>
          <w:color w:val="2A7F8A"/>
          <w:sz w:val="18"/>
          <w:szCs w:val="18"/>
        </w:rPr>
        <w:t xml:space="preserve">Shows how the five layers connect. Use this to plan your NotebookLM query sequence.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60"/>
              <w:left w:type="dxa" w:w="200"/>
              <w:bottom w:type="dxa" w:w="160"/>
              <w:right w:type="dxa" w:w="200"/>
            </w:tcMar>
          </w:tcPr>
          <w:p>
            <w:pPr>
              <w:jc w:val="center"/>
            </w:pPr>
            <w:r>
              <w:rPr>
                <w:rFonts w:ascii="Arial" w:cs="Arial" w:eastAsia="Arial" w:hAnsi="Arial"/>
                <w:b/>
                <w:bCs/>
                <w:color w:val="1B3A5C"/>
                <w:sz w:val="22"/>
                <w:szCs w:val="22"/>
              </w:rPr>
              <w:t xml:space="preserve">LAYER 1.0 — THEORETICAL KERNEL</w:t>
            </w:r>
          </w:p>
          <w:p>
            <w:pPr>
              <w:jc w:val="center"/>
            </w:pPr>
            <w:r>
              <w:rPr>
                <w:rFonts w:ascii="Arial" w:cs="Arial" w:eastAsia="Arial" w:hAnsi="Arial"/>
                <w:i/>
                <w:iCs/>
                <w:color w:val="4A6274"/>
                <w:sz w:val="18"/>
                <w:szCs w:val="18"/>
              </w:rPr>
              <w:t xml:space="preserve">The physics that makes everything else possible</w:t>
            </w:r>
          </w:p>
          <w:p>
            <w:pPr>
              <w:spacing w:after="80"/>
              <w:jc w:val="center"/>
            </w:pPr>
            <w:r>
              <w:rPr>
                <w:rFonts w:ascii="Arial" w:cs="Arial" w:eastAsia="Arial" w:hAnsi="Arial"/>
                <w:color w:val="2A7F8A"/>
                <w:sz w:val="18"/>
                <w:szCs w:val="18"/>
              </w:rPr>
              <w:t xml:space="preserve">1.1 Collective Shift  ·  1.2 Entanglement  ·  1.3 Fluctuations  ·  1.4 Emergence  ·  1.5 Topology</w:t>
            </w:r>
          </w:p>
          <w:p>
            <w:pPr>
              <w:spacing w:after="120"/>
              <w:jc w:val="center"/>
            </w:pPr>
            <w:r>
              <w:rPr>
                <w:rFonts w:ascii="Arial" w:cs="Arial" w:eastAsia="Arial" w:hAnsi="Arial"/>
                <w:b/>
                <w:bCs/>
                <w:color w:val="4A6274"/>
                <w:sz w:val="20"/>
                <w:szCs w:val="20"/>
              </w:rPr>
              <w:t xml:space="preserve">↓  provides the language and invariants for  ↓</w:t>
            </w:r>
          </w:p>
          <w:p>
            <w:pPr>
              <w:jc w:val="center"/>
            </w:pPr>
            <w:r>
              <w:rPr>
                <w:rFonts w:ascii="Arial" w:cs="Arial" w:eastAsia="Arial" w:hAnsi="Arial"/>
                <w:b/>
                <w:bCs/>
                <w:color w:val="1B3A5C"/>
                <w:sz w:val="22"/>
                <w:szCs w:val="22"/>
              </w:rPr>
              <w:t xml:space="preserve">LAYER 2.0 — MATERIAL TAXONOMY</w:t>
            </w:r>
          </w:p>
          <w:p>
            <w:pPr>
              <w:jc w:val="center"/>
            </w:pPr>
            <w:r>
              <w:rPr>
                <w:rFonts w:ascii="Arial" w:cs="Arial" w:eastAsia="Arial" w:hAnsi="Arial"/>
                <w:i/>
                <w:iCs/>
                <w:color w:val="4A6274"/>
                <w:sz w:val="18"/>
                <w:szCs w:val="18"/>
              </w:rPr>
              <w:t xml:space="preserve">The periodic table of topology — what substrates exist</w:t>
            </w:r>
          </w:p>
          <w:p>
            <w:pPr>
              <w:spacing w:after="80"/>
              <w:jc w:val="center"/>
            </w:pPr>
            <w:r>
              <w:rPr>
                <w:rFonts w:ascii="Arial" w:cs="Arial" w:eastAsia="Arial" w:hAnsi="Arial"/>
                <w:color w:val="2A7F8A"/>
                <w:sz w:val="18"/>
                <w:szCs w:val="18"/>
              </w:rPr>
              <w:t xml:space="preserve">2.1 Superconductors  ·  2.2 Topological  ·  2.3 Correlated  ·  2.4 QSLs  ·  2.5 Moiré</w:t>
            </w:r>
          </w:p>
          <w:p>
            <w:pPr>
              <w:spacing w:after="120"/>
              <w:jc w:val="center"/>
            </w:pPr>
            <w:r>
              <w:rPr>
                <w:rFonts w:ascii="Arial" w:cs="Arial" w:eastAsia="Arial" w:hAnsi="Arial"/>
                <w:b/>
                <w:bCs/>
                <w:color w:val="4A6274"/>
                <w:sz w:val="20"/>
                <w:szCs w:val="20"/>
              </w:rPr>
              <w:t xml:space="preserve">↓  materials are instantiated via  ↓</w:t>
            </w:r>
          </w:p>
          <w:p>
            <w:pPr>
              <w:jc w:val="center"/>
            </w:pPr>
            <w:r>
              <w:rPr>
                <w:rFonts w:ascii="Arial" w:cs="Arial" w:eastAsia="Arial" w:hAnsi="Arial"/>
                <w:b/>
                <w:bCs/>
                <w:color w:val="1B3A5C"/>
                <w:sz w:val="22"/>
                <w:szCs w:val="22"/>
              </w:rPr>
              <w:t xml:space="preserve">LAYER 3.0 — FABRICATION PIPELINE</w:t>
            </w:r>
          </w:p>
          <w:p>
            <w:pPr>
              <w:jc w:val="center"/>
            </w:pPr>
            <w:r>
              <w:rPr>
                <w:rFonts w:ascii="Arial" w:cs="Arial" w:eastAsia="Arial" w:hAnsi="Arial"/>
                <w:i/>
                <w:iCs/>
                <w:color w:val="4A6274"/>
                <w:sz w:val="18"/>
                <w:szCs w:val="18"/>
              </w:rPr>
              <w:t xml:space="preserve">How to write, read, and observe quantum states</w:t>
            </w:r>
          </w:p>
          <w:p>
            <w:pPr>
              <w:spacing w:after="80"/>
              <w:jc w:val="center"/>
            </w:pPr>
            <w:r>
              <w:rPr>
                <w:rFonts w:ascii="Arial" w:cs="Arial" w:eastAsia="Arial" w:hAnsi="Arial"/>
                <w:color w:val="2A7F8A"/>
                <w:sz w:val="18"/>
                <w:szCs w:val="18"/>
              </w:rPr>
              <w:t xml:space="preserve">3.1 Synthesis (Write)  ·  3.2 Characterization (Read)  ·  3.3 Temporal Profiling (Observe)</w:t>
            </w:r>
          </w:p>
          <w:p>
            <w:pPr>
              <w:spacing w:after="120"/>
              <w:jc w:val="center"/>
            </w:pPr>
            <w:r>
              <w:rPr>
                <w:rFonts w:ascii="Arial" w:cs="Arial" w:eastAsia="Arial" w:hAnsi="Arial"/>
                <w:b/>
                <w:bCs/>
                <w:color w:val="4A6274"/>
                <w:sz w:val="20"/>
                <w:szCs w:val="20"/>
              </w:rPr>
              <w:t xml:space="preserve">↓  fabricated materials enable  ↓</w:t>
            </w:r>
          </w:p>
          <w:p>
            <w:pPr>
              <w:jc w:val="center"/>
            </w:pPr>
            <w:r>
              <w:rPr>
                <w:rFonts w:ascii="Arial" w:cs="Arial" w:eastAsia="Arial" w:hAnsi="Arial"/>
                <w:b/>
                <w:bCs/>
                <w:color w:val="1B3A5C"/>
                <w:sz w:val="22"/>
                <w:szCs w:val="22"/>
              </w:rPr>
              <w:t xml:space="preserve">LAYER 4.0 — APPLICATION LAYER</w:t>
            </w:r>
          </w:p>
          <w:p>
            <w:pPr>
              <w:jc w:val="center"/>
            </w:pPr>
            <w:r>
              <w:rPr>
                <w:rFonts w:ascii="Arial" w:cs="Arial" w:eastAsia="Arial" w:hAnsi="Arial"/>
                <w:i/>
                <w:iCs/>
                <w:color w:val="4A6274"/>
                <w:sz w:val="18"/>
                <w:szCs w:val="18"/>
              </w:rPr>
              <w:t xml:space="preserve">Static utilization of quantum properties</w:t>
            </w:r>
          </w:p>
          <w:p>
            <w:pPr>
              <w:spacing w:after="80"/>
              <w:jc w:val="center"/>
            </w:pPr>
            <w:r>
              <w:rPr>
                <w:rFonts w:ascii="Arial" w:cs="Arial" w:eastAsia="Arial" w:hAnsi="Arial"/>
                <w:color w:val="2A7F8A"/>
                <w:sz w:val="18"/>
                <w:szCs w:val="18"/>
              </w:rPr>
              <w:t xml:space="preserve">4.1 Computing  ·  4.2 Spintronics  ·  4.3 Sensing  ·  4.4 Energy  ·  4.5 Transducers</w:t>
            </w:r>
          </w:p>
          <w:p>
            <w:pPr>
              <w:spacing w:after="120"/>
              <w:jc w:val="center"/>
            </w:pPr>
            <w:r>
              <w:rPr>
                <w:rFonts w:ascii="Arial" w:cs="Arial" w:eastAsia="Arial" w:hAnsi="Arial"/>
                <w:b/>
                <w:bCs/>
                <w:color w:val="4A6274"/>
                <w:sz w:val="20"/>
                <w:szCs w:val="20"/>
              </w:rPr>
              <w:t xml:space="preserve">↓  applications reveal gaps that drive  ↓</w:t>
            </w:r>
          </w:p>
          <w:p>
            <w:pPr>
              <w:jc w:val="center"/>
            </w:pPr>
            <w:r>
              <w:rPr>
                <w:rFonts w:ascii="Arial" w:cs="Arial" w:eastAsia="Arial" w:hAnsi="Arial"/>
                <w:b/>
                <w:bCs/>
                <w:color w:val="E65100"/>
                <w:sz w:val="22"/>
                <w:szCs w:val="22"/>
              </w:rPr>
              <w:t xml:space="preserve">LAYER 5.0 — STRATEGIC HORIZON  [BRIDGE]</w:t>
            </w:r>
          </w:p>
          <w:p>
            <w:pPr>
              <w:jc w:val="center"/>
            </w:pPr>
            <w:r>
              <w:rPr>
                <w:rFonts w:ascii="Arial" w:cs="Arial" w:eastAsia="Arial" w:hAnsi="Arial"/>
                <w:i/>
                <w:iCs/>
                <w:color w:val="4A6274"/>
                <w:sz w:val="18"/>
                <w:szCs w:val="18"/>
              </w:rPr>
              <w:t xml:space="preserve">The active frontier: Static → Animate</w:t>
            </w:r>
          </w:p>
          <w:p>
            <w:pPr>
              <w:spacing w:after="80"/>
              <w:jc w:val="center"/>
            </w:pPr>
            <w:r>
              <w:rPr>
                <w:rFonts w:ascii="Arial" w:cs="Arial" w:eastAsia="Arial" w:hAnsi="Arial"/>
                <w:color w:val="2A7F8A"/>
                <w:sz w:val="18"/>
                <w:szCs w:val="18"/>
              </w:rPr>
              <w:t xml:space="preserve">5.1 Scalability  ·  5.2 AI Prediction  ·  5.3 Feedback Loop  ·  5.4 Floquet Engineering</w:t>
            </w:r>
          </w:p>
          <w:p>
            <w:pPr>
              <w:jc w:val="center"/>
            </w:pPr>
            <w:r>
              <w:rPr>
                <w:rFonts w:ascii="Arial" w:cs="Arial" w:eastAsia="Arial" w:hAnsi="Arial"/>
                <w:b/>
                <w:bCs/>
                <w:color w:val="1B3A5C"/>
                <w:sz w:val="20"/>
                <w:szCs w:val="20"/>
              </w:rPr>
              <w:t xml:space="preserve">↺  Strategic horizon feeds back into Layer 1 — closing the research loop  ↺</w:t>
            </w:r>
          </w:p>
        </w:tc>
      </w:tr>
    </w:tbl>
    <w:p>
      <w:r>
        <w:br w:type="page"/>
      </w:r>
    </w:p>
    <w:p>
      <w:pPr>
        <w:pStyle w:val="Heading1"/>
        <w:spacing w:before="360" w:after="120"/>
      </w:pPr>
      <w:r>
        <w:rPr>
          <w:rFonts w:ascii="Arial" w:cs="Arial" w:eastAsia="Arial" w:hAnsi="Arial"/>
          <w:b/>
          <w:bCs/>
          <w:color w:val="1B3A5C"/>
          <w:sz w:val="30"/>
          <w:szCs w:val="30"/>
        </w:rPr>
        <w:t xml:space="preserve">MODULE 1.0: The Theoretical Kernel</w:t>
      </w:r>
    </w:p>
    <w:p>
      <w:pPr>
        <w:pBdr>
          <w:left w:val="single" w:color="2E7D32" w:sz="14" w:space="4"/>
        </w:pBdr>
        <w:shd w:fill="E8F5E9" w:val="clear"/>
        <w:spacing w:after="120"/>
      </w:pPr>
      <w:r>
        <w:rPr>
          <w:rFonts w:ascii="Arial" w:cs="Arial" w:eastAsia="Arial" w:hAnsi="Arial"/>
          <w:b/>
          <w:bCs/>
          <w:color w:val="2E7D32"/>
          <w:sz w:val="18"/>
          <w:szCs w:val="18"/>
        </w:rPr>
        <w:t xml:space="preserve">  [GROUNDED]  </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Purpose</w:t>
      </w:r>
    </w:p>
    <w:p>
      <w:pPr>
        <w:spacing w:after="100"/>
      </w:pPr>
      <w:r>
        <w:rPr>
          <w:rFonts w:ascii="Arial" w:cs="Arial" w:eastAsia="Arial" w:hAnsi="Arial"/>
          <w:color w:val="1A1A2E"/>
          <w:sz w:val="20"/>
          <w:szCs w:val="20"/>
        </w:rPr>
        <w:t xml:space="preserve">The physics that makes everything else possible. This layer defines the rules of engagement — the fundamental quantum mechanical principles that underpin every material, fabrication technique, and application in later layers. Fluency here is non-negotiable before advancing.</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w:t>
      </w:r>
    </w:p>
    <w:p>
      <w:pPr>
        <w:pBdr>
          <w:left w:val="single" w:color="2A7F8A" w:sz="12" w:space="4"/>
        </w:pBdr>
        <w:shd w:fill="EAF2F5" w:val="clear"/>
        <w:spacing w:before="80" w:after="120"/>
      </w:pPr>
      <w:r>
        <w:rPr>
          <w:rFonts w:ascii="Arial" w:cs="Arial" w:eastAsia="Arial" w:hAnsi="Arial"/>
          <w:i/>
          <w:iCs/>
          <w:color w:val="2A7F8A"/>
          <w:sz w:val="18"/>
          <w:szCs w:val="18"/>
        </w:rPr>
        <w:t xml:space="preserve">Feed these directly to NotebookLM as sources alongside this document.</w:t>
      </w:r>
    </w:p>
    <w:p>
      <w:pPr>
        <w:pStyle w:val="ListParagraph"/>
        <w:numPr>
          <w:ilvl w:val="0"/>
          <w:numId w:val="2"/>
        </w:numPr>
        <w:spacing w:after="80"/>
      </w:pPr>
      <w:r>
        <w:rPr>
          <w:rFonts w:ascii="Arial" w:cs="Arial" w:eastAsia="Arial" w:hAnsi="Arial"/>
          <w:color w:val="1A1A2E"/>
          <w:sz w:val="20"/>
          <w:szCs w:val="20"/>
        </w:rPr>
        <w:t xml:space="preserve">Anderson, P.W. (1972). More is Different. Science. [The foundational emergence paper]</w:t>
      </w:r>
    </w:p>
    <w:p>
      <w:pPr>
        <w:pStyle w:val="ListParagraph"/>
        <w:numPr>
          <w:ilvl w:val="0"/>
          <w:numId w:val="2"/>
        </w:numPr>
        <w:spacing w:after="80"/>
      </w:pPr>
      <w:r>
        <w:rPr>
          <w:rFonts w:ascii="Arial" w:cs="Arial" w:eastAsia="Arial" w:hAnsi="Arial"/>
          <w:color w:val="1A1A2E"/>
          <w:sz w:val="20"/>
          <w:szCs w:val="20"/>
        </w:rPr>
        <w:t xml:space="preserve">Keimer, B. &amp; Moore, J.E. (2017). The physics of quantum materials. Nature Physics.</w:t>
      </w:r>
    </w:p>
    <w:p>
      <w:pPr>
        <w:pStyle w:val="ListParagraph"/>
        <w:numPr>
          <w:ilvl w:val="0"/>
          <w:numId w:val="2"/>
        </w:numPr>
        <w:spacing w:after="80"/>
      </w:pPr>
      <w:r>
        <w:rPr>
          <w:rFonts w:ascii="Arial" w:cs="Arial" w:eastAsia="Arial" w:hAnsi="Arial"/>
          <w:color w:val="1A1A2E"/>
          <w:sz w:val="20"/>
          <w:szCs w:val="20"/>
        </w:rPr>
        <w:t xml:space="preserve">Wen, X-G. (2004). Quantum Field Theory of Many-Body Systems. Oxford University Press.</w:t>
      </w:r>
    </w:p>
    <w:p>
      <w:pPr>
        <w:pStyle w:val="ListParagraph"/>
        <w:numPr>
          <w:ilvl w:val="0"/>
          <w:numId w:val="2"/>
        </w:numPr>
        <w:spacing w:after="80"/>
      </w:pPr>
      <w:r>
        <w:rPr>
          <w:rFonts w:ascii="Arial" w:cs="Arial" w:eastAsia="Arial" w:hAnsi="Arial"/>
          <w:color w:val="1A1A2E"/>
          <w:sz w:val="20"/>
          <w:szCs w:val="20"/>
        </w:rPr>
        <w:t xml:space="preserve">Sachdev, S. (2011). Quantum Phase Transitions. Cambridge University Press.</w:t>
      </w:r>
    </w:p>
    <w:p>
      <w:pPr>
        <w:pStyle w:val="ListParagraph"/>
        <w:numPr>
          <w:ilvl w:val="0"/>
          <w:numId w:val="2"/>
        </w:numPr>
        <w:spacing w:after="80"/>
      </w:pPr>
      <w:r>
        <w:rPr>
          <w:rFonts w:ascii="Arial" w:cs="Arial" w:eastAsia="Arial" w:hAnsi="Arial"/>
          <w:color w:val="1A1A2E"/>
          <w:sz w:val="20"/>
          <w:szCs w:val="20"/>
        </w:rPr>
        <w:t xml:space="preserve">Hasan, M.Z. &amp; Kane, C.L. (2010). Colloquium: Topological insulators. Reviews of Modern Physics.</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Deep Research Prompt</w:t>
      </w:r>
    </w:p>
    <w:p>
      <w:pPr>
        <w:pBdr>
          <w:left w:val="single" w:color="2A7F8A" w:sz="12" w:space="4"/>
        </w:pBdr>
        <w:shd w:fill="EAF2F5" w:val="clear"/>
        <w:spacing w:before="80" w:after="120"/>
      </w:pPr>
      <w:r>
        <w:rPr>
          <w:rFonts w:ascii="Arial" w:cs="Arial" w:eastAsia="Arial" w:hAnsi="Arial"/>
          <w:i/>
          <w:iCs/>
          <w:color w:val="2A7F8A"/>
          <w:sz w:val="18"/>
          <w:szCs w:val="18"/>
        </w:rPr>
        <w:t xml:space="preserve">Using only peer-reviewed sources from Nature Physics, Physical Review Letters, and Annual Reviews, explain the five foundational concepts of quantum materials: (1) the breakdown of the independent-electron approximation, (2) quantum entanglement as a many-body resource, (3) zero-point fluctuations, (4) quasiparticle emergence, and (5) topological invariants. For each, identify the key experimental system where the phenomenon was first confirmed.</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NotebookLM Study Questions</w:t>
      </w:r>
    </w:p>
    <w:p>
      <w:pPr>
        <w:spacing w:before="100" w:after="40"/>
      </w:pPr>
      <w:r>
        <w:rPr>
          <w:rFonts w:ascii="Arial" w:cs="Arial" w:eastAsia="Arial" w:hAnsi="Arial"/>
          <w:b/>
          <w:bCs/>
          <w:color w:val="1B3A5C"/>
          <w:sz w:val="20"/>
          <w:szCs w:val="20"/>
        </w:rPr>
        <w:t xml:space="preserve">Q: Why does the independent-electron approximation break down?</w:t>
      </w:r>
    </w:p>
    <w:p>
      <w:pPr>
        <w:spacing w:after="100"/>
      </w:pPr>
      <w:r>
        <w:rPr>
          <w:rFonts w:ascii="Arial" w:cs="Arial" w:eastAsia="Arial" w:hAnsi="Arial"/>
          <w:color w:val="1A1A2E"/>
          <w:sz w:val="19"/>
          <w:szCs w:val="19"/>
        </w:rPr>
        <w:t xml:space="preserve">A: In strongly correlated systems, the Coulomb repulsion between electrons is comparable to or exceeds their kinetic energy. This means electrons cannot be treated as moving independently — their behavior is collectively determined. This is the regime where Mott insulators, heavy fermions, and unconventional superconductors emerge.</w:t>
      </w:r>
    </w:p>
    <w:p>
      <w:pPr>
        <w:spacing w:before="100" w:after="40"/>
      </w:pPr>
      <w:r>
        <w:rPr>
          <w:rFonts w:ascii="Arial" w:cs="Arial" w:eastAsia="Arial" w:hAnsi="Arial"/>
          <w:b/>
          <w:bCs/>
          <w:color w:val="1B3A5C"/>
          <w:sz w:val="20"/>
          <w:szCs w:val="20"/>
        </w:rPr>
        <w:t xml:space="preserve">Q: What is the geometric algebra framing of entanglement (1.2)?</w:t>
      </w:r>
    </w:p>
    <w:p>
      <w:pPr>
        <w:spacing w:after="100"/>
      </w:pPr>
      <w:r>
        <w:rPr>
          <w:rFonts w:ascii="Arial" w:cs="Arial" w:eastAsia="Arial" w:hAnsi="Arial"/>
          <w:color w:val="1A1A2E"/>
          <w:sz w:val="19"/>
          <w:szCs w:val="19"/>
        </w:rPr>
        <w:t xml:space="preserve">A: Entanglement is reframed as correlated bivector dynamics — two particles whose state spaces are geometrically coupled such that the rotor describing one cannot be specified independently of the other. This is a [BRIDGE] framing connecting GA formalism to standard quantum entanglement. The standard literature describes it via density matrices and Schmidt decomposition.</w:t>
      </w:r>
    </w:p>
    <w:p>
      <w:pPr>
        <w:spacing w:before="100" w:after="40"/>
      </w:pPr>
      <w:r>
        <w:rPr>
          <w:rFonts w:ascii="Arial" w:cs="Arial" w:eastAsia="Arial" w:hAnsi="Arial"/>
          <w:b/>
          <w:bCs/>
          <w:color w:val="1B3A5C"/>
          <w:sz w:val="20"/>
          <w:szCs w:val="20"/>
        </w:rPr>
        <w:t xml:space="preserve">Q: What is topology doing in a materials context?</w:t>
      </w:r>
    </w:p>
    <w:p>
      <w:pPr>
        <w:spacing w:after="100"/>
      </w:pPr>
      <w:r>
        <w:rPr>
          <w:rFonts w:ascii="Arial" w:cs="Arial" w:eastAsia="Arial" w:hAnsi="Arial"/>
          <w:color w:val="1A1A2E"/>
          <w:sz w:val="19"/>
          <w:szCs w:val="19"/>
        </w:rPr>
        <w:t xml:space="preserve">A: Topology classifies global properties of quantum wavefunctions that are invariant under continuous deformation. The winding number counts how many times the Hamiltonian's Bloch vector wraps around the Brillouin zone. This integer cannot change without closing the energy gap — making it a robust, hardware-level property.</w:t>
      </w:r>
    </w:p>
    <w:p>
      <w:r>
        <w:br w:type="page"/>
      </w:r>
    </w:p>
    <w:p>
      <w:pPr>
        <w:pStyle w:val="Heading1"/>
        <w:spacing w:before="360" w:after="120"/>
      </w:pPr>
      <w:r>
        <w:rPr>
          <w:rFonts w:ascii="Arial" w:cs="Arial" w:eastAsia="Arial" w:hAnsi="Arial"/>
          <w:b/>
          <w:bCs/>
          <w:color w:val="1B3A5C"/>
          <w:sz w:val="30"/>
          <w:szCs w:val="30"/>
        </w:rPr>
        <w:t xml:space="preserve">MODULE 2.0: The Material Taxonomy</w:t>
      </w:r>
    </w:p>
    <w:p>
      <w:pPr>
        <w:pBdr>
          <w:left w:val="single" w:color="2E7D32" w:sz="14" w:space="4"/>
        </w:pBdr>
        <w:shd w:fill="E8F5E9" w:val="clear"/>
        <w:spacing w:after="120"/>
      </w:pPr>
      <w:r>
        <w:rPr>
          <w:rFonts w:ascii="Arial" w:cs="Arial" w:eastAsia="Arial" w:hAnsi="Arial"/>
          <w:b/>
          <w:bCs/>
          <w:color w:val="2E7D32"/>
          <w:sz w:val="18"/>
          <w:szCs w:val="18"/>
        </w:rPr>
        <w:t xml:space="preserve">  [GROUNDED]  </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Purpose</w:t>
      </w:r>
    </w:p>
    <w:p>
      <w:pPr>
        <w:spacing w:after="100"/>
      </w:pPr>
      <w:r>
        <w:rPr>
          <w:rFonts w:ascii="Arial" w:cs="Arial" w:eastAsia="Arial" w:hAnsi="Arial"/>
          <w:color w:val="1A1A2E"/>
          <w:sz w:val="20"/>
          <w:szCs w:val="20"/>
        </w:rPr>
        <w:t xml:space="preserve">The periodic table of topology. Five classes of quantum materials organized by their dominant physical mechanism and their strategic engineering utility. This is the ingredient library for all quantum hardware design.</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w:t>
      </w:r>
    </w:p>
    <w:p>
      <w:pPr>
        <w:pBdr>
          <w:left w:val="single" w:color="2A7F8A" w:sz="12" w:space="4"/>
        </w:pBdr>
        <w:shd w:fill="EAF2F5" w:val="clear"/>
        <w:spacing w:before="80" w:after="120"/>
      </w:pPr>
      <w:r>
        <w:rPr>
          <w:rFonts w:ascii="Arial" w:cs="Arial" w:eastAsia="Arial" w:hAnsi="Arial"/>
          <w:i/>
          <w:iCs/>
          <w:color w:val="2A7F8A"/>
          <w:sz w:val="18"/>
          <w:szCs w:val="18"/>
        </w:rPr>
        <w:t xml:space="preserve">Feed these directly to NotebookLM as sources alongside this document.</w:t>
      </w:r>
    </w:p>
    <w:p>
      <w:pPr>
        <w:pStyle w:val="ListParagraph"/>
        <w:numPr>
          <w:ilvl w:val="0"/>
          <w:numId w:val="2"/>
        </w:numPr>
        <w:spacing w:after="80"/>
      </w:pPr>
      <w:r>
        <w:rPr>
          <w:rFonts w:ascii="Arial" w:cs="Arial" w:eastAsia="Arial" w:hAnsi="Arial"/>
          <w:color w:val="1A1A2E"/>
          <w:sz w:val="20"/>
          <w:szCs w:val="20"/>
        </w:rPr>
        <w:t xml:space="preserve">Basov, D.N. et al. (2017). Towards properties on demand in quantum materials. Nature Materials.</w:t>
      </w:r>
    </w:p>
    <w:p>
      <w:pPr>
        <w:pStyle w:val="ListParagraph"/>
        <w:numPr>
          <w:ilvl w:val="0"/>
          <w:numId w:val="2"/>
        </w:numPr>
        <w:spacing w:after="80"/>
      </w:pPr>
      <w:r>
        <w:rPr>
          <w:rFonts w:ascii="Arial" w:cs="Arial" w:eastAsia="Arial" w:hAnsi="Arial"/>
          <w:color w:val="1A1A2E"/>
          <w:sz w:val="20"/>
          <w:szCs w:val="20"/>
        </w:rPr>
        <w:t xml:space="preserve">Tokura, Y. et al. (2017). Emergent functions of quantum materials. Nature Physics.</w:t>
      </w:r>
    </w:p>
    <w:p>
      <w:pPr>
        <w:pStyle w:val="ListParagraph"/>
        <w:numPr>
          <w:ilvl w:val="0"/>
          <w:numId w:val="2"/>
        </w:numPr>
        <w:spacing w:after="80"/>
      </w:pPr>
      <w:r>
        <w:rPr>
          <w:rFonts w:ascii="Arial" w:cs="Arial" w:eastAsia="Arial" w:hAnsi="Arial"/>
          <w:color w:val="1A1A2E"/>
          <w:sz w:val="20"/>
          <w:szCs w:val="20"/>
        </w:rPr>
        <w:t xml:space="preserve">Cao, Y. et al. (2018). Unconventional superconductivity in magic-angle graphene superlattices. Nature. [Moiré / Twistronics]</w:t>
      </w:r>
    </w:p>
    <w:p>
      <w:pPr>
        <w:pStyle w:val="ListParagraph"/>
        <w:numPr>
          <w:ilvl w:val="0"/>
          <w:numId w:val="2"/>
        </w:numPr>
        <w:spacing w:after="80"/>
      </w:pPr>
      <w:r>
        <w:rPr>
          <w:rFonts w:ascii="Arial" w:cs="Arial" w:eastAsia="Arial" w:hAnsi="Arial"/>
          <w:color w:val="1A1A2E"/>
          <w:sz w:val="20"/>
          <w:szCs w:val="20"/>
        </w:rPr>
        <w:t xml:space="preserve">Balents, L. (2010). Spin liquids in frustrated magnets. Nature. [QSL review]</w:t>
      </w:r>
    </w:p>
    <w:p>
      <w:pPr>
        <w:pStyle w:val="ListParagraph"/>
        <w:numPr>
          <w:ilvl w:val="0"/>
          <w:numId w:val="2"/>
        </w:numPr>
        <w:spacing w:after="80"/>
      </w:pPr>
      <w:r>
        <w:rPr>
          <w:rFonts w:ascii="Arial" w:cs="Arial" w:eastAsia="Arial" w:hAnsi="Arial"/>
          <w:color w:val="1A1A2E"/>
          <w:sz w:val="20"/>
          <w:szCs w:val="20"/>
        </w:rPr>
        <w:t xml:space="preserve">Bednorz, J.G. &amp; Müller, K.A. (1986). Possible high Tc superconductivity. Z. Physik B. [Nobel Prize — superconductor foundation]</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Deep Research Prompt</w:t>
      </w:r>
    </w:p>
    <w:p>
      <w:pPr>
        <w:pBdr>
          <w:left w:val="single" w:color="2A7F8A" w:sz="12" w:space="4"/>
        </w:pBdr>
        <w:shd w:fill="EAF2F5" w:val="clear"/>
        <w:spacing w:before="80" w:after="120"/>
      </w:pPr>
      <w:r>
        <w:rPr>
          <w:rFonts w:ascii="Arial" w:cs="Arial" w:eastAsia="Arial" w:hAnsi="Arial"/>
          <w:i/>
          <w:iCs/>
          <w:color w:val="2A7F8A"/>
          <w:sz w:val="18"/>
          <w:szCs w:val="18"/>
        </w:rPr>
        <w:t xml:space="preserve">Search peer-reviewed literature for each of the five material classes in the taxonomy: superconductors, topological insulators/semimetals, strongly correlated systems, quantum spin liquids, and Moiré materials. For each class: (1) identify the defining physical mechanism, (2) name the three most studied experimental systems, (3) identify the primary open problem blocking application. Use only sources from Nature, Physical Review, and Annual Reviews.</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NotebookLM Study Questions</w:t>
      </w:r>
    </w:p>
    <w:p>
      <w:pPr>
        <w:spacing w:before="100" w:after="40"/>
      </w:pPr>
      <w:r>
        <w:rPr>
          <w:rFonts w:ascii="Arial" w:cs="Arial" w:eastAsia="Arial" w:hAnsi="Arial"/>
          <w:b/>
          <w:bCs/>
          <w:color w:val="1B3A5C"/>
          <w:sz w:val="20"/>
          <w:szCs w:val="20"/>
        </w:rPr>
        <w:t xml:space="preserve">Q: Why is Moiré labeled 'The Breadboard'?</w:t>
      </w:r>
    </w:p>
    <w:p>
      <w:pPr>
        <w:spacing w:after="100"/>
      </w:pPr>
      <w:r>
        <w:rPr>
          <w:rFonts w:ascii="Arial" w:cs="Arial" w:eastAsia="Arial" w:hAnsi="Arial"/>
          <w:color w:val="1A1A2E"/>
          <w:sz w:val="19"/>
          <w:szCs w:val="19"/>
        </w:rPr>
        <w:t xml:space="preserve">A: Magic-angle twisted bilayer graphene allows researchers to tune the effective Hamiltonian continuously by adjusting twist angle. This means correlated and topological phases can be engineered and tested rapidly without growing new bulk crystals — analogous to breadboard prototyping in electronics.</w:t>
      </w:r>
    </w:p>
    <w:p>
      <w:pPr>
        <w:spacing w:before="100" w:after="40"/>
      </w:pPr>
      <w:r>
        <w:rPr>
          <w:rFonts w:ascii="Arial" w:cs="Arial" w:eastAsia="Arial" w:hAnsi="Arial"/>
          <w:b/>
          <w:bCs/>
          <w:color w:val="1B3A5C"/>
          <w:sz w:val="20"/>
          <w:szCs w:val="20"/>
        </w:rPr>
        <w:t xml:space="preserve">Q: What is Mott localization and why does it matter?</w:t>
      </w:r>
    </w:p>
    <w:p>
      <w:pPr>
        <w:spacing w:after="100"/>
      </w:pPr>
      <w:r>
        <w:rPr>
          <w:rFonts w:ascii="Arial" w:cs="Arial" w:eastAsia="Arial" w:hAnsi="Arial"/>
          <w:color w:val="1A1A2E"/>
          <w:sz w:val="19"/>
          <w:szCs w:val="19"/>
        </w:rPr>
        <w:t xml:space="preserve">A: In a Mott insulator, strong on-site Coulomb repulsion prevents electron hopping even when band theory predicts metallic behavior. The transition between Mott insulating and metallic states (MIT) is a tunable quantum switch — driven by pressure, doping, or field — with applications in neuromorphic and quantum computing.</w:t>
      </w:r>
    </w:p>
    <w:p>
      <w:pPr>
        <w:spacing w:before="100" w:after="40"/>
      </w:pPr>
      <w:r>
        <w:rPr>
          <w:rFonts w:ascii="Arial" w:cs="Arial" w:eastAsia="Arial" w:hAnsi="Arial"/>
          <w:b/>
          <w:bCs/>
          <w:color w:val="1B3A5C"/>
          <w:sz w:val="20"/>
          <w:szCs w:val="20"/>
        </w:rPr>
        <w:t xml:space="preserve">Q: What makes QSLs candidates for quantum memory?</w:t>
      </w:r>
    </w:p>
    <w:p>
      <w:pPr>
        <w:spacing w:after="100"/>
      </w:pPr>
      <w:r>
        <w:rPr>
          <w:rFonts w:ascii="Arial" w:cs="Arial" w:eastAsia="Arial" w:hAnsi="Arial"/>
          <w:color w:val="1A1A2E"/>
          <w:sz w:val="19"/>
          <w:szCs w:val="19"/>
        </w:rPr>
        <w:t xml:space="preserve">A: Quantum spin liquids host fractionalized excitations (spinons, anyons) with long-range entanglement that is topologically protected. In Z2 QSLs, logical qubits encoded in this topological order are inherently protected against local errors — making them a theoretical platform for fault-tolerant quantum memory.</w:t>
      </w:r>
    </w:p>
    <w:p>
      <w:r>
        <w:br w:type="page"/>
      </w:r>
    </w:p>
    <w:p>
      <w:pPr>
        <w:pStyle w:val="Heading1"/>
        <w:spacing w:before="360" w:after="120"/>
      </w:pPr>
      <w:r>
        <w:rPr>
          <w:rFonts w:ascii="Arial" w:cs="Arial" w:eastAsia="Arial" w:hAnsi="Arial"/>
          <w:b/>
          <w:bCs/>
          <w:color w:val="1B3A5C"/>
          <w:sz w:val="30"/>
          <w:szCs w:val="30"/>
        </w:rPr>
        <w:t xml:space="preserve">MODULE 3.0: The Fabrication Pipeline</w:t>
      </w:r>
    </w:p>
    <w:p>
      <w:pPr>
        <w:pBdr>
          <w:left w:val="single" w:color="2E7D32" w:sz="14" w:space="4"/>
        </w:pBdr>
        <w:shd w:fill="E8F5E9" w:val="clear"/>
        <w:spacing w:after="120"/>
      </w:pPr>
      <w:r>
        <w:rPr>
          <w:rFonts w:ascii="Arial" w:cs="Arial" w:eastAsia="Arial" w:hAnsi="Arial"/>
          <w:b/>
          <w:bCs/>
          <w:color w:val="2E7D32"/>
          <w:sz w:val="18"/>
          <w:szCs w:val="18"/>
        </w:rPr>
        <w:t xml:space="preserve">  [GROUNDED]  </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Purpose</w:t>
      </w:r>
    </w:p>
    <w:p>
      <w:pPr>
        <w:spacing w:after="100"/>
      </w:pPr>
      <w:r>
        <w:rPr>
          <w:rFonts w:ascii="Arial" w:cs="Arial" w:eastAsia="Arial" w:hAnsi="Arial"/>
          <w:color w:val="1A1A2E"/>
          <w:sz w:val="20"/>
          <w:szCs w:val="20"/>
        </w:rPr>
        <w:t xml:space="preserve">The toolchain for instantiating and observing quantum materials. Three operations — Write (synthesis), Read (characterization), Observe (temporal profiling) — map onto the full experimental workflow from growing a crystal to watching it change state in real time.</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w:t>
      </w:r>
    </w:p>
    <w:p>
      <w:pPr>
        <w:pBdr>
          <w:left w:val="single" w:color="2A7F8A" w:sz="12" w:space="4"/>
        </w:pBdr>
        <w:shd w:fill="EAF2F5" w:val="clear"/>
        <w:spacing w:before="80" w:after="120"/>
      </w:pPr>
      <w:r>
        <w:rPr>
          <w:rFonts w:ascii="Arial" w:cs="Arial" w:eastAsia="Arial" w:hAnsi="Arial"/>
          <w:i/>
          <w:iCs/>
          <w:color w:val="2A7F8A"/>
          <w:sz w:val="18"/>
          <w:szCs w:val="18"/>
        </w:rPr>
        <w:t xml:space="preserve">Feed these directly to NotebookLM as sources alongside this document.</w:t>
      </w:r>
    </w:p>
    <w:p>
      <w:pPr>
        <w:pStyle w:val="ListParagraph"/>
        <w:numPr>
          <w:ilvl w:val="0"/>
          <w:numId w:val="2"/>
        </w:numPr>
        <w:spacing w:after="80"/>
      </w:pPr>
      <w:r>
        <w:rPr>
          <w:rFonts w:ascii="Arial" w:cs="Arial" w:eastAsia="Arial" w:hAnsi="Arial"/>
          <w:color w:val="1A1A2E"/>
          <w:sz w:val="20"/>
          <w:szCs w:val="20"/>
        </w:rPr>
        <w:t xml:space="preserve">Cho, A.Y. &amp; Arthur, J.R. (1975). Molecular beam epitaxy. Progress in Solid State Chemistry. [MBE foundations]</w:t>
      </w:r>
    </w:p>
    <w:p>
      <w:pPr>
        <w:pStyle w:val="ListParagraph"/>
        <w:numPr>
          <w:ilvl w:val="0"/>
          <w:numId w:val="2"/>
        </w:numPr>
        <w:spacing w:after="80"/>
      </w:pPr>
      <w:r>
        <w:rPr>
          <w:rFonts w:ascii="Arial" w:cs="Arial" w:eastAsia="Arial" w:hAnsi="Arial"/>
          <w:color w:val="1A1A2E"/>
          <w:sz w:val="20"/>
          <w:szCs w:val="20"/>
        </w:rPr>
        <w:t xml:space="preserve">Damascelli, A. et al. (2003). Angle-resolved photoemission studies of the cuprate superconductors. Reviews of Modern Physics. [ARPES foundations]</w:t>
      </w:r>
    </w:p>
    <w:p>
      <w:pPr>
        <w:pStyle w:val="ListParagraph"/>
        <w:numPr>
          <w:ilvl w:val="0"/>
          <w:numId w:val="2"/>
        </w:numPr>
        <w:spacing w:after="80"/>
      </w:pPr>
      <w:r>
        <w:rPr>
          <w:rFonts w:ascii="Arial" w:cs="Arial" w:eastAsia="Arial" w:hAnsi="Arial"/>
          <w:color w:val="1A1A2E"/>
          <w:sz w:val="20"/>
          <w:szCs w:val="20"/>
        </w:rPr>
        <w:t xml:space="preserve">Binnig, G. &amp; Rohrer, H. (1987). Scanning tunneling microscopy. Reviews of Modern Physics. [Nobel Prize — STM]</w:t>
      </w:r>
    </w:p>
    <w:p>
      <w:pPr>
        <w:pStyle w:val="ListParagraph"/>
        <w:numPr>
          <w:ilvl w:val="0"/>
          <w:numId w:val="2"/>
        </w:numPr>
        <w:spacing w:after="80"/>
      </w:pPr>
      <w:r>
        <w:rPr>
          <w:rFonts w:ascii="Arial" w:cs="Arial" w:eastAsia="Arial" w:hAnsi="Arial"/>
          <w:color w:val="1A1A2E"/>
          <w:sz w:val="20"/>
          <w:szCs w:val="20"/>
        </w:rPr>
        <w:t xml:space="preserve">Giannetti, C. et al. (2016). Ultrafast optical spectroscopy of strongly correlated materials. Advances in Physics. [Pump-probe]</w:t>
      </w:r>
    </w:p>
    <w:p>
      <w:pPr>
        <w:pStyle w:val="ListParagraph"/>
        <w:numPr>
          <w:ilvl w:val="0"/>
          <w:numId w:val="2"/>
        </w:numPr>
        <w:spacing w:after="80"/>
      </w:pPr>
      <w:r>
        <w:rPr>
          <w:rFonts w:ascii="Arial" w:cs="Arial" w:eastAsia="Arial" w:hAnsi="Arial"/>
          <w:color w:val="1A1A2E"/>
          <w:sz w:val="20"/>
          <w:szCs w:val="20"/>
        </w:rPr>
        <w:t xml:space="preserve">Novoselov, K.S. et al. (2004). Electric field effect in atomically thin carbon films. Science. [Exfoliation — Nobel Prize]</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Deep Research Prompt</w:t>
      </w:r>
    </w:p>
    <w:p>
      <w:pPr>
        <w:pBdr>
          <w:left w:val="single" w:color="2A7F8A" w:sz="12" w:space="4"/>
        </w:pBdr>
        <w:shd w:fill="EAF2F5" w:val="clear"/>
        <w:spacing w:before="80" w:after="120"/>
      </w:pPr>
      <w:r>
        <w:rPr>
          <w:rFonts w:ascii="Arial" w:cs="Arial" w:eastAsia="Arial" w:hAnsi="Arial"/>
          <w:i/>
          <w:iCs/>
          <w:color w:val="2A7F8A"/>
          <w:sz w:val="18"/>
          <w:szCs w:val="18"/>
        </w:rPr>
        <w:t xml:space="preserve">Search for peer-reviewed literature on the three fabrication pipeline stages for quantum materials: (1) synthesis methods — MBE, CVD, and mechanical exfoliation with emphasis on achieving atomic precision and Moiré assembly, (2) characterization — ARPES for momentum space mapping and STM for real-space imaging of quantum states, (3) ultrafast pump-probe spectroscopy for temporal profiling of non-equilibrium and driven states. For each technique, identify current resolution limits and the most recent breakthrough experiment.</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NotebookLM Study Questions</w:t>
      </w:r>
    </w:p>
    <w:p>
      <w:pPr>
        <w:spacing w:before="100" w:after="40"/>
      </w:pPr>
      <w:r>
        <w:rPr>
          <w:rFonts w:ascii="Arial" w:cs="Arial" w:eastAsia="Arial" w:hAnsi="Arial"/>
          <w:b/>
          <w:bCs/>
          <w:color w:val="1B3A5C"/>
          <w:sz w:val="20"/>
          <w:szCs w:val="20"/>
        </w:rPr>
        <w:t xml:space="preserve">Q: What makes MBE 'The Compiler'?</w:t>
      </w:r>
    </w:p>
    <w:p>
      <w:pPr>
        <w:spacing w:after="100"/>
      </w:pPr>
      <w:r>
        <w:rPr>
          <w:rFonts w:ascii="Arial" w:cs="Arial" w:eastAsia="Arial" w:hAnsi="Arial"/>
          <w:color w:val="1A1A2E"/>
          <w:sz w:val="19"/>
          <w:szCs w:val="19"/>
        </w:rPr>
        <w:t xml:space="preserve">A: MBE deposits materials atom-by-atom under ultra-high vacuum with precise control of composition, thickness, and interface quality. Like a compiler translating high-level code into machine instructions, MBE translates a Hamiltonian design (the theoretical specification) into a physical crystal structure with atomic precision.</w:t>
      </w:r>
    </w:p>
    <w:p>
      <w:pPr>
        <w:spacing w:before="100" w:after="40"/>
      </w:pPr>
      <w:r>
        <w:rPr>
          <w:rFonts w:ascii="Arial" w:cs="Arial" w:eastAsia="Arial" w:hAnsi="Arial"/>
          <w:b/>
          <w:bCs/>
          <w:color w:val="1B3A5C"/>
          <w:sz w:val="20"/>
          <w:szCs w:val="20"/>
        </w:rPr>
        <w:t xml:space="preserve">Q: What does ARPES actually measure?</w:t>
      </w:r>
    </w:p>
    <w:p>
      <w:pPr>
        <w:spacing w:after="100"/>
      </w:pPr>
      <w:r>
        <w:rPr>
          <w:rFonts w:ascii="Arial" w:cs="Arial" w:eastAsia="Arial" w:hAnsi="Arial"/>
          <w:color w:val="1A1A2E"/>
          <w:sz w:val="19"/>
          <w:szCs w:val="19"/>
        </w:rPr>
        <w:t xml:space="preserve">A: ARPES (Angle-Resolved Photoemission Spectroscopy) measures the energy and momentum of electrons ejected from a material surface by UV or X-ray photons. It directly images the electronic band structure — including the Dirac cones of topological insulators and the Fermi arcs of Weyl semimetals. It is the primary tool for experimentally confirming theoretical band structure predictions.</w:t>
      </w:r>
    </w:p>
    <w:p>
      <w:pPr>
        <w:spacing w:before="100" w:after="40"/>
      </w:pPr>
      <w:r>
        <w:rPr>
          <w:rFonts w:ascii="Arial" w:cs="Arial" w:eastAsia="Arial" w:hAnsi="Arial"/>
          <w:b/>
          <w:bCs/>
          <w:color w:val="1B3A5C"/>
          <w:sz w:val="20"/>
          <w:szCs w:val="20"/>
        </w:rPr>
        <w:t xml:space="preserve">Q: Why is pump-probe called 'The Oscilloscope'?</w:t>
      </w:r>
    </w:p>
    <w:p>
      <w:pPr>
        <w:spacing w:after="100"/>
      </w:pPr>
      <w:r>
        <w:rPr>
          <w:rFonts w:ascii="Arial" w:cs="Arial" w:eastAsia="Arial" w:hAnsi="Arial"/>
          <w:color w:val="1A1A2E"/>
          <w:sz w:val="19"/>
          <w:szCs w:val="19"/>
        </w:rPr>
        <w:t xml:space="preserve">A: Pump-probe spectroscopy uses an ultrafast laser pulse (the pump) to excite the material into a non-equilibrium state, then a delayed probe pulse to measure the transient response. By varying the delay, researchers map how quantum states evolve in time — exactly as an oscilloscope traces a time-varying electrical signal.</w:t>
      </w:r>
    </w:p>
    <w:p>
      <w:r>
        <w:br w:type="page"/>
      </w:r>
    </w:p>
    <w:p>
      <w:pPr>
        <w:pStyle w:val="Heading1"/>
        <w:spacing w:before="360" w:after="120"/>
      </w:pPr>
      <w:r>
        <w:rPr>
          <w:rFonts w:ascii="Arial" w:cs="Arial" w:eastAsia="Arial" w:hAnsi="Arial"/>
          <w:b/>
          <w:bCs/>
          <w:color w:val="1B3A5C"/>
          <w:sz w:val="30"/>
          <w:szCs w:val="30"/>
        </w:rPr>
        <w:t xml:space="preserve">MODULE 4.0: The Application Layer</w:t>
      </w:r>
    </w:p>
    <w:p>
      <w:pPr>
        <w:pBdr>
          <w:left w:val="single" w:color="2E7D32" w:sz="14" w:space="4"/>
        </w:pBdr>
        <w:shd w:fill="E8F5E9" w:val="clear"/>
        <w:spacing w:after="120"/>
      </w:pPr>
      <w:r>
        <w:rPr>
          <w:rFonts w:ascii="Arial" w:cs="Arial" w:eastAsia="Arial" w:hAnsi="Arial"/>
          <w:b/>
          <w:bCs/>
          <w:color w:val="2E7D32"/>
          <w:sz w:val="18"/>
          <w:szCs w:val="18"/>
        </w:rPr>
        <w:t xml:space="preserve">  [GROUNDED]  </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Purpose</w:t>
      </w:r>
    </w:p>
    <w:p>
      <w:pPr>
        <w:spacing w:after="100"/>
      </w:pPr>
      <w:r>
        <w:rPr>
          <w:rFonts w:ascii="Arial" w:cs="Arial" w:eastAsia="Arial" w:hAnsi="Arial"/>
          <w:color w:val="1A1A2E"/>
          <w:sz w:val="20"/>
          <w:szCs w:val="20"/>
        </w:rPr>
        <w:t xml:space="preserve">Five early use cases for quantum materials in their static (non-driven) configurations. Note that 4.5 Quantum Transducers is the most strategically critical and least publicized — it is the routing bus that allows the other four applications to communicate.</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w:t>
      </w:r>
    </w:p>
    <w:p>
      <w:pPr>
        <w:pBdr>
          <w:left w:val="single" w:color="2A7F8A" w:sz="12" w:space="4"/>
        </w:pBdr>
        <w:shd w:fill="EAF2F5" w:val="clear"/>
        <w:spacing w:before="80" w:after="120"/>
      </w:pPr>
      <w:r>
        <w:rPr>
          <w:rFonts w:ascii="Arial" w:cs="Arial" w:eastAsia="Arial" w:hAnsi="Arial"/>
          <w:i/>
          <w:iCs/>
          <w:color w:val="2A7F8A"/>
          <w:sz w:val="18"/>
          <w:szCs w:val="18"/>
        </w:rPr>
        <w:t xml:space="preserve">Feed these directly to NotebookLM as sources alongside this document.</w:t>
      </w:r>
    </w:p>
    <w:p>
      <w:pPr>
        <w:pStyle w:val="ListParagraph"/>
        <w:numPr>
          <w:ilvl w:val="0"/>
          <w:numId w:val="2"/>
        </w:numPr>
        <w:spacing w:after="80"/>
      </w:pPr>
      <w:r>
        <w:rPr>
          <w:rFonts w:ascii="Arial" w:cs="Arial" w:eastAsia="Arial" w:hAnsi="Arial"/>
          <w:color w:val="1A1A2E"/>
          <w:sz w:val="20"/>
          <w:szCs w:val="20"/>
        </w:rPr>
        <w:t xml:space="preserve">Nayak, C. et al. (2008). Non-Abelian anyons and topological quantum computation. Reviews of Modern Physics. [Topological qubits]</w:t>
      </w:r>
    </w:p>
    <w:p>
      <w:pPr>
        <w:pStyle w:val="ListParagraph"/>
        <w:numPr>
          <w:ilvl w:val="0"/>
          <w:numId w:val="2"/>
        </w:numPr>
        <w:spacing w:after="80"/>
      </w:pPr>
      <w:r>
        <w:rPr>
          <w:rFonts w:ascii="Arial" w:cs="Arial" w:eastAsia="Arial" w:hAnsi="Arial"/>
          <w:color w:val="1A1A2E"/>
          <w:sz w:val="20"/>
          <w:szCs w:val="20"/>
        </w:rPr>
        <w:t xml:space="preserve">Miron, I.M. et al. (2011). Perpendicular switching of a single ferromagnetic layer by a current. Nature. [SOT-MRAM]</w:t>
      </w:r>
    </w:p>
    <w:p>
      <w:pPr>
        <w:pStyle w:val="ListParagraph"/>
        <w:numPr>
          <w:ilvl w:val="0"/>
          <w:numId w:val="2"/>
        </w:numPr>
        <w:spacing w:after="80"/>
      </w:pPr>
      <w:r>
        <w:rPr>
          <w:rFonts w:ascii="Arial" w:cs="Arial" w:eastAsia="Arial" w:hAnsi="Arial"/>
          <w:color w:val="1A1A2E"/>
          <w:sz w:val="20"/>
          <w:szCs w:val="20"/>
        </w:rPr>
        <w:t xml:space="preserve">Degen, C.L. et al. (2017). Quantum sensing. Reviews of Modern Physics. [NV centers]</w:t>
      </w:r>
    </w:p>
    <w:p>
      <w:pPr>
        <w:pStyle w:val="ListParagraph"/>
        <w:numPr>
          <w:ilvl w:val="0"/>
          <w:numId w:val="2"/>
        </w:numPr>
        <w:spacing w:after="80"/>
      </w:pPr>
      <w:r>
        <w:rPr>
          <w:rFonts w:ascii="Arial" w:cs="Arial" w:eastAsia="Arial" w:hAnsi="Arial"/>
          <w:color w:val="1A1A2E"/>
          <w:sz w:val="20"/>
          <w:szCs w:val="20"/>
        </w:rPr>
        <w:t xml:space="preserve">Bednorz &amp; Müller (1986) — superconducting energy applications.</w:t>
      </w:r>
    </w:p>
    <w:p>
      <w:pPr>
        <w:pStyle w:val="ListParagraph"/>
        <w:numPr>
          <w:ilvl w:val="0"/>
          <w:numId w:val="2"/>
        </w:numPr>
        <w:spacing w:after="80"/>
      </w:pPr>
      <w:r>
        <w:rPr>
          <w:rFonts w:ascii="Arial" w:cs="Arial" w:eastAsia="Arial" w:hAnsi="Arial"/>
          <w:color w:val="1A1A2E"/>
          <w:sz w:val="20"/>
          <w:szCs w:val="20"/>
        </w:rPr>
        <w:t xml:space="preserve">Lambert, N.J. et al. (2020). Coherent Conversion Between Microwave and Optical Photons. Physical Review Letters. [Quantum transducers]</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Deep Research Prompt</w:t>
      </w:r>
    </w:p>
    <w:p>
      <w:pPr>
        <w:pBdr>
          <w:left w:val="single" w:color="2A7F8A" w:sz="12" w:space="4"/>
        </w:pBdr>
        <w:shd w:fill="EAF2F5" w:val="clear"/>
        <w:spacing w:before="80" w:after="120"/>
      </w:pPr>
      <w:r>
        <w:rPr>
          <w:rFonts w:ascii="Arial" w:cs="Arial" w:eastAsia="Arial" w:hAnsi="Arial"/>
          <w:i/>
          <w:iCs/>
          <w:color w:val="2A7F8A"/>
          <w:sz w:val="18"/>
          <w:szCs w:val="18"/>
        </w:rPr>
        <w:t xml:space="preserve">Search peer-reviewed literature for each of the five quantum materials application areas: (1) topological qubits based on Majorana Zero Modes, (2) spin-orbit torque MRAM for low-power memory, (3) NV-center and quantum dot sensing, (4) superconducting cables for lossless power transmission, (5) quantum transducers for coherent state conversion between microwave and optical domains. For each, identify the current technology readiness level (TRL) and the primary remaining engineering challenge.</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NotebookLM Study Questions</w:t>
      </w:r>
    </w:p>
    <w:p>
      <w:pPr>
        <w:spacing w:before="100" w:after="40"/>
      </w:pPr>
      <w:r>
        <w:rPr>
          <w:rFonts w:ascii="Arial" w:cs="Arial" w:eastAsia="Arial" w:hAnsi="Arial"/>
          <w:b/>
          <w:bCs/>
          <w:color w:val="1B3A5C"/>
          <w:sz w:val="20"/>
          <w:szCs w:val="20"/>
        </w:rPr>
        <w:t xml:space="preserve">Q: What is a Quantum Transducer and why is it strategic?</w:t>
      </w:r>
    </w:p>
    <w:p>
      <w:pPr>
        <w:spacing w:after="100"/>
      </w:pPr>
      <w:r>
        <w:rPr>
          <w:rFonts w:ascii="Arial" w:cs="Arial" w:eastAsia="Arial" w:hAnsi="Arial"/>
          <w:color w:val="1A1A2E"/>
          <w:sz w:val="19"/>
          <w:szCs w:val="19"/>
        </w:rPr>
        <w:t xml:space="preserve">A: A quantum transducer coherently converts quantum states between different physical carriers — for example, between microwave photons (used by superconducting qubits) and optical photons (used for long-distance fiber communication). Without transducers, quantum computing nodes cannot communicate over distance. This makes 4.5 the routing bus of the entire quantum technology stack.</w:t>
      </w:r>
    </w:p>
    <w:p>
      <w:pPr>
        <w:spacing w:before="100" w:after="40"/>
      </w:pPr>
      <w:r>
        <w:rPr>
          <w:rFonts w:ascii="Arial" w:cs="Arial" w:eastAsia="Arial" w:hAnsi="Arial"/>
          <w:b/>
          <w:bCs/>
          <w:color w:val="1B3A5C"/>
          <w:sz w:val="20"/>
          <w:szCs w:val="20"/>
        </w:rPr>
        <w:t xml:space="preserve">Q: What is the current status of topological qubits?</w:t>
      </w:r>
    </w:p>
    <w:p>
      <w:pPr>
        <w:spacing w:after="100"/>
      </w:pPr>
      <w:r>
        <w:rPr>
          <w:rFonts w:ascii="Arial" w:cs="Arial" w:eastAsia="Arial" w:hAnsi="Arial"/>
          <w:color w:val="1A1A2E"/>
          <w:sz w:val="19"/>
          <w:szCs w:val="19"/>
        </w:rPr>
        <w:t xml:space="preserve">A: Microsoft's Majorana 1 chip (2025) represents the most advanced public demonstration. The field remains challenged by the verification crisis — distinguishing true MZMs from trivial Andreev Bound States. No fault-tolerant topological qubit has yet been demonstrated at scale.</w:t>
      </w:r>
    </w:p>
    <w:p>
      <w:pPr>
        <w:spacing w:before="100" w:after="40"/>
      </w:pPr>
      <w:r>
        <w:rPr>
          <w:rFonts w:ascii="Arial" w:cs="Arial" w:eastAsia="Arial" w:hAnsi="Arial"/>
          <w:b/>
          <w:bCs/>
          <w:color w:val="1B3A5C"/>
          <w:sz w:val="20"/>
          <w:szCs w:val="20"/>
        </w:rPr>
        <w:t xml:space="preserve">Q: Why do NV centers work at room temperature?</w:t>
      </w:r>
    </w:p>
    <w:p>
      <w:pPr>
        <w:spacing w:after="100"/>
      </w:pPr>
      <w:r>
        <w:rPr>
          <w:rFonts w:ascii="Arial" w:cs="Arial" w:eastAsia="Arial" w:hAnsi="Arial"/>
          <w:color w:val="1A1A2E"/>
          <w:sz w:val="19"/>
          <w:szCs w:val="19"/>
        </w:rPr>
        <w:t xml:space="preserve">A: Nitrogen-Vacancy centers in diamond have an electronic spin state that can be initialized and read out optically, with coherence times reaching milliseconds at room temperature. This makes them unique among quantum systems — most require cryogenic operation. Their biocompatibility also makes them candidates for in-cell biological sensing.</w:t>
      </w:r>
    </w:p>
    <w:p>
      <w:r>
        <w:br w:type="page"/>
      </w:r>
    </w:p>
    <w:p>
      <w:pPr>
        <w:pStyle w:val="Heading1"/>
        <w:spacing w:before="360" w:after="120"/>
      </w:pPr>
      <w:r>
        <w:rPr>
          <w:rFonts w:ascii="Arial" w:cs="Arial" w:eastAsia="Arial" w:hAnsi="Arial"/>
          <w:b/>
          <w:bCs/>
          <w:color w:val="1B3A5C"/>
          <w:sz w:val="30"/>
          <w:szCs w:val="30"/>
        </w:rPr>
        <w:t xml:space="preserve">MODULE 5.0: The Strategic Horizon</w:t>
      </w:r>
    </w:p>
    <w:p>
      <w:pPr>
        <w:pBdr>
          <w:left w:val="single" w:color="E65100" w:sz="14" w:space="4"/>
        </w:pBdr>
        <w:shd w:fill="FFF3E0" w:val="clear"/>
        <w:spacing w:after="120"/>
      </w:pPr>
      <w:r>
        <w:rPr>
          <w:rFonts w:ascii="Arial" w:cs="Arial" w:eastAsia="Arial" w:hAnsi="Arial"/>
          <w:b/>
          <w:bCs/>
          <w:color w:val="E65100"/>
          <w:sz w:val="18"/>
          <w:szCs w:val="18"/>
        </w:rPr>
        <w:t xml:space="preserve">  [BRIDGE]  </w:t>
      </w:r>
    </w:p>
    <w:p>
      <w:pPr>
        <w:pBdr>
          <w:bottom w:val="single" w:color="2A7F8A" w:sz="4" w:space="1"/>
        </w:pBdr>
        <w:spacing w:after="1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Purpose</w:t>
      </w:r>
    </w:p>
    <w:p>
      <w:pPr>
        <w:spacing w:after="100"/>
      </w:pPr>
      <w:r>
        <w:rPr>
          <w:rFonts w:ascii="Arial" w:cs="Arial" w:eastAsia="Arial" w:hAnsi="Arial"/>
          <w:color w:val="1A1A2E"/>
          <w:sz w:val="20"/>
          <w:szCs w:val="20"/>
        </w:rPr>
        <w:t xml:space="preserve">The active transition from static to animate quantum materials. This layer contains the most forward-looking and speculative content — but is anchored in real research directions. Section 5.4 (Floquet Engineering) is the most grounded. Section 5.3 (quantum computers designing quantum materials) is the most strategically significant.</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Anchor Publications</w:t>
      </w:r>
    </w:p>
    <w:p>
      <w:pPr>
        <w:pBdr>
          <w:left w:val="single" w:color="2A7F8A" w:sz="12" w:space="4"/>
        </w:pBdr>
        <w:shd w:fill="EAF2F5" w:val="clear"/>
        <w:spacing w:before="80" w:after="120"/>
      </w:pPr>
      <w:r>
        <w:rPr>
          <w:rFonts w:ascii="Arial" w:cs="Arial" w:eastAsia="Arial" w:hAnsi="Arial"/>
          <w:i/>
          <w:iCs/>
          <w:color w:val="2A7F8A"/>
          <w:sz w:val="18"/>
          <w:szCs w:val="18"/>
        </w:rPr>
        <w:t xml:space="preserve">Feed these directly to NotebookLM as sources alongside this document.</w:t>
      </w:r>
    </w:p>
    <w:p>
      <w:pPr>
        <w:pStyle w:val="ListParagraph"/>
        <w:numPr>
          <w:ilvl w:val="0"/>
          <w:numId w:val="2"/>
        </w:numPr>
        <w:spacing w:after="80"/>
      </w:pPr>
      <w:r>
        <w:rPr>
          <w:rFonts w:ascii="Arial" w:cs="Arial" w:eastAsia="Arial" w:hAnsi="Arial"/>
          <w:color w:val="1A1A2E"/>
          <w:sz w:val="20"/>
          <w:szCs w:val="20"/>
        </w:rPr>
        <w:t xml:space="preserve">Oka, T. &amp; Aoki, H. (2009). Photovoltaic Hall effect in graphene. Physical Review B. [First Floquet TI proposal]</w:t>
      </w:r>
    </w:p>
    <w:p>
      <w:pPr>
        <w:pStyle w:val="ListParagraph"/>
        <w:numPr>
          <w:ilvl w:val="0"/>
          <w:numId w:val="2"/>
        </w:numPr>
        <w:spacing w:after="80"/>
      </w:pPr>
      <w:r>
        <w:rPr>
          <w:rFonts w:ascii="Arial" w:cs="Arial" w:eastAsia="Arial" w:hAnsi="Arial"/>
          <w:color w:val="1A1A2E"/>
          <w:sz w:val="20"/>
          <w:szCs w:val="20"/>
        </w:rPr>
        <w:t xml:space="preserve">Rudner, M.S. &amp; Lindner, N.H. (2020). Band structure engineering and non-equilibrium dynamics in Floquet topological insulators. Nature Reviews Physics.</w:t>
      </w:r>
    </w:p>
    <w:p>
      <w:pPr>
        <w:pStyle w:val="ListParagraph"/>
        <w:numPr>
          <w:ilvl w:val="0"/>
          <w:numId w:val="2"/>
        </w:numPr>
        <w:spacing w:after="80"/>
      </w:pPr>
      <w:r>
        <w:rPr>
          <w:rFonts w:ascii="Arial" w:cs="Arial" w:eastAsia="Arial" w:hAnsi="Arial"/>
          <w:color w:val="1A1A2E"/>
          <w:sz w:val="20"/>
          <w:szCs w:val="20"/>
        </w:rPr>
        <w:t xml:space="preserve">Schmidt, J. et al. (2019). Recent advances and applications of machine learning in solid-state materials science. npj Computational Materials.</w:t>
      </w:r>
    </w:p>
    <w:p>
      <w:pPr>
        <w:pStyle w:val="ListParagraph"/>
        <w:numPr>
          <w:ilvl w:val="0"/>
          <w:numId w:val="2"/>
        </w:numPr>
        <w:spacing w:after="80"/>
      </w:pPr>
      <w:r>
        <w:rPr>
          <w:rFonts w:ascii="Arial" w:cs="Arial" w:eastAsia="Arial" w:hAnsi="Arial"/>
          <w:color w:val="1A1A2E"/>
          <w:sz w:val="20"/>
          <w:szCs w:val="20"/>
        </w:rPr>
        <w:t xml:space="preserve">Merchant, A. et al. (2023). Scaling deep learning for materials discovery. Nature. [GNoME]</w:t>
      </w:r>
    </w:p>
    <w:p>
      <w:pPr>
        <w:pStyle w:val="ListParagraph"/>
        <w:numPr>
          <w:ilvl w:val="0"/>
          <w:numId w:val="2"/>
        </w:numPr>
        <w:spacing w:after="80"/>
      </w:pPr>
      <w:r>
        <w:rPr>
          <w:rFonts w:ascii="Arial" w:cs="Arial" w:eastAsia="Arial" w:hAnsi="Arial"/>
          <w:color w:val="1A1A2E"/>
          <w:sz w:val="20"/>
          <w:szCs w:val="20"/>
        </w:rPr>
        <w:t xml:space="preserve">Babbush, R. et al. (2018). Encoding Electronic Spectra in Quantum Circuits with Linear T Complexity. Physical Review X. [Quantum simulation]</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Gemini Deep Research Prompt</w:t>
      </w:r>
    </w:p>
    <w:p>
      <w:pPr>
        <w:pBdr>
          <w:left w:val="single" w:color="2A7F8A" w:sz="12" w:space="4"/>
        </w:pBdr>
        <w:shd w:fill="EAF2F5" w:val="clear"/>
        <w:spacing w:before="80" w:after="120"/>
      </w:pPr>
      <w:r>
        <w:rPr>
          <w:rFonts w:ascii="Arial" w:cs="Arial" w:eastAsia="Arial" w:hAnsi="Arial"/>
          <w:i/>
          <w:iCs/>
          <w:color w:val="2A7F8A"/>
          <w:sz w:val="18"/>
          <w:szCs w:val="18"/>
        </w:rPr>
        <w:t xml:space="preserve">Search for peer-reviewed literature on the four strategic frontier areas in quantum materials: (1) lab-to-fab scaling challenges for atomically precise materials, (2) AI and machine learning for materials prediction and pre-validation, (3) quantum simulation — using quantum computers to design quantum materials, (4) Floquet engineering and time-periodic driving to create non-equilibrium topological phases. For each, identify the most recent milestone and the primary remaining gap. Flag any claims that are not yet experimentally confirmed.</w:t>
      </w:r>
    </w:p>
    <w:p>
      <w:pPr>
        <w:spacing w:after="60"/>
      </w:pPr>
      <w:r>
        <w:rPr>
          <w:rFonts w:ascii="Arial" w:cs="Arial" w:eastAsia="Arial" w:hAnsi="Arial"/>
        </w:rPr>
        <w:t xml:space="preserve"/>
      </w:r>
    </w:p>
    <w:p>
      <w:pPr>
        <w:pStyle w:val="Heading2"/>
        <w:spacing w:before="240" w:after="80"/>
      </w:pPr>
      <w:r>
        <w:rPr>
          <w:rFonts w:ascii="Arial" w:cs="Arial" w:eastAsia="Arial" w:hAnsi="Arial"/>
          <w:b/>
          <w:bCs/>
          <w:color w:val="2A7F8A"/>
          <w:sz w:val="24"/>
          <w:szCs w:val="24"/>
        </w:rPr>
        <w:t xml:space="preserve">NotebookLM Study Questions</w:t>
      </w:r>
    </w:p>
    <w:p>
      <w:pPr>
        <w:spacing w:before="100" w:after="40"/>
      </w:pPr>
      <w:r>
        <w:rPr>
          <w:rFonts w:ascii="Arial" w:cs="Arial" w:eastAsia="Arial" w:hAnsi="Arial"/>
          <w:b/>
          <w:bCs/>
          <w:color w:val="1B3A5C"/>
          <w:sz w:val="20"/>
          <w:szCs w:val="20"/>
        </w:rPr>
        <w:t xml:space="preserve">Q: What is the Scalability Gap (5.1)?</w:t>
      </w:r>
    </w:p>
    <w:p>
      <w:pPr>
        <w:spacing w:after="100"/>
      </w:pPr>
      <w:r>
        <w:rPr>
          <w:rFonts w:ascii="Arial" w:cs="Arial" w:eastAsia="Arial" w:hAnsi="Arial"/>
          <w:color w:val="1A1A2E"/>
          <w:sz w:val="19"/>
          <w:szCs w:val="19"/>
        </w:rPr>
        <w:t xml:space="preserve">A: The gap between atomic-precision lab synthesis (MBE producing small samples) and industrial-scale fabrication (wafer-scale production maintaining quantum coherence and interface quality). This is the primary engineering bottleneck between quantum materials research and quantum technology deployment.</w:t>
      </w:r>
    </w:p>
    <w:p>
      <w:pPr>
        <w:spacing w:before="100" w:after="40"/>
      </w:pPr>
      <w:r>
        <w:rPr>
          <w:rFonts w:ascii="Arial" w:cs="Arial" w:eastAsia="Arial" w:hAnsi="Arial"/>
          <w:b/>
          <w:bCs/>
          <w:color w:val="1B3A5C"/>
          <w:sz w:val="20"/>
          <w:szCs w:val="20"/>
        </w:rPr>
        <w:t xml:space="preserve">Q: What has AI actually achieved in materials discovery (5.2)?</w:t>
      </w:r>
    </w:p>
    <w:p>
      <w:pPr>
        <w:spacing w:after="100"/>
      </w:pPr>
      <w:r>
        <w:rPr>
          <w:rFonts w:ascii="Arial" w:cs="Arial" w:eastAsia="Arial" w:hAnsi="Arial"/>
          <w:color w:val="1A1A2E"/>
          <w:sz w:val="19"/>
          <w:szCs w:val="19"/>
        </w:rPr>
        <w:t xml:space="preserve">A: Google DeepMind's GNoME (2023) predicted 2.2 million stable crystal structures, of which 700 have been experimentally confirmed. This represents a step-change in the prediction-to-synthesis pipeline. The next frontier is applying similar methods specifically to topological and superconducting materials.</w:t>
      </w:r>
    </w:p>
    <w:p>
      <w:pPr>
        <w:spacing w:before="100" w:after="40"/>
      </w:pPr>
      <w:r>
        <w:rPr>
          <w:rFonts w:ascii="Arial" w:cs="Arial" w:eastAsia="Arial" w:hAnsi="Arial"/>
          <w:b/>
          <w:bCs/>
          <w:color w:val="1B3A5C"/>
          <w:sz w:val="20"/>
          <w:szCs w:val="20"/>
        </w:rPr>
        <w:t xml:space="preserve">Q: What does the Floquet R ψ R̃ notation mean (5.4)?</w:t>
      </w:r>
    </w:p>
    <w:p>
      <w:pPr>
        <w:spacing w:after="100"/>
      </w:pPr>
      <w:r>
        <w:rPr>
          <w:rFonts w:ascii="Arial" w:cs="Arial" w:eastAsia="Arial" w:hAnsi="Arial"/>
          <w:color w:val="1A1A2E"/>
          <w:sz w:val="19"/>
          <w:szCs w:val="19"/>
        </w:rPr>
        <w:t xml:space="preserve">A: This is the Geometric Algebra sandwich product applied to dynamic driving. A rotor R (representing the periodic electromagnetic field) acts on the quantum state ψ, transforming its topological character. The notation captures the insight that Floquet engineering is geometrically equivalent to applying an external rotor to reshape the internal geometry of the material's Hamiltonian on demand. This is a [BRIDGE] framing — the physics is real, the GA notation is original.</w:t>
      </w:r>
    </w:p>
    <w:p>
      <w:r>
        <w:br w:type="page"/>
      </w:r>
    </w:p>
    <w:p>
      <w:pPr>
        <w:pStyle w:val="Heading1"/>
        <w:spacing w:before="360" w:after="120"/>
      </w:pPr>
      <w:r>
        <w:rPr>
          <w:rFonts w:ascii="Arial" w:cs="Arial" w:eastAsia="Arial" w:hAnsi="Arial"/>
          <w:b/>
          <w:bCs/>
          <w:color w:val="1B3A5C"/>
          <w:sz w:val="30"/>
          <w:szCs w:val="30"/>
        </w:rPr>
        <w:t xml:space="preserve">GLOSSARY OF TERMS</w:t>
      </w:r>
    </w:p>
    <w:p>
      <w:pPr>
        <w:pBdr>
          <w:bottom w:val="single" w:color="2A7F8A" w:sz="4" w:space="1"/>
        </w:pBdr>
        <w:spacing w:after="160"/>
      </w:pPr>
      <w:r>
        <w:rPr>
          <w:rFonts w:ascii="Arial" w:cs="Arial" w:eastAsia="Arial" w:hAnsi="Arial"/>
        </w:rPr>
        <w:t xml:space="preserve"/>
      </w:r>
    </w:p>
    <w:p>
      <w:pPr>
        <w:pBdr>
          <w:left w:val="single" w:color="2A7F8A" w:sz="12" w:space="4"/>
        </w:pBdr>
        <w:shd w:fill="EAF2F5" w:val="clear"/>
        <w:spacing w:before="80" w:after="120"/>
      </w:pPr>
      <w:r>
        <w:rPr>
          <w:rFonts w:ascii="Arial" w:cs="Arial" w:eastAsia="Arial" w:hAnsi="Arial"/>
          <w:i/>
          <w:iCs/>
          <w:color w:val="2A7F8A"/>
          <w:sz w:val="18"/>
          <w:szCs w:val="18"/>
        </w:rPr>
        <w:t xml:space="preserve">All terms tagged with grounding status. Use this as your NotebookLM reference vocabulary.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Term</w:t>
            </w:r>
          </w:p>
        </w:tc>
        <w:tc>
          <w:tcPr>
            <w:tcW w:type="dxa" w:w="57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Definition</w:t>
            </w:r>
          </w:p>
        </w:tc>
        <w:tc>
          <w:tcPr>
            <w:tcW w:type="dxa" w:w="1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ARPES</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Angle-Resolved Photoemission Spectroscopy. Directly images electronic band structure by measuring energy and momentum of photoemitted electrons. The primary tool for confirming topological surface states experimentally.</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Bivector</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 Geometric Algebra, a grade-2 multivector representing an oriented plane element. Encodes rotational relationships and is used in this framework to represent the Hamiltonian's geometric structure.</w:t>
            </w:r>
          </w:p>
        </w:tc>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Bulk-Boundary Correspondence</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theorem that a non-trivial bulk topological invariant requires protected gapless states at the material's surface or edges. The foundation of topological insulator physics.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Cooper Pairs</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Bound pairs of electrons in a superconductor, mediated by phonon exchange. Their condensation into a macroscopic quantum state produces zero electrical resistance.</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CVD</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Chemical Vapor Deposition. Scalable synthesis of 2D materials (graphene, TMDs) via gas-phase chemical reactions. Lower atomic precision than MBE but higher throughput.</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Floquet Engineering</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Application of time-periodic electromagnetic drives to dynamically modify a material's effective Hamiltonian, potentially inducing topological phases absent at equilibrium.</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Fractionalization</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process by which an electron's quantum numbers (charge, spin) split into independently propagating quasiparticles (chargon, spinon). Hallmark of strongly correlated 1D systems and quantum spin liquids.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Geometric Algebra (GA)</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mathematical framework extending linear algebra via Clifford algebras. Provides coordinate-free representation of rotations and geometric relationships. Used in this framework to formalize the Hamiltonian as a bivector field.</w:t>
            </w:r>
          </w:p>
        </w:tc>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 — GA is grounded; its application to Hamiltonians is original framing]</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IsGappedAt</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Lean 4 predicate encoding the condition that the Hamiltonian bivector has nonzero magnitude at a given k-point. When false, topological invariant computation becomes a type error — the singularity is the absence of a proof term.</w:t>
            </w:r>
          </w:p>
        </w:tc>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MBE</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Molecular Beam Epitaxy. Atomic-precision thin-film growth under ultra-high vacuum. Produces the cleanest interfaces for quantum devices. Analogized as 'The Compiler' in this framework.</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Metal-Insulator Transition (MIT)</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quantum phase transition between metallic and insulating states driven by electron correlation (Mott), disorder (Anderson), or external parameters. The basis for correlated electron switching devices.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Moiré Superlattice</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periodic interference pattern formed by stacking two 2D materials with a small twist angle or lattice mismatch. Creates tunable flat bands and correlated phases. Magic-angle graphene (1.1°) is the canonical example.</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MZM</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Majorana Zero Mode. A quasiparticle that is its own antiparticle, predicted at the boundaries of topological superconductors. Obeys non-Abelian statistics. The target of topological qubit platforms.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 theoretically; verification remains open]</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NV Center</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Nitrogen-Vacancy center in diamond. A point defect whose electronic spin can be optically initialized and read out at room temperature. The leading platform for quantum sensing applications.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Pump-Probe Spectroscopy</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Ultrafast laser technique using a pump pulse to excite and a delayed probe pulse to measure transient material responses. Maps quantum state evolution in time. Analogized as 'The Oscilloscope.'</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QSL</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Spin Liquid. A magnetic ground state where spins remain entangled and disordered to absolute zero, hosting fractionalized excitations. Candidate platform for topological quantum memory.</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 theoretically; no unambiguous experimental confirmation yet]</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Rotor</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 Geometric Algebra, a unit even-grade multivector encoding a rotation: R = e^{-θB̂/2}. Used in this framework to represent gauge transformations and Floquet driving operations via the sandwich product R ψ R̃.</w:t>
            </w:r>
          </w:p>
        </w:tc>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SOT-MRAM</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Spin-Orbit Torque Magnetic Random Access Memory. Uses spin currents generated by SOC to switch magnetic states. Faster and more energy-efficient than conventional MRAM.</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STM</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Scanning Tunneling Microscope. Images surfaces with sub-atomic resolution using quantum tunneling current. Can map local density of states and visualize individual quantum states. Analogized as 'The Microscope.'</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Ten-Fold Way</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complete classification of non-interacting topological phases by dimensionality and three symmetry classes (time-reversal, particle-hole, chiral). The periodic table of topological insulators and superconductors.</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Topological Invariant</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 quantized integer characterizing the global topology of a quantum wavefunction. Robust against local perturbations. Cannot change without closing the energy gap. Examples: Chern number, Z2 index, winding number.</w:t>
            </w:r>
          </w:p>
        </w:tc>
        <w:tc>
          <w:tcPr>
            <w:tcW w:type="dxa" w:w="1600"/>
            <w:tcBorders>
              <w:top w:val="single" w:color="D0DCE4" w:sz="1"/>
              <w:left w:val="single" w:color="D0DCE4" w:sz="1"/>
              <w:bottom w:val="single" w:color="D0DCE4" w:sz="1"/>
              <w:right w:val="single" w:color="D0DCE4" w:sz="1"/>
            </w:tcBorders>
            <w:shd w:fill="E8F5E9" w:val="clear"/>
            <w:tcMar>
              <w:top w:type="dxa" w:w="80"/>
              <w:left w:type="dxa" w:w="120"/>
              <w:bottom w:type="dxa" w:w="80"/>
              <w:right w:type="dxa" w:w="120"/>
            </w:tcMar>
          </w:tcPr>
          <w:p>
            <w:pPr>
              <w:jc w:val="center"/>
            </w:pPr>
            <w:r>
              <w:rPr>
                <w:rFonts w:ascii="Arial" w:cs="Arial" w:eastAsia="Arial" w:hAnsi="Arial"/>
                <w:b/>
                <w:bCs/>
                <w:i w:val="false"/>
                <w:iCs w:val="false"/>
                <w:color w:val="2E7D32"/>
                <w:sz w:val="18"/>
                <w:szCs w:val="18"/>
              </w:rPr>
              <w:t xml:space="preserve">[GROUNDED]</w:t>
            </w:r>
          </w:p>
        </w:tc>
      </w:tr>
      <w:tr>
        <w:tc>
          <w:tcPr>
            <w:tcW w:type="dxa" w:w="20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5C"/>
                <w:sz w:val="18"/>
                <w:szCs w:val="18"/>
              </w:rPr>
              <w:t xml:space="preserve">Winding Number</w:t>
            </w:r>
          </w:p>
        </w:tc>
        <w:tc>
          <w:tcPr>
            <w:tcW w:type="dxa" w:w="57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An integer counting how many times the Hamiltonian's Bloch vector wraps around the Brillouin zone. The 1D topological invariant. In this framework, encoded as bivector winding in GA.</w:t>
            </w:r>
          </w:p>
        </w:tc>
        <w:tc>
          <w:tcPr>
            <w:tcW w:type="dxa" w:w="1600"/>
            <w:tcBorders>
              <w:top w:val="single" w:color="D0DCE4" w:sz="1"/>
              <w:left w:val="single" w:color="D0DCE4" w:sz="1"/>
              <w:bottom w:val="single" w:color="D0DCE4" w:sz="1"/>
              <w:right w:val="single" w:color="D0DCE4" w:sz="1"/>
            </w:tcBorders>
            <w:shd w:fill="FFF3E0" w:val="clear"/>
            <w:tcMar>
              <w:top w:type="dxa" w:w="80"/>
              <w:left w:type="dxa" w:w="120"/>
              <w:bottom w:type="dxa" w:w="80"/>
              <w:right w:type="dxa" w:w="120"/>
            </w:tcMar>
          </w:tcPr>
          <w:p>
            <w:pPr>
              <w:jc w:val="center"/>
            </w:pPr>
            <w:r>
              <w:rPr>
                <w:rFonts w:ascii="Arial" w:cs="Arial" w:eastAsia="Arial" w:hAnsi="Arial"/>
                <w:b/>
                <w:bCs/>
                <w:i w:val="false"/>
                <w:iCs w:val="false"/>
                <w:color w:val="E65100"/>
                <w:sz w:val="18"/>
                <w:szCs w:val="18"/>
              </w:rPr>
              <w:t xml:space="preserve">[BRIDGE]</w:t>
            </w:r>
          </w:p>
        </w:tc>
      </w:tr>
    </w:tbl>
    <w:p>
      <w:r>
        <w:br w:type="page"/>
      </w:r>
    </w:p>
    <w:p>
      <w:pPr>
        <w:pStyle w:val="Heading1"/>
        <w:spacing w:before="360" w:after="120"/>
      </w:pPr>
      <w:r>
        <w:rPr>
          <w:rFonts w:ascii="Arial" w:cs="Arial" w:eastAsia="Arial" w:hAnsi="Arial"/>
          <w:b/>
          <w:bCs/>
          <w:color w:val="1B3A5C"/>
          <w:sz w:val="30"/>
          <w:szCs w:val="30"/>
        </w:rPr>
        <w:t xml:space="preserve">MASTER FAQ</w:t>
      </w:r>
    </w:p>
    <w:p>
      <w:pPr>
        <w:pBdr>
          <w:bottom w:val="single" w:color="2A7F8A" w:sz="4" w:space="1"/>
        </w:pBdr>
        <w:spacing w:after="160"/>
      </w:pPr>
      <w:r>
        <w:rPr>
          <w:rFonts w:ascii="Arial" w:cs="Arial" w:eastAsia="Arial" w:hAnsi="Arial"/>
        </w:rPr>
        <w:t xml:space="preserve"/>
      </w:r>
    </w:p>
    <w:p>
      <w:pPr>
        <w:pBdr>
          <w:left w:val="single" w:color="2A7F8A" w:sz="12" w:space="4"/>
        </w:pBdr>
        <w:shd w:fill="EAF2F5" w:val="clear"/>
        <w:spacing w:before="80" w:after="120"/>
      </w:pPr>
      <w:r>
        <w:rPr>
          <w:rFonts w:ascii="Arial" w:cs="Arial" w:eastAsia="Arial" w:hAnsi="Arial"/>
          <w:i/>
          <w:iCs/>
          <w:color w:val="2A7F8A"/>
          <w:sz w:val="18"/>
          <w:szCs w:val="18"/>
        </w:rPr>
        <w:t xml:space="preserve">Frequently asked questions about using this research architecture with NotebookLM and Gemini Pro.</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Q1: How is this sitemap different from the previous research architecture document?</w:t>
            </w:r>
          </w:p>
          <w:p>
            <w:r>
              <w:rPr>
                <w:rFonts w:ascii="Arial" w:cs="Arial" w:eastAsia="Arial" w:hAnsi="Arial"/>
                <w:color w:val="1A1A2E"/>
                <w:sz w:val="19"/>
                <w:szCs w:val="19"/>
              </w:rPr>
              <w:t xml:space="preserve">A: The previous document was a broad quantum materials overview (10 modules covering everything from particle physics to astrobiology). This sitemap is focused — five tightly coupled layers specifically organized around the static-to-animate transition in quantum materials engineering. Use this document for depth; use the previous for breadth.</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Q2: What is the most grounded entry point for a non-physicist?</w:t>
            </w:r>
          </w:p>
          <w:p>
            <w:r>
              <w:rPr>
                <w:rFonts w:ascii="Arial" w:cs="Arial" w:eastAsia="Arial" w:hAnsi="Arial"/>
                <w:color w:val="1A1A2E"/>
                <w:sz w:val="19"/>
                <w:szCs w:val="19"/>
              </w:rPr>
              <w:t xml:space="preserve">A: Start with Module 3.0 (Fabrication Pipeline). The Write/Read/Observe framework maps directly onto engineering workflows. The analogies (Compiler, Debugger, Oscilloscope) are precise and the literature anchors are Nobel Prize-winning work. From there, Module 2.0 provides the ingredient library.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Q3: Which module connects most directly to the MajoranaSystem work?</w:t>
            </w:r>
          </w:p>
          <w:p>
            <w:r>
              <w:rPr>
                <w:rFonts w:ascii="Arial" w:cs="Arial" w:eastAsia="Arial" w:hAnsi="Arial"/>
                <w:color w:val="1A1A2E"/>
                <w:sz w:val="19"/>
                <w:szCs w:val="19"/>
              </w:rPr>
              <w:t xml:space="preserve">A: Modules 2.2 (Topological Materials) and 4.1 (Computing / MZMs) are the direct connections. The Lean 4 code uploaded alongside this document formalizes the gap condition that makes topological invariants computable — directly relevant to the verification crisis described in those modules.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Q4: What does R ψ R̃ mean in plain language?</w:t>
            </w:r>
          </w:p>
          <w:p>
            <w:r>
              <w:rPr>
                <w:rFonts w:ascii="Arial" w:cs="Arial" w:eastAsia="Arial" w:hAnsi="Arial"/>
                <w:color w:val="1A1A2E"/>
                <w:sz w:val="19"/>
                <w:szCs w:val="19"/>
              </w:rPr>
              <w:t xml:space="preserve">A: It is the Geometric Algebra sandwich product applied to Floquet engineering. R is a rotor (a rotation operator) representing the periodic electromagnetic drive. ψ is the quantum state of the material. R̃ is the reverse of R. The sandwich product R ψ R̃ rotates the quantum state — geometrically reshaping its topological character. It is the mathematical statement that Floquet driving is literally a rotation of the material's internal geometry.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Q5: Which layer is most immediately relevant for career positioning?</w:t>
            </w:r>
          </w:p>
          <w:p>
            <w:r>
              <w:rPr>
                <w:rFonts w:ascii="Arial" w:cs="Arial" w:eastAsia="Arial" w:hAnsi="Arial"/>
                <w:color w:val="1A1A2E"/>
                <w:sz w:val="19"/>
                <w:szCs w:val="19"/>
              </w:rPr>
              <w:t xml:space="preserve">A: Layer 5.0 (Strategic Horizon) combined with Module 3.0 (Fabrication Pipeline). The scalability gap (5.1) and AI prediction layer (5.2) are where design, visualization, and systems communication skills have immediate value. Teams working on lab-to-fab transitions need people who can communicate between physicists and engineers — exactly the translation role your background enables.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Q6: How should I sequence the anchor papers when uploading to NotebookLM?</w:t>
            </w:r>
          </w:p>
          <w:p>
            <w:r>
              <w:rPr>
                <w:rFonts w:ascii="Arial" w:cs="Arial" w:eastAsia="Arial" w:hAnsi="Arial"/>
                <w:color w:val="1A1A2E"/>
                <w:sz w:val="19"/>
                <w:szCs w:val="19"/>
              </w:rPr>
              <w:t xml:space="preserve">A: Upload in layer order: first the Layer 1 theory papers (Anderson, Keimer/Moore), then Layer 2 taxonomy papers, then Layer 3 fabrication papers. This builds NotebookLM's context from foundations upward. Then upload this document as the organizing framework that connects them.</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A" w:sz="1"/>
              <w:left w:val="single" w:color="2A7F8A" w:sz="1"/>
              <w:bottom w:val="single" w:color="2A7F8A" w:sz="1"/>
              <w:right w:val="single" w:color="2A7F8A" w:sz="1"/>
            </w:tcBorders>
            <w:shd w:fill="EAF2F5" w:val="clear"/>
            <w:tcMar>
              <w:top w:type="dxa" w:w="100"/>
              <w:left w:type="dxa" w:w="160"/>
              <w:bottom w:type="dxa" w:w="100"/>
              <w:right w:type="dxa" w:w="160"/>
            </w:tcMar>
          </w:tcPr>
          <w:p>
            <w:r>
              <w:rPr>
                <w:rFonts w:ascii="Arial" w:cs="Arial" w:eastAsia="Arial" w:hAnsi="Arial"/>
                <w:b/>
                <w:bCs/>
                <w:color w:val="1B3A5C"/>
                <w:sz w:val="20"/>
                <w:szCs w:val="20"/>
              </w:rPr>
              <w:t xml:space="preserve">Q7: What is the most speculative claim in this entire framework?</w:t>
            </w:r>
          </w:p>
          <w:p>
            <w:r>
              <w:rPr>
                <w:rFonts w:ascii="Arial" w:cs="Arial" w:eastAsia="Arial" w:hAnsi="Arial"/>
                <w:color w:val="1A1A2E"/>
                <w:sz w:val="19"/>
                <w:szCs w:val="19"/>
              </w:rPr>
              <w:t xml:space="preserve">A: The GA bivector framing of entanglement (Module 1.2) and the R ψ R̃ notation for Floquet driving (Module 5.4). Both are original reframings — the underlying physics is real, but the specific geometric algebra representation is the author's synthesis. These are clearly tagged [BRIDGE] and require domain expert review before formal citation.</w:t>
            </w:r>
          </w:p>
        </w:tc>
      </w:tr>
    </w:tbl>
    <w:p>
      <w:pPr>
        <w:spacing w:after="80"/>
      </w:pPr>
      <w:r>
        <w:rPr>
          <w:rFonts w:ascii="Arial" w:cs="Arial" w:eastAsia="Arial" w:hAnsi="Arial"/>
        </w:rPr>
        <w:t xml:space="preserve"/>
      </w:r>
    </w:p>
    <w:p>
      <w:r>
        <w:br w:type="page"/>
      </w:r>
    </w:p>
    <w:p>
      <w:pPr>
        <w:pStyle w:val="Heading1"/>
        <w:spacing w:before="360" w:after="120"/>
      </w:pPr>
      <w:r>
        <w:rPr>
          <w:rFonts w:ascii="Arial" w:cs="Arial" w:eastAsia="Arial" w:hAnsi="Arial"/>
          <w:b/>
          <w:bCs/>
          <w:color w:val="1B3A5C"/>
          <w:sz w:val="30"/>
          <w:szCs w:val="30"/>
        </w:rPr>
        <w:t xml:space="preserve">LITERATURE INDEX</w:t>
      </w:r>
    </w:p>
    <w:p>
      <w:pPr>
        <w:pBdr>
          <w:bottom w:val="single" w:color="2A7F8A" w:sz="4" w:space="1"/>
        </w:pBdr>
        <w:spacing w:after="160"/>
      </w:pPr>
      <w:r>
        <w:rPr>
          <w:rFonts w:ascii="Arial" w:cs="Arial" w:eastAsia="Arial" w:hAnsi="Arial"/>
        </w:rPr>
        <w:t xml:space="preserve"/>
      </w:r>
    </w:p>
    <w:p>
      <w:pPr>
        <w:pBdr>
          <w:left w:val="single" w:color="2A7F8A" w:sz="12" w:space="4"/>
        </w:pBdr>
        <w:shd w:fill="EAF2F5" w:val="clear"/>
        <w:spacing w:before="80" w:after="120"/>
      </w:pPr>
      <w:r>
        <w:rPr>
          <w:rFonts w:ascii="Arial" w:cs="Arial" w:eastAsia="Arial" w:hAnsi="Arial"/>
          <w:i/>
          <w:iCs/>
          <w:color w:val="2A7F8A"/>
          <w:sz w:val="18"/>
          <w:szCs w:val="18"/>
        </w:rPr>
        <w:t xml:space="preserve">All entries peer-reviewed or Nobel Prize-winning work. Upload these to NotebookLM alongside this document for maximum research depth. Search Google Scholar or arXiv for full text.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3200"/>
        <w:gridCol w:w="1400"/>
        <w:gridCol w:w="1360"/>
        <w:gridCol w:w="1200"/>
      </w:tblGrid>
      <w:tr>
        <w:tc>
          <w:tcPr>
            <w:tcW w:type="dxa" w:w="1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Authors</w:t>
            </w:r>
          </w:p>
        </w:tc>
        <w:tc>
          <w:tcPr>
            <w:tcW w:type="dxa" w:w="6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Year</w:t>
            </w:r>
          </w:p>
        </w:tc>
        <w:tc>
          <w:tcPr>
            <w:tcW w:type="dxa" w:w="3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Title</w:t>
            </w:r>
          </w:p>
        </w:tc>
        <w:tc>
          <w:tcPr>
            <w:tcW w:type="dxa" w:w="14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Journal</w:t>
            </w:r>
          </w:p>
        </w:tc>
        <w:tc>
          <w:tcPr>
            <w:tcW w:type="dxa" w:w="136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Relevance</w:t>
            </w:r>
          </w:p>
        </w:tc>
        <w:tc>
          <w:tcPr>
            <w:tcW w:type="dxa" w:w="1200"/>
            <w:tcBorders>
              <w:top w:val="single" w:color="D0DCE4" w:sz="1"/>
              <w:left w:val="single" w:color="D0DCE4" w:sz="1"/>
              <w:bottom w:val="single" w:color="D0DCE4" w:sz="1"/>
              <w:right w:val="single" w:color="D0DCE4"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Module</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Anderson</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1972</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More is Different</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Science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Emergence foundations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1.0</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Keimer &amp; Moore</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2017</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 physics of quantum materials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QM survey</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1.0</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Hasan &amp; Kane</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Colloquium: Topological insulators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 Mod.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TI review</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1.5 / 2.2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Basov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2017</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Towards properties on demand</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 Materials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QM survey</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2.0</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Cao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2018</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Unconventional SC in magic-angle graphene</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Twistronics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2.5</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Balents</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Spin liquids in frustrated magnets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QSL review</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2.4</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Bednorz &amp; Müller</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1986</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Possible high Tc superconductivity</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Z. Physik B</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 foundation</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2.1 / 4.4</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Cho &amp; Arthur</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1975</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Molecular beam epitaxy</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Prog. Solid State Chem.</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MBE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3.1</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Novoselov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2004</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Electric field effect in atomically thin C</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Science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Exfoliation</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3.1</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Damascelli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2003</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ARPES of cuprate superconductors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 Mod.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ARPES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3.2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Binnig &amp; Rohrer</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1987</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Scanning tunneling microscopy</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 Mod.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STM</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3.2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Giannetti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2016</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Ultrafast optical spectroscopy</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Advances in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Pump-probe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3.3</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Nayak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2008</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Non-Abelian anyons and TQC</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 Mod.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Topological qubits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4.1</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Miron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2011</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Perpendicular switching via SOT</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SOT-MRAM</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4.2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Degen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2017</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sensing</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 Mod.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NV centers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4.3</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Lambert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2020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Coherent microwave-optical conversion</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PRL</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Transducers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4.5</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Oka &amp; Aoki</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2009</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Photovoltaic Hall effect in graphene</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Physical Review B</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First Floquet TI</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5.4</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Rudner &amp; Lindner</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2020</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Band engineering in Floquet TIs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 Rev. Physics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Floquet review</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5.4</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Schmidt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2019</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ML in solid-state materials science</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npj Comp. Materials</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AI in materials</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5.2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Merchant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2023</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Scaling deep learning for materials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Nature</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GNoME</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5.2</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Babbush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2018</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Encoding Electronic Spectra in QCs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Physical Review X</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Quantum simulation</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5.3</w:t>
            </w:r>
          </w:p>
        </w:tc>
      </w:tr>
      <w:tr>
        <w:tc>
          <w:tcPr>
            <w:tcW w:type="dxa" w:w="1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Schnyder et al.</w:t>
            </w:r>
          </w:p>
        </w:tc>
        <w:tc>
          <w:tcPr>
            <w:tcW w:type="dxa" w:w="6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2008</w:t>
            </w:r>
          </w:p>
        </w:tc>
        <w:tc>
          <w:tcPr>
            <w:tcW w:type="dxa" w:w="3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Classification of topological insulators</w:t>
            </w:r>
          </w:p>
        </w:tc>
        <w:tc>
          <w:tcPr>
            <w:tcW w:type="dxa" w:w="14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Physical Review B</w:t>
            </w:r>
          </w:p>
        </w:tc>
        <w:tc>
          <w:tcPr>
            <w:tcW w:type="dxa" w:w="136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Ten-Fold Way</w:t>
            </w:r>
          </w:p>
        </w:tc>
        <w:tc>
          <w:tcPr>
            <w:tcW w:type="dxa" w:w="1200"/>
            <w:tcBorders>
              <w:top w:val="single" w:color="D0DCE4" w:sz="1"/>
              <w:left w:val="single" w:color="D0DCE4" w:sz="1"/>
              <w:bottom w:val="single" w:color="D0DCE4" w:sz="1"/>
              <w:right w:val="single" w:color="D0DCE4"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2A7F8A"/>
                <w:sz w:val="18"/>
                <w:szCs w:val="18"/>
              </w:rPr>
              <w:t xml:space="preserve">1.5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A7F8A"/>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A627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2026-03-07T16:11:54.843Z</dcterms:created>
  <dcterms:modified xsi:type="dcterms:W3CDTF">2026-03-07T16:11:54.843Z</dcterms:modified>
</cp:coreProperties>
</file>

<file path=docProps/custom.xml><?xml version="1.0" encoding="utf-8"?>
<Properties xmlns="http://schemas.openxmlformats.org/officeDocument/2006/custom-properties" xmlns:vt="http://schemas.openxmlformats.org/officeDocument/2006/docPropsVTypes"/>
</file>