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rPr>
        <w:t xml:space="preserve"/>
      </w:r>
    </w:p>
    <w:p>
      <w:pPr>
        <w:jc w:val="center"/>
      </w:pPr>
      <w:r>
        <w:rPr>
          <w:rFonts w:ascii="Arial" w:cs="Arial" w:eastAsia="Arial" w:hAnsi="Arial"/>
          <w:b/>
          <w:bCs/>
          <w:color w:val="1B3A5C"/>
          <w:sz w:val="48"/>
          <w:szCs w:val="48"/>
        </w:rPr>
        <w:t xml:space="preserve">QUANTUM MATERIALS SYSTEMS</w:t>
      </w:r>
    </w:p>
    <w:p>
      <w:pPr>
        <w:spacing w:after="80"/>
        <w:jc w:val="center"/>
      </w:pPr>
      <w:r>
        <w:rPr>
          <w:rFonts w:ascii="Arial" w:cs="Arial" w:eastAsia="Arial" w:hAnsi="Arial"/>
          <w:b/>
          <w:bCs/>
          <w:color w:val="2A7F8A"/>
          <w:sz w:val="36"/>
          <w:szCs w:val="36"/>
        </w:rPr>
        <w:t xml:space="preserve">Research Architecture</w:t>
      </w:r>
    </w:p>
    <w:p>
      <w:pPr>
        <w:spacing w:after="400"/>
        <w:jc w:val="center"/>
      </w:pPr>
      <w:r>
        <w:rPr>
          <w:rFonts w:ascii="Arial" w:cs="Arial" w:eastAsia="Arial" w:hAnsi="Arial"/>
          <w:color w:val="4A6274"/>
          <w:sz w:val="24"/>
          <w:szCs w:val="24"/>
        </w:rPr>
        <w:t xml:space="preserve">Deep Research Proposal for Gemini Pro / NotebookLM</w:t>
      </w:r>
    </w:p>
    <w:p>
      <w:pPr>
        <w:pBdr>
          <w:bottom w:val="single" w:color="C8A951" w:sz="4" w:space="1"/>
        </w:pBdr>
        <w:spacing w:after="160"/>
      </w:pPr>
      <w:r>
        <w:rPr>
          <w:rFonts w:ascii="Arial" w:cs="Arial" w:eastAsia="Arial" w:hAnsi="Arial"/>
        </w:rPr>
        <w:t xml:space="preserve"/>
      </w:r>
    </w:p>
    <w:p>
      <w:pPr>
        <w:spacing w:after="200"/>
      </w:pPr>
      <w:r>
        <w:rPr>
          <w:rFonts w:ascii="Arial" w:cs="Arial" w:eastAsia="Arial" w:hAnsi="Arial"/>
        </w:rPr>
        <w:t xml:space="preserve"/>
      </w:r>
    </w:p>
    <w:p>
      <w:pPr>
        <w:spacing w:after="80"/>
        <w:jc w:val="center"/>
      </w:pPr>
      <w:r>
        <w:rPr>
          <w:rFonts w:ascii="Arial" w:cs="Arial" w:eastAsia="Arial" w:hAnsi="Arial"/>
          <w:i/>
          <w:iCs/>
          <w:color w:val="4A6274"/>
          <w:sz w:val="22"/>
          <w:szCs w:val="22"/>
        </w:rPr>
        <w:t xml:space="preserve">A grounded, literature-anchored systems architecture</w:t>
      </w:r>
    </w:p>
    <w:p>
      <w:pPr>
        <w:spacing w:after="600"/>
        <w:jc w:val="center"/>
      </w:pPr>
      <w:r>
        <w:rPr>
          <w:rFonts w:ascii="Arial" w:cs="Arial" w:eastAsia="Arial" w:hAnsi="Arial"/>
          <w:i/>
          <w:iCs/>
          <w:color w:val="4A6274"/>
          <w:sz w:val="22"/>
          <w:szCs w:val="22"/>
        </w:rPr>
        <w:t xml:space="preserve">organizing speculative frameworks around reputable, peer-reviewed publications</w:t>
      </w:r>
    </w:p>
    <w:p>
      <w:pPr>
        <w:spacing w:after="800"/>
      </w:pPr>
      <w:r>
        <w:rPr>
          <w:rFonts w:ascii="Arial" w:cs="Arial" w:eastAsia="Arial" w:hAnsi="Arial"/>
        </w:rPr>
        <w:t xml:space="preserve"/>
      </w:r>
    </w:p>
    <w:p>
      <w:pPr>
        <w:jc w:val="center"/>
      </w:pPr>
      <w:r>
        <w:rPr>
          <w:rFonts w:ascii="Arial" w:cs="Arial" w:eastAsia="Arial" w:hAnsi="Arial"/>
          <w:color w:val="4A6274"/>
          <w:sz w:val="20"/>
          <w:szCs w:val="20"/>
        </w:rPr>
        <w:t xml:space="preserve">Version 1.0  ·  2026</w:t>
      </w:r>
    </w:p>
    <w:p>
      <w:r>
        <w:br w:type="page"/>
      </w:r>
    </w:p>
    <w:p>
      <w:pPr>
        <w:pStyle w:val="Heading1"/>
        <w:spacing w:before="360" w:after="120"/>
      </w:pPr>
      <w:r>
        <w:rPr>
          <w:rFonts w:ascii="Arial" w:cs="Arial" w:eastAsia="Arial" w:hAnsi="Arial"/>
          <w:b/>
          <w:bCs/>
          <w:color w:val="1B3A5C"/>
          <w:sz w:val="28"/>
          <w:szCs w:val="28"/>
        </w:rPr>
        <w:t xml:space="preserve">SYSTEM ARCHITECTURE OVERVIEW</w:t>
      </w:r>
    </w:p>
    <w:p>
      <w:pPr>
        <w:pBdr>
          <w:bottom w:val="single" w:color="2A7F8A" w:sz="4" w:space="1"/>
        </w:pBdr>
        <w:spacing w:after="160"/>
      </w:pPr>
      <w:r>
        <w:rPr>
          <w:rFonts w:ascii="Arial" w:cs="Arial" w:eastAsia="Arial" w:hAnsi="Arial"/>
        </w:rPr>
        <w:t xml:space="preserve"/>
      </w:r>
    </w:p>
    <w:p>
      <w:pPr>
        <w:spacing w:after="120"/>
      </w:pPr>
      <w:r>
        <w:rPr>
          <w:rFonts w:ascii="Arial" w:cs="Arial" w:eastAsia="Arial" w:hAnsi="Arial"/>
          <w:color w:val="1A1A2E"/>
          <w:sz w:val="20"/>
          <w:szCs w:val="20"/>
        </w:rPr>
        <w:t xml:space="preserve">This document is structured as a Systems Architecture — a hierarchical, navigable research framework designed to be loaded into Gemini Pro and NotebookLM. Each module corresponds to a body of reputable, peer-reviewed literature. Speculative frameworks are clearly tagged and anchored to their grounded components.</w:t>
      </w:r>
    </w:p>
    <w:p>
      <w:pPr>
        <w:spacing w:after="12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How to Use This Document</w:t>
      </w:r>
    </w:p>
    <w:p>
      <w:pPr>
        <w:spacing w:after="120"/>
      </w:pPr>
      <w:r>
        <w:rPr>
          <w:rFonts w:ascii="Arial" w:cs="Arial" w:eastAsia="Arial" w:hAnsi="Arial"/>
          <w:color w:val="1A1A2E"/>
          <w:sz w:val="20"/>
          <w:szCs w:val="20"/>
        </w:rPr>
        <w:t xml:space="preserve">1. Load this document into NotebookLM as the primary source.</w:t>
      </w:r>
    </w:p>
    <w:p>
      <w:pPr>
        <w:spacing w:after="120"/>
      </w:pPr>
      <w:r>
        <w:rPr>
          <w:rFonts w:ascii="Arial" w:cs="Arial" w:eastAsia="Arial" w:hAnsi="Arial"/>
          <w:color w:val="1A1A2E"/>
          <w:sz w:val="20"/>
          <w:szCs w:val="20"/>
        </w:rPr>
        <w:t xml:space="preserve">2. Use the Table of Contents as your sitemap — each section is a discrete research module.</w:t>
      </w:r>
    </w:p>
    <w:p>
      <w:pPr>
        <w:spacing w:after="120"/>
      </w:pPr>
      <w:r>
        <w:rPr>
          <w:rFonts w:ascii="Arial" w:cs="Arial" w:eastAsia="Arial" w:hAnsi="Arial"/>
          <w:color w:val="1A1A2E"/>
          <w:sz w:val="20"/>
          <w:szCs w:val="20"/>
        </w:rPr>
        <w:t xml:space="preserve">3. Feed Gemini Pro the Prompt Templates in each module to generate literature-grounded analysis.</w:t>
      </w:r>
    </w:p>
    <w:p>
      <w:pPr>
        <w:spacing w:after="120"/>
      </w:pPr>
      <w:r>
        <w:rPr>
          <w:rFonts w:ascii="Arial" w:cs="Arial" w:eastAsia="Arial" w:hAnsi="Arial"/>
          <w:color w:val="1A1A2E"/>
          <w:sz w:val="20"/>
          <w:szCs w:val="20"/>
        </w:rPr>
        <w:t xml:space="preserve">4. Cross-reference speculative claims using the Grounding Status tags: [GROUNDED] [SPECULATIVE] [BRIDGE].</w:t>
      </w:r>
    </w:p>
    <w:p>
      <w:pPr>
        <w:spacing w:after="12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Grounding 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Tag</w:t>
            </w:r>
          </w:p>
        </w:tc>
        <w:tc>
          <w:tcPr>
            <w:tcW w:type="dxa" w:w="756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Meaning</w:t>
            </w:r>
          </w:p>
        </w:tc>
      </w:tr>
      <w:tr>
        <w:tc>
          <w:tcPr>
            <w:tcW w:type="dxa" w:w="18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left"/>
            </w:pPr>
            <w:r>
              <w:rPr>
                <w:rFonts w:ascii="Arial" w:cs="Arial" w:eastAsia="Arial" w:hAnsi="Arial"/>
                <w:b w:val="false"/>
                <w:bCs w:val="false"/>
                <w:color w:val="2E7D32"/>
                <w:sz w:val="18"/>
                <w:szCs w:val="18"/>
              </w:rPr>
              <w:t xml:space="preserve">[GROUNDED]</w:t>
            </w:r>
          </w:p>
        </w:tc>
        <w:tc>
          <w:tcPr>
            <w:tcW w:type="dxa" w:w="7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Directly supported by peer-reviewed literature. Safe to cite.</w:t>
            </w:r>
          </w:p>
        </w:tc>
      </w:tr>
      <w:tr>
        <w:tc>
          <w:tcPr>
            <w:tcW w:type="dxa" w:w="1800"/>
            <w:tcBorders>
              <w:top w:val="single" w:color="D0DCE4" w:sz="1"/>
              <w:left w:val="single" w:color="D0DCE4" w:sz="1"/>
              <w:bottom w:val="single" w:color="D0DCE4" w:sz="1"/>
              <w:right w:val="single" w:color="D0DCE4" w:sz="1"/>
            </w:tcBorders>
            <w:shd w:fill="FFF8E1" w:val="clear"/>
            <w:tcMar>
              <w:top w:type="dxa" w:w="80"/>
              <w:left w:type="dxa" w:w="120"/>
              <w:bottom w:type="dxa" w:w="80"/>
              <w:right w:type="dxa" w:w="120"/>
            </w:tcMar>
          </w:tcPr>
          <w:p>
            <w:pPr>
              <w:jc w:val="left"/>
            </w:pPr>
            <w:r>
              <w:rPr>
                <w:rFonts w:ascii="Arial" w:cs="Arial" w:eastAsia="Arial" w:hAnsi="Arial"/>
                <w:b w:val="false"/>
                <w:bCs w:val="false"/>
                <w:color w:val="F57F17"/>
                <w:sz w:val="18"/>
                <w:szCs w:val="18"/>
              </w:rPr>
              <w:t xml:space="preserve">[BRIDGE]</w:t>
            </w:r>
          </w:p>
        </w:tc>
        <w:tc>
          <w:tcPr>
            <w:tcW w:type="dxa" w:w="7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Conceptually valid connection between grounded fields. Needs expert review.</w:t>
            </w:r>
          </w:p>
        </w:tc>
      </w:tr>
      <w:tr>
        <w:tc>
          <w:tcPr>
            <w:tcW w:type="dxa" w:w="1800"/>
            <w:tcBorders>
              <w:top w:val="single" w:color="D0DCE4" w:sz="1"/>
              <w:left w:val="single" w:color="D0DCE4" w:sz="1"/>
              <w:bottom w:val="single" w:color="D0DCE4" w:sz="1"/>
              <w:right w:val="single" w:color="D0DCE4" w:sz="1"/>
            </w:tcBorders>
            <w:shd w:fill="FFEBEE" w:val="clear"/>
            <w:tcMar>
              <w:top w:type="dxa" w:w="80"/>
              <w:left w:type="dxa" w:w="120"/>
              <w:bottom w:type="dxa" w:w="80"/>
              <w:right w:type="dxa" w:w="120"/>
            </w:tcMar>
          </w:tcPr>
          <w:p>
            <w:pPr>
              <w:jc w:val="left"/>
            </w:pPr>
            <w:r>
              <w:rPr>
                <w:rFonts w:ascii="Arial" w:cs="Arial" w:eastAsia="Arial" w:hAnsi="Arial"/>
                <w:b w:val="false"/>
                <w:bCs w:val="false"/>
                <w:color w:val="C62828"/>
                <w:sz w:val="18"/>
                <w:szCs w:val="18"/>
              </w:rPr>
              <w:t xml:space="preserve">[SPECULATIVE]</w:t>
            </w:r>
          </w:p>
        </w:tc>
        <w:tc>
          <w:tcPr>
            <w:tcW w:type="dxa" w:w="7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Theoretical or analogical. Not yet supported by direct experimental evidence.</w:t>
            </w:r>
          </w:p>
        </w:tc>
      </w:tr>
    </w:tbl>
    <w:p>
      <w:pPr>
        <w:spacing w:after="120"/>
      </w:pPr>
      <w:r>
        <w:rPr>
          <w:rFonts w:ascii="Arial" w:cs="Arial" w:eastAsia="Arial" w:hAnsi="Arial"/>
        </w:rPr>
        <w:t xml:space="preserve"/>
      </w:r>
    </w:p>
    <w:p>
      <w:r>
        <w:br w:type="page"/>
      </w:r>
    </w:p>
    <w:p>
      <w:pPr>
        <w:pStyle w:val="Heading1"/>
        <w:spacing w:before="360" w:after="120"/>
      </w:pPr>
      <w:r>
        <w:rPr>
          <w:rFonts w:ascii="Arial" w:cs="Arial" w:eastAsia="Arial" w:hAnsi="Arial"/>
          <w:b/>
          <w:bCs/>
          <w:color w:val="1B3A5C"/>
          <w:sz w:val="28"/>
          <w:szCs w:val="28"/>
        </w:rPr>
        <w:t xml:space="preserve">TABLE OF CONTENTS / SITEMAP</w:t>
      </w:r>
    </w:p>
    <w:p>
      <w:pPr>
        <w:pBdr>
          <w:bottom w:val="single" w:color="2A7F8A" w:sz="4" w:space="1"/>
        </w:pBdr>
        <w:spacing w:after="160"/>
      </w:pPr>
      <w:r>
        <w:rPr>
          <w:rFonts w:ascii="Arial" w:cs="Arial" w:eastAsia="Arial" w:hAnsi="Arial"/>
        </w:rPr>
        <w:t xml:space="preserve"/>
      </w:r>
    </w:p>
    <w:p>
      <w:pPr>
        <w:spacing w:after="120"/>
      </w:pPr>
      <w:r>
        <w:rPr>
          <w:rFonts w:ascii="Arial" w:cs="Arial" w:eastAsia="Arial" w:hAnsi="Arial"/>
          <w:i/>
          <w:iCs/>
          <w:color w:val="1A1A2E"/>
          <w:sz w:val="20"/>
          <w:szCs w:val="20"/>
        </w:rPr>
        <w:t xml:space="preserve">Use this as your NotebookLM sitemap. Each module is a self-contained research node with its own literature anchors and Gemini prompt templates.</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2200"/>
      </w:tblGrid>
      <w:tr>
        <w:tc>
          <w:tcPr>
            <w:tcW w:type="dxa" w:w="14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w:t>
            </w:r>
          </w:p>
        </w:tc>
        <w:tc>
          <w:tcPr>
            <w:tcW w:type="dxa" w:w="456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Topic</w:t>
            </w:r>
          </w:p>
        </w:tc>
        <w:tc>
          <w:tcPr>
            <w:tcW w:type="dxa" w:w="12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Section</w:t>
            </w:r>
          </w:p>
        </w:tc>
        <w:tc>
          <w:tcPr>
            <w:tcW w:type="dxa" w:w="22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0</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System Architecture Overview</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This Page</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1</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Quantum Materials Foundations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1</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1A</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Band Theory &amp; Electronic Structure</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1A</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1B</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Topological States of Matter</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1B</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1C</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Strongly Correlated Systems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1C</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2</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Majorana Verification Crisis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2</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2A</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The ABS Mimicry Problem</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2A</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2B</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Formal Verification Methods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2B</w:t>
            </w:r>
          </w:p>
        </w:tc>
        <w:tc>
          <w:tcPr>
            <w:tcW w:type="dxa" w:w="22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[BRIDGE]</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2C</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Material Platforms: FeSC &amp; LiFeAs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2C</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3</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Digital Twin → Digital Triplet</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3</w:t>
            </w:r>
          </w:p>
        </w:tc>
        <w:tc>
          <w:tcPr>
            <w:tcW w:type="dxa" w:w="22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[BRIDGE]</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3A</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Industry 5.0 &amp; Human-in-Loop AI</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3A</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3B</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Multi-Agent Orchestration</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3B</w:t>
            </w:r>
          </w:p>
        </w:tc>
        <w:tc>
          <w:tcPr>
            <w:tcW w:type="dxa" w:w="22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[BRIDGE]</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4</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Geometric Algebra &amp; Topology</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4</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4A</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Topological Data Analysis (TDA)</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4A</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4B</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Homotopy Type Theory (HoTT)</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4B</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5</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ATMS &amp; Floquet Engineering</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5</w:t>
            </w:r>
          </w:p>
        </w:tc>
        <w:tc>
          <w:tcPr>
            <w:tcW w:type="dxa" w:w="22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[BRIDGE]</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5A</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Floquet Engineering: Literature</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5A</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5B</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Animate Material Concept</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5B</w:t>
            </w:r>
          </w:p>
        </w:tc>
        <w:tc>
          <w:tcPr>
            <w:tcW w:type="dxa" w:w="2200"/>
            <w:tcBorders>
              <w:top w:val="single" w:color="D0DCE4" w:sz="1"/>
              <w:left w:val="single" w:color="D0DCE4" w:sz="1"/>
              <w:bottom w:val="single" w:color="D0DCE4" w:sz="1"/>
              <w:right w:val="single" w:color="D0DCE4"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[SPECULATIVE]</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6</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Quantum Classification Framework</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6</w:t>
            </w:r>
          </w:p>
        </w:tc>
        <w:tc>
          <w:tcPr>
            <w:tcW w:type="dxa" w:w="22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[BRIDGE]</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6A</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Ten-Fold Way &amp; Topological Phases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6A</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6B</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Quantum Periodic Table Concept</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6B</w:t>
            </w:r>
          </w:p>
        </w:tc>
        <w:tc>
          <w:tcPr>
            <w:tcW w:type="dxa" w:w="2200"/>
            <w:tcBorders>
              <w:top w:val="single" w:color="D0DCE4" w:sz="1"/>
              <w:left w:val="single" w:color="D0DCE4" w:sz="1"/>
              <w:bottom w:val="single" w:color="D0DCE4" w:sz="1"/>
              <w:right w:val="single" w:color="D0DCE4"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[SPECULATIVE]</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7</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AI in Materials Discovery</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7</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8</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Glossary of Terms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8</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9</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FAQ</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9</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MODULE 10</w:t>
            </w:r>
          </w:p>
        </w:tc>
        <w:tc>
          <w:tcPr>
            <w:tcW w:type="dxa" w:w="4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Recommended Literature Index</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Sec. 10</w:t>
            </w:r>
          </w:p>
        </w:tc>
        <w:tc>
          <w:tcPr>
            <w:tcW w:type="dxa" w:w="22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[GROUNDED]</w:t>
            </w:r>
          </w:p>
        </w:tc>
      </w:tr>
    </w:tbl>
    <w:p>
      <w:pPr>
        <w:spacing w:after="120"/>
      </w:pPr>
      <w:r>
        <w:rPr>
          <w:rFonts w:ascii="Arial" w:cs="Arial" w:eastAsia="Arial" w:hAnsi="Arial"/>
        </w:rPr>
        <w:t xml:space="preserve"/>
      </w:r>
    </w:p>
    <w:p>
      <w:r>
        <w:br w:type="page"/>
      </w:r>
    </w:p>
    <w:p>
      <w:pPr>
        <w:pStyle w:val="Heading1"/>
        <w:spacing w:before="360" w:after="120"/>
      </w:pPr>
      <w:r>
        <w:rPr>
          <w:rFonts w:ascii="Arial" w:cs="Arial" w:eastAsia="Arial" w:hAnsi="Arial"/>
          <w:b/>
          <w:bCs/>
          <w:color w:val="1B3A5C"/>
          <w:sz w:val="28"/>
          <w:szCs w:val="28"/>
        </w:rPr>
        <w:t xml:space="preserve">RESEARCH FLOWCHART</w:t>
      </w:r>
    </w:p>
    <w:p>
      <w:pPr>
        <w:pBdr>
          <w:bottom w:val="single" w:color="2A7F8A" w:sz="4" w:space="1"/>
        </w:pBdr>
        <w:spacing w:after="160"/>
      </w:pPr>
      <w:r>
        <w:rPr>
          <w:rFonts w:ascii="Arial" w:cs="Arial" w:eastAsia="Arial" w:hAnsi="Arial"/>
        </w:rPr>
        <w:t xml:space="preserve"/>
      </w:r>
    </w:p>
    <w:p>
      <w:pPr>
        <w:spacing w:after="120"/>
      </w:pPr>
      <w:r>
        <w:rPr>
          <w:rFonts w:ascii="Arial" w:cs="Arial" w:eastAsia="Arial" w:hAnsi="Arial"/>
          <w:i/>
          <w:iCs/>
          <w:color w:val="1A1A2E"/>
          <w:sz w:val="20"/>
          <w:szCs w:val="20"/>
        </w:rPr>
        <w:t xml:space="preserve">The following flowchart shows how modules connect. Feed this to Gemini Pro to generate targeted literature queries for each node.</w:t>
      </w:r>
    </w:p>
    <w:p>
      <w:pPr>
        <w:spacing w:after="12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Primary Research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20"/>
              <w:left w:type="dxa" w:w="200"/>
              <w:bottom w:type="dxa" w:w="120"/>
              <w:right w:type="dxa" w:w="200"/>
            </w:tcMar>
          </w:tcPr>
          <w:p>
            <w:pPr>
              <w:jc w:val="center"/>
            </w:pPr>
            <w:r>
              <w:rPr>
                <w:rFonts w:ascii="Arial" w:cs="Arial" w:eastAsia="Arial" w:hAnsi="Arial"/>
                <w:b/>
                <w:bCs/>
                <w:color w:val="1B3A5C"/>
                <w:sz w:val="20"/>
                <w:szCs w:val="20"/>
              </w:rPr>
              <w:t xml:space="preserve">ENTRY POINT</w:t>
            </w:r>
          </w:p>
          <w:p>
            <w:pPr>
              <w:jc w:val="center"/>
            </w:pPr>
            <w:r>
              <w:rPr>
                <w:rFonts w:ascii="Arial" w:cs="Arial" w:eastAsia="Arial" w:hAnsi="Arial"/>
                <w:color w:val="2A7F8A"/>
                <w:sz w:val="18"/>
                <w:szCs w:val="18"/>
              </w:rPr>
              <w:t xml:space="preserve">MODULE 1: Quantum Materials Foundations</w:t>
            </w:r>
          </w:p>
          <w:p>
            <w:pPr>
              <w:jc w:val="center"/>
            </w:pPr>
            <w:r>
              <w:rPr>
                <w:rFonts w:ascii="Arial" w:cs="Arial" w:eastAsia="Arial" w:hAnsi="Arial"/>
                <w:b/>
                <w:bCs/>
                <w:color w:val="4A6274"/>
                <w:sz w:val="24"/>
                <w:szCs w:val="24"/>
              </w:rPr>
              <w:t xml:space="preserve">↓</w:t>
            </w:r>
          </w:p>
          <w:p>
            <w:pPr>
              <w:jc w:val="center"/>
            </w:pPr>
            <w:r>
              <w:rPr>
                <w:rFonts w:ascii="Arial" w:cs="Arial" w:eastAsia="Arial" w:hAnsi="Arial"/>
                <w:i/>
                <w:iCs/>
                <w:color w:val="1A1A2E"/>
                <w:sz w:val="18"/>
                <w:szCs w:val="18"/>
              </w:rPr>
              <w:t xml:space="preserve">Split into three parallel branches: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D0DCE4" w:sz="1"/>
                    <w:left w:val="single" w:color="D0DCE4" w:sz="1"/>
                    <w:bottom w:val="single" w:color="D0DCE4" w:sz="1"/>
                    <w:right w:val="single" w:color="D0DCE4" w:sz="1"/>
                  </w:tcBorders>
                  <w:shd w:fill="E3F2FD"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BRANCH A</w:t>
                  </w:r>
                </w:p>
                <w:p>
                  <w:pPr>
                    <w:jc w:val="center"/>
                  </w:pPr>
                  <w:r>
                    <w:rPr>
                      <w:rFonts w:ascii="Arial" w:cs="Arial" w:eastAsia="Arial" w:hAnsi="Arial"/>
                      <w:color w:val="2A7F8A"/>
                      <w:sz w:val="16"/>
                      <w:szCs w:val="16"/>
                    </w:rPr>
                    <w:t xml:space="preserve">Quantum Hardware</w:t>
                  </w:r>
                </w:p>
                <w:p>
                  <w:pPr>
                    <w:jc w:val="center"/>
                  </w:pPr>
                  <w:r>
                    <w:rPr>
                      <w:rFonts w:ascii="Arial" w:cs="Arial" w:eastAsia="Arial" w:hAnsi="Arial"/>
                      <w:color w:val="4A6274"/>
                      <w:sz w:val="16"/>
                      <w:szCs w:val="16"/>
                    </w:rPr>
                    <w:t xml:space="preserve">Module 1A → 1B → 1C</w:t>
                  </w:r>
                </w:p>
                <w:p>
                  <w:pPr>
                    <w:jc w:val="center"/>
                  </w:pPr>
                  <w:r>
                    <w:rPr>
                      <w:rFonts w:ascii="Arial" w:cs="Arial" w:eastAsia="Arial" w:hAnsi="Arial"/>
                      <w:b/>
                      <w:bCs/>
                      <w:sz w:val="20"/>
                      <w:szCs w:val="20"/>
                    </w:rPr>
                    <w:t xml:space="preserve">↓</w:t>
                  </w:r>
                </w:p>
                <w:p>
                  <w:pPr>
                    <w:jc w:val="center"/>
                  </w:pPr>
                  <w:r>
                    <w:rPr>
                      <w:rFonts w:ascii="Arial" w:cs="Arial" w:eastAsia="Arial" w:hAnsi="Arial"/>
                      <w:b/>
                      <w:bCs/>
                      <w:color w:val="1B3A5C"/>
                      <w:sz w:val="16"/>
                      <w:szCs w:val="16"/>
                    </w:rPr>
                    <w:t xml:space="preserve">MODULE 2</w:t>
                  </w:r>
                </w:p>
                <w:p>
                  <w:pPr>
                    <w:jc w:val="center"/>
                  </w:pPr>
                  <w:r>
                    <w:rPr>
                      <w:rFonts w:ascii="Arial" w:cs="Arial" w:eastAsia="Arial" w:hAnsi="Arial"/>
                      <w:color w:val="2A7F8A"/>
                      <w:sz w:val="16"/>
                      <w:szCs w:val="16"/>
                    </w:rPr>
                    <w:t xml:space="preserve">Majorana Verification</w:t>
                  </w:r>
                </w:p>
                <w:p>
                  <w:pPr>
                    <w:jc w:val="center"/>
                  </w:pPr>
                  <w:r>
                    <w:rPr>
                      <w:rFonts w:ascii="Arial" w:cs="Arial" w:eastAsia="Arial" w:hAnsi="Arial"/>
                      <w:color w:val="4A6274"/>
                      <w:sz w:val="16"/>
                      <w:szCs w:val="16"/>
                    </w:rPr>
                    <w:t xml:space="preserve">2A → 2B → 2C</w:t>
                  </w:r>
                </w:p>
              </w:tc>
              <w:tc>
                <w:tcPr>
                  <w:tcW w:type="dxa" w:w="2880"/>
                  <w:tcBorders>
                    <w:top w:val="single" w:color="D0DCE4" w:sz="1"/>
                    <w:left w:val="single" w:color="D0DCE4" w:sz="1"/>
                    <w:bottom w:val="single" w:color="D0DCE4" w:sz="1"/>
                    <w:right w:val="single" w:color="D0DCE4" w:sz="1"/>
                  </w:tcBorders>
                  <w:shd w:fill="F3E5F5"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BRANCH B</w:t>
                  </w:r>
                </w:p>
                <w:p>
                  <w:pPr>
                    <w:jc w:val="center"/>
                  </w:pPr>
                  <w:r>
                    <w:rPr>
                      <w:rFonts w:ascii="Arial" w:cs="Arial" w:eastAsia="Arial" w:hAnsi="Arial"/>
                      <w:color w:val="2A7F8A"/>
                      <w:sz w:val="16"/>
                      <w:szCs w:val="16"/>
                    </w:rPr>
                    <w:t xml:space="preserve">Mathematics</w:t>
                  </w:r>
                </w:p>
                <w:p>
                  <w:pPr>
                    <w:jc w:val="center"/>
                  </w:pPr>
                  <w:r>
                    <w:rPr>
                      <w:rFonts w:ascii="Arial" w:cs="Arial" w:eastAsia="Arial" w:hAnsi="Arial"/>
                      <w:color w:val="4A6274"/>
                      <w:sz w:val="16"/>
                      <w:szCs w:val="16"/>
                    </w:rPr>
                    <w:t xml:space="preserve">Module 4A → 4B</w:t>
                  </w:r>
                </w:p>
                <w:p>
                  <w:pPr>
                    <w:jc w:val="center"/>
                  </w:pPr>
                  <w:r>
                    <w:rPr>
                      <w:rFonts w:ascii="Arial" w:cs="Arial" w:eastAsia="Arial" w:hAnsi="Arial"/>
                      <w:b/>
                      <w:bCs/>
                      <w:sz w:val="20"/>
                      <w:szCs w:val="20"/>
                    </w:rPr>
                    <w:t xml:space="preserve">↓</w:t>
                  </w:r>
                </w:p>
                <w:p>
                  <w:pPr>
                    <w:jc w:val="center"/>
                  </w:pPr>
                  <w:r>
                    <w:rPr>
                      <w:rFonts w:ascii="Arial" w:cs="Arial" w:eastAsia="Arial" w:hAnsi="Arial"/>
                      <w:b/>
                      <w:bCs/>
                      <w:color w:val="1B3A5C"/>
                      <w:sz w:val="16"/>
                      <w:szCs w:val="16"/>
                    </w:rPr>
                    <w:t xml:space="preserve">MODULE 5</w:t>
                  </w:r>
                </w:p>
                <w:p>
                  <w:pPr>
                    <w:jc w:val="center"/>
                  </w:pPr>
                  <w:r>
                    <w:rPr>
                      <w:rFonts w:ascii="Arial" w:cs="Arial" w:eastAsia="Arial" w:hAnsi="Arial"/>
                      <w:color w:val="2A7F8A"/>
                      <w:sz w:val="16"/>
                      <w:szCs w:val="16"/>
                    </w:rPr>
                    <w:t xml:space="preserve">ATMS Framework</w:t>
                  </w:r>
                </w:p>
                <w:p>
                  <w:pPr>
                    <w:jc w:val="center"/>
                  </w:pPr>
                  <w:r>
                    <w:rPr>
                      <w:rFonts w:ascii="Arial" w:cs="Arial" w:eastAsia="Arial" w:hAnsi="Arial"/>
                      <w:color w:val="4A6274"/>
                      <w:sz w:val="16"/>
                      <w:szCs w:val="16"/>
                    </w:rPr>
                    <w:t xml:space="preserve">5A (grounded) → 5B (speculative)</w:t>
                  </w:r>
                </w:p>
              </w:tc>
              <w:tc>
                <w:tcPr>
                  <w:tcW w:type="dxa" w:w="2880"/>
                  <w:tcBorders>
                    <w:top w:val="single" w:color="D0DCE4" w:sz="1"/>
                    <w:left w:val="single" w:color="D0DCE4" w:sz="1"/>
                    <w:bottom w:val="single" w:color="D0DCE4" w:sz="1"/>
                    <w:right w:val="single" w:color="D0DCE4" w:sz="1"/>
                  </w:tcBorders>
                  <w:shd w:fill="E8F5E9"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BRANCH C</w:t>
                  </w:r>
                </w:p>
                <w:p>
                  <w:pPr>
                    <w:jc w:val="center"/>
                  </w:pPr>
                  <w:r>
                    <w:rPr>
                      <w:rFonts w:ascii="Arial" w:cs="Arial" w:eastAsia="Arial" w:hAnsi="Arial"/>
                      <w:color w:val="2A7F8A"/>
                      <w:sz w:val="16"/>
                      <w:szCs w:val="16"/>
                    </w:rPr>
                    <w:t xml:space="preserve">AI &amp; Systems</w:t>
                  </w:r>
                </w:p>
                <w:p>
                  <w:pPr>
                    <w:jc w:val="center"/>
                  </w:pPr>
                  <w:r>
                    <w:rPr>
                      <w:rFonts w:ascii="Arial" w:cs="Arial" w:eastAsia="Arial" w:hAnsi="Arial"/>
                      <w:color w:val="4A6274"/>
                      <w:sz w:val="16"/>
                      <w:szCs w:val="16"/>
                    </w:rPr>
                    <w:t xml:space="preserve">Module 7 → 3A → 3B</w:t>
                  </w:r>
                </w:p>
                <w:p>
                  <w:pPr>
                    <w:jc w:val="center"/>
                  </w:pPr>
                  <w:r>
                    <w:rPr>
                      <w:rFonts w:ascii="Arial" w:cs="Arial" w:eastAsia="Arial" w:hAnsi="Arial"/>
                      <w:b/>
                      <w:bCs/>
                      <w:sz w:val="20"/>
                      <w:szCs w:val="20"/>
                    </w:rPr>
                    <w:t xml:space="preserve">↓</w:t>
                  </w:r>
                </w:p>
                <w:p>
                  <w:pPr>
                    <w:jc w:val="center"/>
                  </w:pPr>
                  <w:r>
                    <w:rPr>
                      <w:rFonts w:ascii="Arial" w:cs="Arial" w:eastAsia="Arial" w:hAnsi="Arial"/>
                      <w:b/>
                      <w:bCs/>
                      <w:color w:val="1B3A5C"/>
                      <w:sz w:val="16"/>
                      <w:szCs w:val="16"/>
                    </w:rPr>
                    <w:t xml:space="preserve">MODULE 3</w:t>
                  </w:r>
                </w:p>
                <w:p>
                  <w:pPr>
                    <w:jc w:val="center"/>
                  </w:pPr>
                  <w:r>
                    <w:rPr>
                      <w:rFonts w:ascii="Arial" w:cs="Arial" w:eastAsia="Arial" w:hAnsi="Arial"/>
                      <w:color w:val="2A7F8A"/>
                      <w:sz w:val="16"/>
                      <w:szCs w:val="16"/>
                    </w:rPr>
                    <w:t xml:space="preserve">Digital Triplet</w:t>
                  </w:r>
                </w:p>
                <w:p>
                  <w:pPr>
                    <w:jc w:val="center"/>
                  </w:pPr>
                  <w:r>
                    <w:rPr>
                      <w:rFonts w:ascii="Arial" w:cs="Arial" w:eastAsia="Arial" w:hAnsi="Arial"/>
                      <w:color w:val="4A6274"/>
                      <w:sz w:val="16"/>
                      <w:szCs w:val="16"/>
                    </w:rPr>
                    <w:t xml:space="preserve">Industry 5.0 anchoring</w:t>
                  </w:r>
                </w:p>
              </w:tc>
            </w:tr>
          </w:tbl>
          <w:p>
            <w:pPr>
              <w:spacing w:after="80"/>
            </w:pPr>
            <w:r>
              <w:rPr>
                <w:rFonts w:ascii="Arial" w:cs="Arial" w:eastAsia="Arial" w:hAnsi="Arial"/>
              </w:rPr>
              <w:t xml:space="preserve"/>
            </w:r>
          </w:p>
          <w:p>
            <w:pPr>
              <w:jc w:val="center"/>
            </w:pPr>
            <w:r>
              <w:rPr>
                <w:rFonts w:ascii="Arial" w:cs="Arial" w:eastAsia="Arial" w:hAnsi="Arial"/>
                <w:i/>
                <w:iCs/>
                <w:color w:val="1A1A2E"/>
                <w:sz w:val="18"/>
                <w:szCs w:val="18"/>
              </w:rPr>
              <w:t xml:space="preserve">All branches converge →</w:t>
            </w:r>
          </w:p>
          <w:p>
            <w:pPr>
              <w:jc w:val="center"/>
            </w:pPr>
            <w:r>
              <w:rPr>
                <w:rFonts w:ascii="Arial" w:cs="Arial" w:eastAsia="Arial" w:hAnsi="Arial"/>
                <w:b/>
                <w:bCs/>
                <w:color w:val="4A6274"/>
                <w:sz w:val="24"/>
                <w:szCs w:val="24"/>
              </w:rPr>
              <w:t xml:space="preserve">↓</w:t>
            </w:r>
          </w:p>
          <w:p>
            <w:pPr>
              <w:jc w:val="center"/>
            </w:pPr>
            <w:r>
              <w:rPr>
                <w:rFonts w:ascii="Arial" w:cs="Arial" w:eastAsia="Arial" w:hAnsi="Arial"/>
                <w:b/>
                <w:bCs/>
                <w:color w:val="1B3A5C"/>
                <w:sz w:val="20"/>
                <w:szCs w:val="20"/>
              </w:rPr>
              <w:t xml:space="preserve">MODULE 6: Quantum Classification Framework</w:t>
            </w:r>
          </w:p>
          <w:p>
            <w:pPr>
              <w:jc w:val="center"/>
            </w:pPr>
            <w:r>
              <w:rPr>
                <w:rFonts w:ascii="Arial" w:cs="Arial" w:eastAsia="Arial" w:hAnsi="Arial"/>
                <w:i/>
                <w:iCs/>
                <w:color w:val="4A6274"/>
                <w:sz w:val="18"/>
                <w:szCs w:val="18"/>
              </w:rPr>
              <w:t xml:space="preserve">The unifying taxonomy — grounded in the Ten-Fold Way, extended speculatively</w:t>
            </w:r>
          </w:p>
          <w:p>
            <w:pPr>
              <w:jc w:val="center"/>
            </w:pPr>
            <w:r>
              <w:rPr>
                <w:rFonts w:ascii="Arial" w:cs="Arial" w:eastAsia="Arial" w:hAnsi="Arial"/>
                <w:b/>
                <w:bCs/>
                <w:color w:val="4A6274"/>
                <w:sz w:val="24"/>
                <w:szCs w:val="24"/>
              </w:rPr>
              <w:t xml:space="preserve">↓</w:t>
            </w:r>
          </w:p>
          <w:p>
            <w:pPr>
              <w:jc w:val="center"/>
            </w:pPr>
            <w:r>
              <w:rPr>
                <w:rFonts w:ascii="Arial" w:cs="Arial" w:eastAsia="Arial" w:hAnsi="Arial"/>
                <w:b/>
                <w:bCs/>
                <w:color w:val="2A7F8A"/>
                <w:sz w:val="18"/>
                <w:szCs w:val="18"/>
              </w:rPr>
              <w:t xml:space="preserve">MODULES 8-10: Glossary · FAQ · Literature Index</w:t>
            </w:r>
          </w:p>
        </w:tc>
      </w:tr>
    </w:tbl>
    <w:p>
      <w:pPr>
        <w:spacing w:after="120"/>
      </w:pPr>
      <w:r>
        <w:rPr>
          <w:rFonts w:ascii="Arial" w:cs="Arial" w:eastAsia="Arial" w:hAnsi="Arial"/>
        </w:rPr>
        <w:t xml:space="preserve"/>
      </w:r>
    </w:p>
    <w:p>
      <w:r>
        <w:br w:type="page"/>
      </w:r>
    </w:p>
    <w:p>
      <w:pPr>
        <w:pStyle w:val="Heading1"/>
        <w:spacing w:before="360" w:after="120"/>
      </w:pPr>
      <w:r>
        <w:rPr>
          <w:rFonts w:ascii="Arial" w:cs="Arial" w:eastAsia="Arial" w:hAnsi="Arial"/>
          <w:b/>
          <w:bCs/>
          <w:color w:val="1B3A5C"/>
          <w:sz w:val="28"/>
          <w:szCs w:val="28"/>
        </w:rPr>
        <w:t xml:space="preserve">MODULE 1: Quantum Materials Foundations</w:t>
      </w:r>
    </w:p>
    <w:p>
      <w:pPr>
        <w:pBdr>
          <w:left w:val="single" w:color="2E7D32" w:sz="12" w:space="4"/>
        </w:pBdr>
        <w:shd w:fill="E8F5E9" w:val="clear"/>
        <w:spacing w:after="120"/>
      </w:pPr>
      <w:r>
        <w:rPr>
          <w:rFonts w:ascii="Arial" w:cs="Arial" w:eastAsia="Arial" w:hAnsi="Arial"/>
          <w:b/>
          <w:bCs/>
          <w:color w:val="2E7D32"/>
          <w:sz w:val="20"/>
          <w:szCs w:val="20"/>
        </w:rPr>
        <w:t xml:space="preserve">Status: [GROUNDED]</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Description</w:t>
      </w:r>
    </w:p>
    <w:p>
      <w:pPr>
        <w:spacing w:after="120"/>
      </w:pPr>
      <w:r>
        <w:rPr>
          <w:rFonts w:ascii="Arial" w:cs="Arial" w:eastAsia="Arial" w:hAnsi="Arial"/>
          <w:color w:val="1A1A2E"/>
          <w:sz w:val="20"/>
          <w:szCs w:val="20"/>
        </w:rPr>
        <w:t xml:space="preserve">The scientific bedrock of the entire research program. Covers quantum mechanical principles, band theory, and the classification of matter. All subsequent modules depend on fluency in this material.</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 (Reputable Sources)</w:t>
      </w:r>
    </w:p>
    <w:p>
      <w:pPr>
        <w:pStyle w:val="ListParagraph"/>
        <w:numPr>
          <w:ilvl w:val="0"/>
          <w:numId w:val="2"/>
        </w:numPr>
        <w:spacing w:after="80"/>
      </w:pPr>
      <w:r>
        <w:rPr>
          <w:rFonts w:ascii="Arial" w:cs="Arial" w:eastAsia="Arial" w:hAnsi="Arial"/>
          <w:color w:val="1A1A2E"/>
          <w:sz w:val="20"/>
          <w:szCs w:val="20"/>
        </w:rPr>
        <w:t xml:space="preserve">Basov, D.N. et al. (2017). Towards properties on demand in quantum materials. Nature Materials.</w:t>
      </w:r>
    </w:p>
    <w:p>
      <w:pPr>
        <w:pStyle w:val="ListParagraph"/>
        <w:numPr>
          <w:ilvl w:val="0"/>
          <w:numId w:val="2"/>
        </w:numPr>
        <w:spacing w:after="80"/>
      </w:pPr>
      <w:r>
        <w:rPr>
          <w:rFonts w:ascii="Arial" w:cs="Arial" w:eastAsia="Arial" w:hAnsi="Arial"/>
          <w:color w:val="1A1A2E"/>
          <w:sz w:val="20"/>
          <w:szCs w:val="20"/>
        </w:rPr>
        <w:t xml:space="preserve">Keimer, B. &amp; Moore, J.E. (2017). The physics of quantum materials. Nature Physics.</w:t>
      </w:r>
    </w:p>
    <w:p>
      <w:pPr>
        <w:pStyle w:val="ListParagraph"/>
        <w:numPr>
          <w:ilvl w:val="0"/>
          <w:numId w:val="2"/>
        </w:numPr>
        <w:spacing w:after="80"/>
      </w:pPr>
      <w:r>
        <w:rPr>
          <w:rFonts w:ascii="Arial" w:cs="Arial" w:eastAsia="Arial" w:hAnsi="Arial"/>
          <w:color w:val="1A1A2E"/>
          <w:sz w:val="20"/>
          <w:szCs w:val="20"/>
        </w:rPr>
        <w:t xml:space="preserve">Tokura, Y. et al. (2017). Emergent functions of quantum materials. Nature Physics.</w:t>
      </w:r>
    </w:p>
    <w:p>
      <w:pPr>
        <w:pStyle w:val="ListParagraph"/>
        <w:numPr>
          <w:ilvl w:val="0"/>
          <w:numId w:val="2"/>
        </w:numPr>
        <w:spacing w:after="80"/>
      </w:pPr>
      <w:r>
        <w:rPr>
          <w:rFonts w:ascii="Arial" w:cs="Arial" w:eastAsia="Arial" w:hAnsi="Arial"/>
          <w:color w:val="1A1A2E"/>
          <w:sz w:val="20"/>
          <w:szCs w:val="20"/>
        </w:rPr>
        <w:t xml:space="preserve">Annual Review of Condensed Matter Physics (APS) — ongoing series on quantum materials.</w:t>
      </w:r>
    </w:p>
    <w:p>
      <w:pPr>
        <w:pStyle w:val="ListParagraph"/>
        <w:numPr>
          <w:ilvl w:val="0"/>
          <w:numId w:val="2"/>
        </w:numPr>
        <w:spacing w:after="80"/>
      </w:pPr>
      <w:r>
        <w:rPr>
          <w:rFonts w:ascii="Arial" w:cs="Arial" w:eastAsia="Arial" w:hAnsi="Arial"/>
          <w:color w:val="1A1A2E"/>
          <w:sz w:val="20"/>
          <w:szCs w:val="20"/>
        </w:rPr>
        <w:t xml:space="preserve">MIT OpenCourseWare: 8.511 Theory of Solids I — foundational band theory.</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Pro Research Prompt</w:t>
      </w:r>
    </w:p>
    <w:p>
      <w:pPr>
        <w:pBdr>
          <w:left w:val="single" w:color="2A7F8A" w:sz="12" w:space="4"/>
        </w:pBdr>
        <w:shd w:fill="EAF2F5" w:val="clear"/>
        <w:spacing w:before="80" w:after="80"/>
      </w:pPr>
      <w:r>
        <w:rPr>
          <w:rFonts w:ascii="Arial" w:cs="Arial" w:eastAsia="Arial" w:hAnsi="Arial"/>
          <w:i/>
          <w:iCs/>
          <w:color w:val="4A6274"/>
          <w:sz w:val="18"/>
          <w:szCs w:val="18"/>
        </w:rPr>
        <w:t xml:space="preserve">Using only peer-reviewed sources from journals such as Nature Materials, Nature Physics, Physical Review Letters, and Annual Reviews, provide a structured overview of quantum materials science. Organize by: (1) foundational quantum mechanical principles, (2) band theory, (3) emergent phenomena. Flag any claim that lacks experimental support.</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Module FAQs</w:t>
      </w:r>
    </w:p>
    <w:p>
      <w:pPr>
        <w:spacing w:before="100" w:after="40"/>
      </w:pPr>
      <w:r>
        <w:rPr>
          <w:rFonts w:ascii="Arial" w:cs="Arial" w:eastAsia="Arial" w:hAnsi="Arial"/>
          <w:b/>
          <w:bCs/>
          <w:color w:val="1B3A5C"/>
          <w:sz w:val="20"/>
          <w:szCs w:val="20"/>
        </w:rPr>
        <w:t xml:space="preserve">Q: What is a quantum material?</w:t>
      </w:r>
    </w:p>
    <w:p>
      <w:pPr>
        <w:spacing w:after="100"/>
      </w:pPr>
      <w:r>
        <w:rPr>
          <w:rFonts w:ascii="Arial" w:cs="Arial" w:eastAsia="Arial" w:hAnsi="Arial"/>
          <w:color w:val="1A1A2E"/>
          <w:sz w:val="19"/>
          <w:szCs w:val="19"/>
        </w:rPr>
        <w:t xml:space="preserve">A: A material in which quantum mechanical effects — such as entanglement, topology, and strong correlations — produce macroscopic properties that cannot be explained by classical physics. Examples include topological insulators, superconductors, and Weyl semimetals.</w:t>
      </w:r>
    </w:p>
    <w:p>
      <w:pPr>
        <w:spacing w:before="100" w:after="40"/>
      </w:pPr>
      <w:r>
        <w:rPr>
          <w:rFonts w:ascii="Arial" w:cs="Arial" w:eastAsia="Arial" w:hAnsi="Arial"/>
          <w:b/>
          <w:bCs/>
          <w:color w:val="1B3A5C"/>
          <w:sz w:val="20"/>
          <w:szCs w:val="20"/>
        </w:rPr>
        <w:t xml:space="preserve">Q: Why does topology matter for materials?</w:t>
      </w:r>
    </w:p>
    <w:p>
      <w:pPr>
        <w:spacing w:after="100"/>
      </w:pPr>
      <w:r>
        <w:rPr>
          <w:rFonts w:ascii="Arial" w:cs="Arial" w:eastAsia="Arial" w:hAnsi="Arial"/>
          <w:color w:val="1A1A2E"/>
          <w:sz w:val="19"/>
          <w:szCs w:val="19"/>
        </w:rPr>
        <w:t xml:space="preserve">A: Topological invariants are quantized numbers robust against local perturbations. They determine whether a material hosts protected surface states, which have applications in electronics and quantum computing.</w:t>
      </w:r>
    </w:p>
    <w:p>
      <w:pPr>
        <w:spacing w:before="100" w:after="40"/>
      </w:pPr>
      <w:r>
        <w:rPr>
          <w:rFonts w:ascii="Arial" w:cs="Arial" w:eastAsia="Arial" w:hAnsi="Arial"/>
          <w:b/>
          <w:bCs/>
          <w:color w:val="1B3A5C"/>
          <w:sz w:val="20"/>
          <w:szCs w:val="20"/>
        </w:rPr>
        <w:t xml:space="preserve">Q: What is the difference between a quasiparticle and a fundamental particle?</w:t>
      </w:r>
    </w:p>
    <w:p>
      <w:pPr>
        <w:spacing w:after="100"/>
      </w:pPr>
      <w:r>
        <w:rPr>
          <w:rFonts w:ascii="Arial" w:cs="Arial" w:eastAsia="Arial" w:hAnsi="Arial"/>
          <w:color w:val="1A1A2E"/>
          <w:sz w:val="19"/>
          <w:szCs w:val="19"/>
        </w:rPr>
        <w:t xml:space="preserve">A: A quasiparticle is an emergent excitation of a many-body system (e.g., a phonon is a quantized lattice vibration). Its properties depend on its host material, unlike fundamental particles whose properties are intrinsic.</w:t>
      </w:r>
    </w:p>
    <w:p>
      <w:r>
        <w:br w:type="page"/>
      </w:r>
    </w:p>
    <w:p>
      <w:pPr>
        <w:pStyle w:val="Heading1"/>
        <w:spacing w:before="360" w:after="120"/>
      </w:pPr>
      <w:r>
        <w:rPr>
          <w:rFonts w:ascii="Arial" w:cs="Arial" w:eastAsia="Arial" w:hAnsi="Arial"/>
          <w:b/>
          <w:bCs/>
          <w:color w:val="1B3A5C"/>
          <w:sz w:val="28"/>
          <w:szCs w:val="28"/>
        </w:rPr>
        <w:t xml:space="preserve">MODULE 2: Majorana Verification Crisis</w:t>
      </w:r>
    </w:p>
    <w:p>
      <w:pPr>
        <w:pBdr>
          <w:left w:val="single" w:color="2E7D32" w:sz="12" w:space="4"/>
        </w:pBdr>
        <w:shd w:fill="E8F5E9" w:val="clear"/>
        <w:spacing w:after="120"/>
      </w:pPr>
      <w:r>
        <w:rPr>
          <w:rFonts w:ascii="Arial" w:cs="Arial" w:eastAsia="Arial" w:hAnsi="Arial"/>
          <w:b/>
          <w:bCs/>
          <w:color w:val="2E7D32"/>
          <w:sz w:val="20"/>
          <w:szCs w:val="20"/>
        </w:rPr>
        <w:t xml:space="preserve">Status: [GROUNDED]</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Description</w:t>
      </w:r>
    </w:p>
    <w:p>
      <w:pPr>
        <w:spacing w:after="120"/>
      </w:pPr>
      <w:r>
        <w:rPr>
          <w:rFonts w:ascii="Arial" w:cs="Arial" w:eastAsia="Arial" w:hAnsi="Arial"/>
          <w:color w:val="1A1A2E"/>
          <w:sz w:val="20"/>
          <w:szCs w:val="20"/>
        </w:rPr>
        <w:t xml:space="preserve">The core applied research problem. The inability to distinguish true Majorana Zero Modes from trivial Andreev Bound States has stalled topological quantum computing. This module frames the verification crisis and grounds the MajoranaSystem proposal in real literature.</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 (Reputable Sources)</w:t>
      </w:r>
    </w:p>
    <w:p>
      <w:pPr>
        <w:pStyle w:val="ListParagraph"/>
        <w:numPr>
          <w:ilvl w:val="0"/>
          <w:numId w:val="2"/>
        </w:numPr>
        <w:spacing w:after="80"/>
      </w:pPr>
      <w:r>
        <w:rPr>
          <w:rFonts w:ascii="Arial" w:cs="Arial" w:eastAsia="Arial" w:hAnsi="Arial"/>
          <w:color w:val="1A1A2E"/>
          <w:sz w:val="20"/>
          <w:szCs w:val="20"/>
        </w:rPr>
        <w:t xml:space="preserve">Frolov, S. (2021). Quantum computing's reproducibility crisis: Majorana fermions. Nature.</w:t>
      </w:r>
    </w:p>
    <w:p>
      <w:pPr>
        <w:pStyle w:val="ListParagraph"/>
        <w:numPr>
          <w:ilvl w:val="0"/>
          <w:numId w:val="2"/>
        </w:numPr>
        <w:spacing w:after="80"/>
      </w:pPr>
      <w:r>
        <w:rPr>
          <w:rFonts w:ascii="Arial" w:cs="Arial" w:eastAsia="Arial" w:hAnsi="Arial"/>
          <w:color w:val="1A1A2E"/>
          <w:sz w:val="20"/>
          <w:szCs w:val="20"/>
        </w:rPr>
        <w:t xml:space="preserve">Mourik, V. et al. (2012). Signatures of Majorana Fermions in Hybrid Superconductor-Semiconductor Nanowire Devices. Science.</w:t>
      </w:r>
    </w:p>
    <w:p>
      <w:pPr>
        <w:pStyle w:val="ListParagraph"/>
        <w:numPr>
          <w:ilvl w:val="0"/>
          <w:numId w:val="2"/>
        </w:numPr>
        <w:spacing w:after="80"/>
      </w:pPr>
      <w:r>
        <w:rPr>
          <w:rFonts w:ascii="Arial" w:cs="Arial" w:eastAsia="Arial" w:hAnsi="Arial"/>
          <w:color w:val="1A1A2E"/>
          <w:sz w:val="20"/>
          <w:szCs w:val="20"/>
        </w:rPr>
        <w:t xml:space="preserve">Microsoft Quantum (2023). InAs-Al Heterostructure with a Majorana Gap. Nature. [Retracted — include as case study in verification failure]</w:t>
      </w:r>
    </w:p>
    <w:p>
      <w:pPr>
        <w:pStyle w:val="ListParagraph"/>
        <w:numPr>
          <w:ilvl w:val="0"/>
          <w:numId w:val="2"/>
        </w:numPr>
        <w:spacing w:after="80"/>
      </w:pPr>
      <w:r>
        <w:rPr>
          <w:rFonts w:ascii="Arial" w:cs="Arial" w:eastAsia="Arial" w:hAnsi="Arial"/>
          <w:color w:val="1A1A2E"/>
          <w:sz w:val="20"/>
          <w:szCs w:val="20"/>
        </w:rPr>
        <w:t xml:space="preserve">Kouwenhoven, L. et al. — ongoing work on topological qubit platforms.</w:t>
      </w:r>
    </w:p>
    <w:p>
      <w:pPr>
        <w:pStyle w:val="ListParagraph"/>
        <w:numPr>
          <w:ilvl w:val="0"/>
          <w:numId w:val="2"/>
        </w:numPr>
        <w:spacing w:after="80"/>
      </w:pPr>
      <w:r>
        <w:rPr>
          <w:rFonts w:ascii="Arial" w:cs="Arial" w:eastAsia="Arial" w:hAnsi="Arial"/>
          <w:color w:val="1A1A2E"/>
          <w:sz w:val="20"/>
          <w:szCs w:val="20"/>
        </w:rPr>
        <w:t xml:space="preserve">Aaronson, S. — writings on the verification problem in quantum computing.</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Pro Research Prompt</w:t>
      </w:r>
    </w:p>
    <w:p>
      <w:pPr>
        <w:pBdr>
          <w:left w:val="single" w:color="2A7F8A" w:sz="12" w:space="4"/>
        </w:pBdr>
        <w:shd w:fill="EAF2F5" w:val="clear"/>
        <w:spacing w:before="80" w:after="80"/>
      </w:pPr>
      <w:r>
        <w:rPr>
          <w:rFonts w:ascii="Arial" w:cs="Arial" w:eastAsia="Arial" w:hAnsi="Arial"/>
          <w:i/>
          <w:iCs/>
          <w:color w:val="4A6274"/>
          <w:sz w:val="18"/>
          <w:szCs w:val="18"/>
        </w:rPr>
        <w:t xml:space="preserve">Search peer-reviewed literature for experimental and theoretical work on distinguishing Majorana Zero Modes from Andreev Bound States. Focus on: (1) what makes ZBP signatures ambiguous, (2) proposed multi-modal verification protocols, (3) formal verification approaches for quantum hardware. Cite only sources from Physical Review, Science, Nature family journals, and arXiv with institutional affiliation.</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Module FAQs</w:t>
      </w:r>
    </w:p>
    <w:p>
      <w:pPr>
        <w:spacing w:before="100" w:after="40"/>
      </w:pPr>
      <w:r>
        <w:rPr>
          <w:rFonts w:ascii="Arial" w:cs="Arial" w:eastAsia="Arial" w:hAnsi="Arial"/>
          <w:b/>
          <w:bCs/>
          <w:color w:val="1B3A5C"/>
          <w:sz w:val="20"/>
          <w:szCs w:val="20"/>
        </w:rPr>
        <w:t xml:space="preserve">Q: What is the verification crisis?</w:t>
      </w:r>
    </w:p>
    <w:p>
      <w:pPr>
        <w:spacing w:after="100"/>
      </w:pPr>
      <w:r>
        <w:rPr>
          <w:rFonts w:ascii="Arial" w:cs="Arial" w:eastAsia="Arial" w:hAnsi="Arial"/>
          <w:color w:val="1A1A2E"/>
          <w:sz w:val="19"/>
          <w:szCs w:val="19"/>
        </w:rPr>
        <w:t xml:space="preserve">A: Experimental signatures of Majorana Zero Modes — particularly Zero-Bias Conductance Peaks — can be mimicked by trivial Andreev Bound States. This makes it impossible to confirm topological protection through observation alone.</w:t>
      </w:r>
    </w:p>
    <w:p>
      <w:pPr>
        <w:spacing w:before="100" w:after="40"/>
      </w:pPr>
      <w:r>
        <w:rPr>
          <w:rFonts w:ascii="Arial" w:cs="Arial" w:eastAsia="Arial" w:hAnsi="Arial"/>
          <w:b/>
          <w:bCs/>
          <w:color w:val="1B3A5C"/>
          <w:sz w:val="20"/>
          <w:szCs w:val="20"/>
        </w:rPr>
        <w:t xml:space="preserve">Q: Why did Microsoft retract their 2023 paper?</w:t>
      </w:r>
    </w:p>
    <w:p>
      <w:pPr>
        <w:spacing w:after="100"/>
      </w:pPr>
      <w:r>
        <w:rPr>
          <w:rFonts w:ascii="Arial" w:cs="Arial" w:eastAsia="Arial" w:hAnsi="Arial"/>
          <w:color w:val="1A1A2E"/>
          <w:sz w:val="19"/>
          <w:szCs w:val="19"/>
        </w:rPr>
        <w:t xml:space="preserve">A: The paper claimed evidence for a topological gap in InAs-Al heterostructures, but independent analysis found the data was consistent with trivial explanations. It became a landmark case study in the verification problem.</w:t>
      </w:r>
    </w:p>
    <w:p>
      <w:pPr>
        <w:spacing w:before="100" w:after="40"/>
      </w:pPr>
      <w:r>
        <w:rPr>
          <w:rFonts w:ascii="Arial" w:cs="Arial" w:eastAsia="Arial" w:hAnsi="Arial"/>
          <w:b/>
          <w:bCs/>
          <w:color w:val="1B3A5C"/>
          <w:sz w:val="20"/>
          <w:szCs w:val="20"/>
        </w:rPr>
        <w:t xml:space="preserve">Q: What is formal verification and can it apply here?</w:t>
      </w:r>
    </w:p>
    <w:p>
      <w:pPr>
        <w:spacing w:after="100"/>
      </w:pPr>
      <w:r>
        <w:rPr>
          <w:rFonts w:ascii="Arial" w:cs="Arial" w:eastAsia="Arial" w:hAnsi="Arial"/>
          <w:color w:val="1A1A2E"/>
          <w:sz w:val="19"/>
          <w:szCs w:val="19"/>
        </w:rPr>
        <w:t xml:space="preserve">A: Formal verification uses mathematical proof to guarantee system properties. Applying it to quantum hardware means proving — before fabrication — that a device's Hamiltonian inhabits a topologically non-trivial phase. This is the core proposal of the MajoranaSystem framework.</w:t>
      </w:r>
    </w:p>
    <w:p>
      <w:r>
        <w:br w:type="page"/>
      </w:r>
    </w:p>
    <w:p>
      <w:pPr>
        <w:pStyle w:val="Heading1"/>
        <w:spacing w:before="360" w:after="120"/>
      </w:pPr>
      <w:r>
        <w:rPr>
          <w:rFonts w:ascii="Arial" w:cs="Arial" w:eastAsia="Arial" w:hAnsi="Arial"/>
          <w:b/>
          <w:bCs/>
          <w:color w:val="1B3A5C"/>
          <w:sz w:val="28"/>
          <w:szCs w:val="28"/>
        </w:rPr>
        <w:t xml:space="preserve">MODULE 3: Digital Twin to Digital Triplet</w:t>
      </w:r>
    </w:p>
    <w:p>
      <w:pPr>
        <w:pBdr>
          <w:left w:val="single" w:color="E65100" w:sz="12" w:space="4"/>
        </w:pBdr>
        <w:shd w:fill="FFF3E0" w:val="clear"/>
        <w:spacing w:after="120"/>
      </w:pPr>
      <w:r>
        <w:rPr>
          <w:rFonts w:ascii="Arial" w:cs="Arial" w:eastAsia="Arial" w:hAnsi="Arial"/>
          <w:b/>
          <w:bCs/>
          <w:color w:val="E65100"/>
          <w:sz w:val="20"/>
          <w:szCs w:val="20"/>
        </w:rPr>
        <w:t xml:space="preserve">Status: [BRIDGE]</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Description</w:t>
      </w:r>
    </w:p>
    <w:p>
      <w:pPr>
        <w:spacing w:after="120"/>
      </w:pPr>
      <w:r>
        <w:rPr>
          <w:rFonts w:ascii="Arial" w:cs="Arial" w:eastAsia="Arial" w:hAnsi="Arial"/>
          <w:color w:val="1A1A2E"/>
          <w:sz w:val="20"/>
          <w:szCs w:val="20"/>
        </w:rPr>
        <w:t xml:space="preserve">Grounds the Digital Triplet concept in real Industry 4.0/5.0 literature before extending it speculatively. The triplet adds human cognition as a governed computational node — a real trajectory in industrial AI research.</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 (Reputable Sources)</w:t>
      </w:r>
    </w:p>
    <w:p>
      <w:pPr>
        <w:pStyle w:val="ListParagraph"/>
        <w:numPr>
          <w:ilvl w:val="0"/>
          <w:numId w:val="2"/>
        </w:numPr>
        <w:spacing w:after="80"/>
      </w:pPr>
      <w:r>
        <w:rPr>
          <w:rFonts w:ascii="Arial" w:cs="Arial" w:eastAsia="Arial" w:hAnsi="Arial"/>
          <w:color w:val="1A1A2E"/>
          <w:sz w:val="20"/>
          <w:szCs w:val="20"/>
        </w:rPr>
        <w:t xml:space="preserve">Grieves, M. &amp; Vickers, J. (2017). Digital Twin: Mitigating Unpredictable, Undesirable Emergent Behavior in Complex Systems. Springer.</w:t>
      </w:r>
    </w:p>
    <w:p>
      <w:pPr>
        <w:pStyle w:val="ListParagraph"/>
        <w:numPr>
          <w:ilvl w:val="0"/>
          <w:numId w:val="2"/>
        </w:numPr>
        <w:spacing w:after="80"/>
      </w:pPr>
      <w:r>
        <w:rPr>
          <w:rFonts w:ascii="Arial" w:cs="Arial" w:eastAsia="Arial" w:hAnsi="Arial"/>
          <w:color w:val="1A1A2E"/>
          <w:sz w:val="20"/>
          <w:szCs w:val="20"/>
        </w:rPr>
        <w:t xml:space="preserve">European Commission (2021). Industry 5.0: Towards a Sustainable, Human-Centric and Resilient European Industry. EC Report.</w:t>
      </w:r>
    </w:p>
    <w:p>
      <w:pPr>
        <w:pStyle w:val="ListParagraph"/>
        <w:numPr>
          <w:ilvl w:val="0"/>
          <w:numId w:val="2"/>
        </w:numPr>
        <w:spacing w:after="80"/>
      </w:pPr>
      <w:r>
        <w:rPr>
          <w:rFonts w:ascii="Arial" w:cs="Arial" w:eastAsia="Arial" w:hAnsi="Arial"/>
          <w:color w:val="1A1A2E"/>
          <w:sz w:val="20"/>
          <w:szCs w:val="20"/>
        </w:rPr>
        <w:t xml:space="preserve">Tao, F. et al. (2019). Digital Twins and Cyber-Physical Systems toward Smart Manufacturing. Engineering.</w:t>
      </w:r>
    </w:p>
    <w:p>
      <w:pPr>
        <w:pStyle w:val="ListParagraph"/>
        <w:numPr>
          <w:ilvl w:val="0"/>
          <w:numId w:val="2"/>
        </w:numPr>
        <w:spacing w:after="80"/>
      </w:pPr>
      <w:r>
        <w:rPr>
          <w:rFonts w:ascii="Arial" w:cs="Arial" w:eastAsia="Arial" w:hAnsi="Arial"/>
          <w:color w:val="1A1A2E"/>
          <w:sz w:val="20"/>
          <w:szCs w:val="20"/>
        </w:rPr>
        <w:t xml:space="preserve">Madni, A.M. et al. (2019). Leveraging Digital Twin Technology in Model-Based Systems Engineering. Systems.</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Pro Research Prompt</w:t>
      </w:r>
    </w:p>
    <w:p>
      <w:pPr>
        <w:pBdr>
          <w:left w:val="single" w:color="2A7F8A" w:sz="12" w:space="4"/>
        </w:pBdr>
        <w:shd w:fill="EAF2F5" w:val="clear"/>
        <w:spacing w:before="80" w:after="80"/>
      </w:pPr>
      <w:r>
        <w:rPr>
          <w:rFonts w:ascii="Arial" w:cs="Arial" w:eastAsia="Arial" w:hAnsi="Arial"/>
          <w:i/>
          <w:iCs/>
          <w:color w:val="4A6274"/>
          <w:sz w:val="18"/>
          <w:szCs w:val="18"/>
        </w:rPr>
        <w:t xml:space="preserve">Search for peer-reviewed literature on digital twin architecture in Industry 4.0 and Industry 5.0 contexts. Specifically: (1) what is the current state of human-in-the-loop digital twin systems, (2) what governance frameworks exist for multi-agent AI in industrial systems, (3) what are the known limitations of current digital twin verification methods. Use only sources from IEEE, ACM, Springer, and government/EU policy documents.</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Module FAQs</w:t>
      </w:r>
    </w:p>
    <w:p>
      <w:pPr>
        <w:spacing w:before="100" w:after="40"/>
      </w:pPr>
      <w:r>
        <w:rPr>
          <w:rFonts w:ascii="Arial" w:cs="Arial" w:eastAsia="Arial" w:hAnsi="Arial"/>
          <w:b/>
          <w:bCs/>
          <w:color w:val="1B3A5C"/>
          <w:sz w:val="20"/>
          <w:szCs w:val="20"/>
        </w:rPr>
        <w:t xml:space="preserve">Q: What is a Digital Twin?</w:t>
      </w:r>
    </w:p>
    <w:p>
      <w:pPr>
        <w:spacing w:after="100"/>
      </w:pPr>
      <w:r>
        <w:rPr>
          <w:rFonts w:ascii="Arial" w:cs="Arial" w:eastAsia="Arial" w:hAnsi="Arial"/>
          <w:color w:val="1A1A2E"/>
          <w:sz w:val="19"/>
          <w:szCs w:val="19"/>
        </w:rPr>
        <w:t xml:space="preserve">A: A real-time virtual replica of a physical system that ingests sensor data and enables simulation, monitoring, and control. Originated in aerospace and manufacturing.</w:t>
      </w:r>
    </w:p>
    <w:p>
      <w:pPr>
        <w:spacing w:before="100" w:after="40"/>
      </w:pPr>
      <w:r>
        <w:rPr>
          <w:rFonts w:ascii="Arial" w:cs="Arial" w:eastAsia="Arial" w:hAnsi="Arial"/>
          <w:b/>
          <w:bCs/>
          <w:color w:val="1B3A5C"/>
          <w:sz w:val="20"/>
          <w:szCs w:val="20"/>
        </w:rPr>
        <w:t xml:space="preserve">Q: What makes the Digital Triplet different?</w:t>
      </w:r>
    </w:p>
    <w:p>
      <w:pPr>
        <w:spacing w:after="100"/>
      </w:pPr>
      <w:r>
        <w:rPr>
          <w:rFonts w:ascii="Arial" w:cs="Arial" w:eastAsia="Arial" w:hAnsi="Arial"/>
          <w:color w:val="1A1A2E"/>
          <w:sz w:val="19"/>
          <w:szCs w:val="19"/>
        </w:rPr>
        <w:t xml:space="preserve">A: It adds a third node — the Logical Layer — that formally verifies system states before physical action. Human cognitive intent is modeled as a verifiable computational state rather than just a user interface concern.</w:t>
      </w:r>
    </w:p>
    <w:p>
      <w:pPr>
        <w:spacing w:before="100" w:after="40"/>
      </w:pPr>
      <w:r>
        <w:rPr>
          <w:rFonts w:ascii="Arial" w:cs="Arial" w:eastAsia="Arial" w:hAnsi="Arial"/>
          <w:b/>
          <w:bCs/>
          <w:color w:val="1B3A5C"/>
          <w:sz w:val="20"/>
          <w:szCs w:val="20"/>
        </w:rPr>
        <w:t xml:space="preserve">Q: Is the Digital Triplet currently implemented anywhere?</w:t>
      </w:r>
    </w:p>
    <w:p>
      <w:pPr>
        <w:spacing w:after="100"/>
      </w:pPr>
      <w:r>
        <w:rPr>
          <w:rFonts w:ascii="Arial" w:cs="Arial" w:eastAsia="Arial" w:hAnsi="Arial"/>
          <w:color w:val="1A1A2E"/>
          <w:sz w:val="19"/>
          <w:szCs w:val="19"/>
        </w:rPr>
        <w:t xml:space="preserve">A: Not in the full form described. The concept is a synthesis of existing digital twin architecture and formal verification research. It is a [BRIDGE] concept — grounded components exist, the synthesis is proposed.</w:t>
      </w:r>
    </w:p>
    <w:p>
      <w:r>
        <w:br w:type="page"/>
      </w:r>
    </w:p>
    <w:p>
      <w:pPr>
        <w:pStyle w:val="Heading1"/>
        <w:spacing w:before="360" w:after="120"/>
      </w:pPr>
      <w:r>
        <w:rPr>
          <w:rFonts w:ascii="Arial" w:cs="Arial" w:eastAsia="Arial" w:hAnsi="Arial"/>
          <w:b/>
          <w:bCs/>
          <w:color w:val="1B3A5C"/>
          <w:sz w:val="28"/>
          <w:szCs w:val="28"/>
        </w:rPr>
        <w:t xml:space="preserve">MODULE 4: Geometric Algebra &amp; Topological Data Analysis</w:t>
      </w:r>
    </w:p>
    <w:p>
      <w:pPr>
        <w:pBdr>
          <w:left w:val="single" w:color="2E7D32" w:sz="12" w:space="4"/>
        </w:pBdr>
        <w:shd w:fill="E8F5E9" w:val="clear"/>
        <w:spacing w:after="120"/>
      </w:pPr>
      <w:r>
        <w:rPr>
          <w:rFonts w:ascii="Arial" w:cs="Arial" w:eastAsia="Arial" w:hAnsi="Arial"/>
          <w:b/>
          <w:bCs/>
          <w:color w:val="2E7D32"/>
          <w:sz w:val="20"/>
          <w:szCs w:val="20"/>
        </w:rPr>
        <w:t xml:space="preserve">Status: [GROUNDED]</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Description</w:t>
      </w:r>
    </w:p>
    <w:p>
      <w:pPr>
        <w:spacing w:after="120"/>
      </w:pPr>
      <w:r>
        <w:rPr>
          <w:rFonts w:ascii="Arial" w:cs="Arial" w:eastAsia="Arial" w:hAnsi="Arial"/>
          <w:color w:val="1A1A2E"/>
          <w:sz w:val="20"/>
          <w:szCs w:val="20"/>
        </w:rPr>
        <w:t xml:space="preserve">Mathematical foundations used across the research program. Both GA and TDA are real, active fields with extensive literature. This module provides the mathematical grounding for claims made in ATMS and the Digital Triplet.</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 (Reputable Sources)</w:t>
      </w:r>
    </w:p>
    <w:p>
      <w:pPr>
        <w:pStyle w:val="ListParagraph"/>
        <w:numPr>
          <w:ilvl w:val="0"/>
          <w:numId w:val="2"/>
        </w:numPr>
        <w:spacing w:after="80"/>
      </w:pPr>
      <w:r>
        <w:rPr>
          <w:rFonts w:ascii="Arial" w:cs="Arial" w:eastAsia="Arial" w:hAnsi="Arial"/>
          <w:color w:val="1A1A2E"/>
          <w:sz w:val="20"/>
          <w:szCs w:val="20"/>
        </w:rPr>
        <w:t xml:space="preserve">Hestenes, D. (1984). Clifford Algebra to Geometric Calculus. Reidel. [Foundational GA text]</w:t>
      </w:r>
    </w:p>
    <w:p>
      <w:pPr>
        <w:pStyle w:val="ListParagraph"/>
        <w:numPr>
          <w:ilvl w:val="0"/>
          <w:numId w:val="2"/>
        </w:numPr>
        <w:spacing w:after="80"/>
      </w:pPr>
      <w:r>
        <w:rPr>
          <w:rFonts w:ascii="Arial" w:cs="Arial" w:eastAsia="Arial" w:hAnsi="Arial"/>
          <w:color w:val="1A1A2E"/>
          <w:sz w:val="20"/>
          <w:szCs w:val="20"/>
        </w:rPr>
        <w:t xml:space="preserve">Carlsson, G. (2009). Topology and Data. Bulletin of the American Mathematical Society.</w:t>
      </w:r>
    </w:p>
    <w:p>
      <w:pPr>
        <w:pStyle w:val="ListParagraph"/>
        <w:numPr>
          <w:ilvl w:val="0"/>
          <w:numId w:val="2"/>
        </w:numPr>
        <w:spacing w:after="80"/>
      </w:pPr>
      <w:r>
        <w:rPr>
          <w:rFonts w:ascii="Arial" w:cs="Arial" w:eastAsia="Arial" w:hAnsi="Arial"/>
          <w:color w:val="1A1A2E"/>
          <w:sz w:val="20"/>
          <w:szCs w:val="20"/>
        </w:rPr>
        <w:t xml:space="preserve">Edelsbrunner, H. &amp; Harer, J. (2010). Computational Topology: An Introduction. AMS.</w:t>
      </w:r>
    </w:p>
    <w:p>
      <w:pPr>
        <w:pStyle w:val="ListParagraph"/>
        <w:numPr>
          <w:ilvl w:val="0"/>
          <w:numId w:val="2"/>
        </w:numPr>
        <w:spacing w:after="80"/>
      </w:pPr>
      <w:r>
        <w:rPr>
          <w:rFonts w:ascii="Arial" w:cs="Arial" w:eastAsia="Arial" w:hAnsi="Arial"/>
          <w:color w:val="1A1A2E"/>
          <w:sz w:val="20"/>
          <w:szCs w:val="20"/>
        </w:rPr>
        <w:t xml:space="preserve">Dorst, L. et al. (2007). Geometric Algebra for Computer Science. Elsevier.</w:t>
      </w:r>
    </w:p>
    <w:p>
      <w:pPr>
        <w:pStyle w:val="ListParagraph"/>
        <w:numPr>
          <w:ilvl w:val="0"/>
          <w:numId w:val="2"/>
        </w:numPr>
        <w:spacing w:after="80"/>
      </w:pPr>
      <w:r>
        <w:rPr>
          <w:rFonts w:ascii="Arial" w:cs="Arial" w:eastAsia="Arial" w:hAnsi="Arial"/>
          <w:color w:val="1A1A2E"/>
          <w:sz w:val="20"/>
          <w:szCs w:val="20"/>
        </w:rPr>
        <w:t xml:space="preserve">Ghrist, R. (2014). Elementary Applied Topology. CreateSpace.</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Pro Research Prompt</w:t>
      </w:r>
    </w:p>
    <w:p>
      <w:pPr>
        <w:pBdr>
          <w:left w:val="single" w:color="2A7F8A" w:sz="12" w:space="4"/>
        </w:pBdr>
        <w:shd w:fill="EAF2F5" w:val="clear"/>
        <w:spacing w:before="80" w:after="80"/>
      </w:pPr>
      <w:r>
        <w:rPr>
          <w:rFonts w:ascii="Arial" w:cs="Arial" w:eastAsia="Arial" w:hAnsi="Arial"/>
          <w:i/>
          <w:iCs/>
          <w:color w:val="4A6274"/>
          <w:sz w:val="18"/>
          <w:szCs w:val="18"/>
        </w:rPr>
        <w:t xml:space="preserve">Search academic databases for applications of Geometric Algebra and Topological Data Analysis in physics, materials science, and engineering. Focus on: (1) where GA has been applied to represent physical states in condensed matter systems, (2) where TDA/persistent homology has been applied to materials characterization, (3) any existing literature connecting these mathematical tools to quantum hardware design.</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Module FAQs</w:t>
      </w:r>
    </w:p>
    <w:p>
      <w:pPr>
        <w:spacing w:before="100" w:after="40"/>
      </w:pPr>
      <w:r>
        <w:rPr>
          <w:rFonts w:ascii="Arial" w:cs="Arial" w:eastAsia="Arial" w:hAnsi="Arial"/>
          <w:b/>
          <w:bCs/>
          <w:color w:val="1B3A5C"/>
          <w:sz w:val="20"/>
          <w:szCs w:val="20"/>
        </w:rPr>
        <w:t xml:space="preserve">Q: What is Geometric Algebra?</w:t>
      </w:r>
    </w:p>
    <w:p>
      <w:pPr>
        <w:spacing w:after="100"/>
      </w:pPr>
      <w:r>
        <w:rPr>
          <w:rFonts w:ascii="Arial" w:cs="Arial" w:eastAsia="Arial" w:hAnsi="Arial"/>
          <w:color w:val="1A1A2E"/>
          <w:sz w:val="19"/>
          <w:szCs w:val="19"/>
        </w:rPr>
        <w:t xml:space="preserve">A: A mathematical framework that extends linear algebra using Clifford algebras. It provides a coordinate-free language for representing rotations, reflections, and geometric relationships. Widely used in physics and robotics.</w:t>
      </w:r>
    </w:p>
    <w:p>
      <w:pPr>
        <w:spacing w:before="100" w:after="40"/>
      </w:pPr>
      <w:r>
        <w:rPr>
          <w:rFonts w:ascii="Arial" w:cs="Arial" w:eastAsia="Arial" w:hAnsi="Arial"/>
          <w:b/>
          <w:bCs/>
          <w:color w:val="1B3A5C"/>
          <w:sz w:val="20"/>
          <w:szCs w:val="20"/>
        </w:rPr>
        <w:t xml:space="preserve">Q: What is Topological Data Analysis?</w:t>
      </w:r>
    </w:p>
    <w:p>
      <w:pPr>
        <w:spacing w:after="100"/>
      </w:pPr>
      <w:r>
        <w:rPr>
          <w:rFonts w:ascii="Arial" w:cs="Arial" w:eastAsia="Arial" w:hAnsi="Arial"/>
          <w:color w:val="1A1A2E"/>
          <w:sz w:val="19"/>
          <w:szCs w:val="19"/>
        </w:rPr>
        <w:t xml:space="preserve">A: A branch of applied mathematics that uses topological methods — particularly persistent homology — to find robust structural features in data. It identifies clusters, loops, and voids that persist across scales.</w:t>
      </w:r>
    </w:p>
    <w:p>
      <w:pPr>
        <w:spacing w:before="100" w:after="40"/>
      </w:pPr>
      <w:r>
        <w:rPr>
          <w:rFonts w:ascii="Arial" w:cs="Arial" w:eastAsia="Arial" w:hAnsi="Arial"/>
          <w:b/>
          <w:bCs/>
          <w:color w:val="1B3A5C"/>
          <w:sz w:val="20"/>
          <w:szCs w:val="20"/>
        </w:rPr>
        <w:t xml:space="preserve">Q: Are these tools currently used in quantum materials research?</w:t>
      </w:r>
    </w:p>
    <w:p>
      <w:pPr>
        <w:spacing w:after="100"/>
      </w:pPr>
      <w:r>
        <w:rPr>
          <w:rFonts w:ascii="Arial" w:cs="Arial" w:eastAsia="Arial" w:hAnsi="Arial"/>
          <w:color w:val="1A1A2E"/>
          <w:sz w:val="19"/>
          <w:szCs w:val="19"/>
        </w:rPr>
        <w:t xml:space="preserve">A: GA is used in theoretical physics. TDA is increasingly applied to materials science for characterizing crystal structures and phase transitions. Direct application to quantum hardware verification is a [BRIDGE] area.</w:t>
      </w:r>
    </w:p>
    <w:p>
      <w:r>
        <w:br w:type="page"/>
      </w:r>
    </w:p>
    <w:p>
      <w:pPr>
        <w:pStyle w:val="Heading1"/>
        <w:spacing w:before="360" w:after="120"/>
      </w:pPr>
      <w:r>
        <w:rPr>
          <w:rFonts w:ascii="Arial" w:cs="Arial" w:eastAsia="Arial" w:hAnsi="Arial"/>
          <w:b/>
          <w:bCs/>
          <w:color w:val="1B3A5C"/>
          <w:sz w:val="28"/>
          <w:szCs w:val="28"/>
        </w:rPr>
        <w:t xml:space="preserve">MODULE 5: ATMS &amp; Floquet Engineering</w:t>
      </w:r>
    </w:p>
    <w:p>
      <w:pPr>
        <w:pBdr>
          <w:left w:val="single" w:color="E65100" w:sz="12" w:space="4"/>
        </w:pBdr>
        <w:shd w:fill="FFF3E0" w:val="clear"/>
        <w:spacing w:after="120"/>
      </w:pPr>
      <w:r>
        <w:rPr>
          <w:rFonts w:ascii="Arial" w:cs="Arial" w:eastAsia="Arial" w:hAnsi="Arial"/>
          <w:b/>
          <w:bCs/>
          <w:color w:val="E65100"/>
          <w:sz w:val="20"/>
          <w:szCs w:val="20"/>
        </w:rPr>
        <w:t xml:space="preserve">Status: [BRIDGE]</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Description</w:t>
      </w:r>
    </w:p>
    <w:p>
      <w:pPr>
        <w:spacing w:after="120"/>
      </w:pPr>
      <w:r>
        <w:rPr>
          <w:rFonts w:ascii="Arial" w:cs="Arial" w:eastAsia="Arial" w:hAnsi="Arial"/>
          <w:color w:val="1A1A2E"/>
          <w:sz w:val="20"/>
          <w:szCs w:val="20"/>
        </w:rPr>
        <w:t xml:space="preserve">Animate Topological Material Science grounds its 'active kernel' concept in real Floquet engineering literature, then extends speculatively to programmable matter. Module 5A is grounded; 5B is speculative.</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 (Reputable Sources)</w:t>
      </w:r>
    </w:p>
    <w:p>
      <w:pPr>
        <w:pStyle w:val="ListParagraph"/>
        <w:numPr>
          <w:ilvl w:val="0"/>
          <w:numId w:val="2"/>
        </w:numPr>
        <w:spacing w:after="80"/>
      </w:pPr>
      <w:r>
        <w:rPr>
          <w:rFonts w:ascii="Arial" w:cs="Arial" w:eastAsia="Arial" w:hAnsi="Arial"/>
          <w:color w:val="1A1A2E"/>
          <w:sz w:val="20"/>
          <w:szCs w:val="20"/>
        </w:rPr>
        <w:t xml:space="preserve">Oka, T. &amp; Aoki, H. (2009). Photovoltaic Hall effect in graphene. Physical Review B. [First Floquet TI proposal]</w:t>
      </w:r>
    </w:p>
    <w:p>
      <w:pPr>
        <w:pStyle w:val="ListParagraph"/>
        <w:numPr>
          <w:ilvl w:val="0"/>
          <w:numId w:val="2"/>
        </w:numPr>
        <w:spacing w:after="80"/>
      </w:pPr>
      <w:r>
        <w:rPr>
          <w:rFonts w:ascii="Arial" w:cs="Arial" w:eastAsia="Arial" w:hAnsi="Arial"/>
          <w:color w:val="1A1A2E"/>
          <w:sz w:val="20"/>
          <w:szCs w:val="20"/>
        </w:rPr>
        <w:t xml:space="preserve">Bukov, M. et al. (2015). Universal High-Frequency Behavior of Periodically Driven Systems. Advances in Physics.</w:t>
      </w:r>
    </w:p>
    <w:p>
      <w:pPr>
        <w:pStyle w:val="ListParagraph"/>
        <w:numPr>
          <w:ilvl w:val="0"/>
          <w:numId w:val="2"/>
        </w:numPr>
        <w:spacing w:after="80"/>
      </w:pPr>
      <w:r>
        <w:rPr>
          <w:rFonts w:ascii="Arial" w:cs="Arial" w:eastAsia="Arial" w:hAnsi="Arial"/>
          <w:color w:val="1A1A2E"/>
          <w:sz w:val="20"/>
          <w:szCs w:val="20"/>
        </w:rPr>
        <w:t xml:space="preserve">Rudner, M.S. &amp; Lindner, N.H. (2020). Band structure engineering and non-equilibrium dynamics in Floquet topological insulators. Nature Reviews Physics.</w:t>
      </w:r>
    </w:p>
    <w:p>
      <w:pPr>
        <w:pStyle w:val="ListParagraph"/>
        <w:numPr>
          <w:ilvl w:val="0"/>
          <w:numId w:val="2"/>
        </w:numPr>
        <w:spacing w:after="80"/>
      </w:pPr>
      <w:r>
        <w:rPr>
          <w:rFonts w:ascii="Arial" w:cs="Arial" w:eastAsia="Arial" w:hAnsi="Arial"/>
          <w:color w:val="1A1A2E"/>
          <w:sz w:val="20"/>
          <w:szCs w:val="20"/>
        </w:rPr>
        <w:t xml:space="preserve">Weitenberg, C. &amp; Simonet, J. (2021). Tailoring quantum gases by Floquet engineering. Nature Physics.</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Pro Research Prompt</w:t>
      </w:r>
    </w:p>
    <w:p>
      <w:pPr>
        <w:pBdr>
          <w:left w:val="single" w:color="2A7F8A" w:sz="12" w:space="4"/>
        </w:pBdr>
        <w:shd w:fill="EAF2F5" w:val="clear"/>
        <w:spacing w:before="80" w:after="80"/>
      </w:pPr>
      <w:r>
        <w:rPr>
          <w:rFonts w:ascii="Arial" w:cs="Arial" w:eastAsia="Arial" w:hAnsi="Arial"/>
          <w:i/>
          <w:iCs/>
          <w:color w:val="4A6274"/>
          <w:sz w:val="18"/>
          <w:szCs w:val="18"/>
        </w:rPr>
        <w:t xml:space="preserve">Search for peer-reviewed literature on Floquet engineering in quantum materials. Focus on: (1) how periodic driving modifies topological properties of materials, (2) the 'heating problem' and prethermalization, (3) experimental demonstrations of Floquet-induced topological phase transitions. Use only sources from Physical Review, Nature family, and major physics journals.</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Module FAQs</w:t>
      </w:r>
    </w:p>
    <w:p>
      <w:pPr>
        <w:spacing w:before="100" w:after="40"/>
      </w:pPr>
      <w:r>
        <w:rPr>
          <w:rFonts w:ascii="Arial" w:cs="Arial" w:eastAsia="Arial" w:hAnsi="Arial"/>
          <w:b/>
          <w:bCs/>
          <w:color w:val="1B3A5C"/>
          <w:sz w:val="20"/>
          <w:szCs w:val="20"/>
        </w:rPr>
        <w:t xml:space="preserve">Q: What is Floquet engineering?</w:t>
      </w:r>
    </w:p>
    <w:p>
      <w:pPr>
        <w:spacing w:after="100"/>
      </w:pPr>
      <w:r>
        <w:rPr>
          <w:rFonts w:ascii="Arial" w:cs="Arial" w:eastAsia="Arial" w:hAnsi="Arial"/>
          <w:color w:val="1A1A2E"/>
          <w:sz w:val="19"/>
          <w:szCs w:val="19"/>
        </w:rPr>
        <w:t xml:space="preserve">A: The use of periodic external drives — typically laser pulses — to dynamically modify a material's effective Hamiltonian. It can induce topological phases that don't exist in the undriven system.</w:t>
      </w:r>
    </w:p>
    <w:p>
      <w:pPr>
        <w:spacing w:before="100" w:after="40"/>
      </w:pPr>
      <w:r>
        <w:rPr>
          <w:rFonts w:ascii="Arial" w:cs="Arial" w:eastAsia="Arial" w:hAnsi="Arial"/>
          <w:b/>
          <w:bCs/>
          <w:color w:val="1B3A5C"/>
          <w:sz w:val="20"/>
          <w:szCs w:val="20"/>
        </w:rPr>
        <w:t xml:space="preserve">Q: What is the heating problem?</w:t>
      </w:r>
    </w:p>
    <w:p>
      <w:pPr>
        <w:spacing w:after="100"/>
      </w:pPr>
      <w:r>
        <w:rPr>
          <w:rFonts w:ascii="Arial" w:cs="Arial" w:eastAsia="Arial" w:hAnsi="Arial"/>
          <w:color w:val="1A1A2E"/>
          <w:sz w:val="19"/>
          <w:szCs w:val="19"/>
        </w:rPr>
        <w:t xml:space="preserve">A: Driven systems absorb energy from the periodic drive and eventually heat to infinite temperature, destroying quantum coherence. Prethermalization provides a window of stability before this occurs.</w:t>
      </w:r>
    </w:p>
    <w:p>
      <w:pPr>
        <w:spacing w:before="100" w:after="40"/>
      </w:pPr>
      <w:r>
        <w:rPr>
          <w:rFonts w:ascii="Arial" w:cs="Arial" w:eastAsia="Arial" w:hAnsi="Arial"/>
          <w:b/>
          <w:bCs/>
          <w:color w:val="1B3A5C"/>
          <w:sz w:val="20"/>
          <w:szCs w:val="20"/>
        </w:rPr>
        <w:t xml:space="preserve">Q: How does ATMS extend Floquet engineering?</w:t>
      </w:r>
    </w:p>
    <w:p>
      <w:pPr>
        <w:spacing w:after="100"/>
      </w:pPr>
      <w:r>
        <w:rPr>
          <w:rFonts w:ascii="Arial" w:cs="Arial" w:eastAsia="Arial" w:hAnsi="Arial"/>
          <w:color w:val="1A1A2E"/>
          <w:sz w:val="19"/>
          <w:szCs w:val="19"/>
        </w:rPr>
        <w:t xml:space="preserve">A: ATMS proposes using AI-controlled Floquet drives to maintain materials in desired topological states in real-time. This is a [BRIDGE] concept — Floquet engineering is real, AI-controlled adaptive driving at this precision is proposed.</w:t>
      </w:r>
    </w:p>
    <w:p>
      <w:r>
        <w:br w:type="page"/>
      </w:r>
    </w:p>
    <w:p>
      <w:pPr>
        <w:pStyle w:val="Heading1"/>
        <w:spacing w:before="360" w:after="120"/>
      </w:pPr>
      <w:r>
        <w:rPr>
          <w:rFonts w:ascii="Arial" w:cs="Arial" w:eastAsia="Arial" w:hAnsi="Arial"/>
          <w:b/>
          <w:bCs/>
          <w:color w:val="1B3A5C"/>
          <w:sz w:val="28"/>
          <w:szCs w:val="28"/>
        </w:rPr>
        <w:t xml:space="preserve">MODULE 6: Quantum Classification Framework</w:t>
      </w:r>
    </w:p>
    <w:p>
      <w:pPr>
        <w:pBdr>
          <w:left w:val="single" w:color="E65100" w:sz="12" w:space="4"/>
        </w:pBdr>
        <w:shd w:fill="FFF3E0" w:val="clear"/>
        <w:spacing w:after="120"/>
      </w:pPr>
      <w:r>
        <w:rPr>
          <w:rFonts w:ascii="Arial" w:cs="Arial" w:eastAsia="Arial" w:hAnsi="Arial"/>
          <w:b/>
          <w:bCs/>
          <w:color w:val="E65100"/>
          <w:sz w:val="20"/>
          <w:szCs w:val="20"/>
        </w:rPr>
        <w:t xml:space="preserve">Status: [BRIDGE]</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Description</w:t>
      </w:r>
    </w:p>
    <w:p>
      <w:pPr>
        <w:spacing w:after="120"/>
      </w:pPr>
      <w:r>
        <w:rPr>
          <w:rFonts w:ascii="Arial" w:cs="Arial" w:eastAsia="Arial" w:hAnsi="Arial"/>
          <w:color w:val="1A1A2E"/>
          <w:sz w:val="20"/>
          <w:szCs w:val="20"/>
        </w:rPr>
        <w:t xml:space="preserve">The proposed periodic table for quantum matter. Grounded in the Ten-Fold Way classification of topological phases, extended speculatively to a broader taxonomy. The grounded core is solid; the full unified table is a research proposal.</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 (Reputable Sources)</w:t>
      </w:r>
    </w:p>
    <w:p>
      <w:pPr>
        <w:pStyle w:val="ListParagraph"/>
        <w:numPr>
          <w:ilvl w:val="0"/>
          <w:numId w:val="2"/>
        </w:numPr>
        <w:spacing w:after="80"/>
      </w:pPr>
      <w:r>
        <w:rPr>
          <w:rFonts w:ascii="Arial" w:cs="Arial" w:eastAsia="Arial" w:hAnsi="Arial"/>
          <w:color w:val="1A1A2E"/>
          <w:sz w:val="20"/>
          <w:szCs w:val="20"/>
        </w:rPr>
        <w:t xml:space="preserve">Schnyder, A.P. et al. (2008). Classification of topological insulators and superconductors. Physical Review B. [Ten-Fold Way paper]</w:t>
      </w:r>
    </w:p>
    <w:p>
      <w:pPr>
        <w:pStyle w:val="ListParagraph"/>
        <w:numPr>
          <w:ilvl w:val="0"/>
          <w:numId w:val="2"/>
        </w:numPr>
        <w:spacing w:after="80"/>
      </w:pPr>
      <w:r>
        <w:rPr>
          <w:rFonts w:ascii="Arial" w:cs="Arial" w:eastAsia="Arial" w:hAnsi="Arial"/>
          <w:color w:val="1A1A2E"/>
          <w:sz w:val="20"/>
          <w:szCs w:val="20"/>
        </w:rPr>
        <w:t xml:space="preserve">Kitaev, A. (2009). Periodic table for topological insulators and superconductors. AIP Conference Proceedings.</w:t>
      </w:r>
    </w:p>
    <w:p>
      <w:pPr>
        <w:pStyle w:val="ListParagraph"/>
        <w:numPr>
          <w:ilvl w:val="0"/>
          <w:numId w:val="2"/>
        </w:numPr>
        <w:spacing w:after="80"/>
      </w:pPr>
      <w:r>
        <w:rPr>
          <w:rFonts w:ascii="Arial" w:cs="Arial" w:eastAsia="Arial" w:hAnsi="Arial"/>
          <w:color w:val="1A1A2E"/>
          <w:sz w:val="20"/>
          <w:szCs w:val="20"/>
        </w:rPr>
        <w:t xml:space="preserve">Chiu, C-K. et al. (2016). Classification of topological quantum matter with symmetries. Reviews of Modern Physics.</w:t>
      </w:r>
    </w:p>
    <w:p>
      <w:pPr>
        <w:pStyle w:val="ListParagraph"/>
        <w:numPr>
          <w:ilvl w:val="0"/>
          <w:numId w:val="2"/>
        </w:numPr>
        <w:spacing w:after="80"/>
      </w:pPr>
      <w:r>
        <w:rPr>
          <w:rFonts w:ascii="Arial" w:cs="Arial" w:eastAsia="Arial" w:hAnsi="Arial"/>
          <w:color w:val="1A1A2E"/>
          <w:sz w:val="20"/>
          <w:szCs w:val="20"/>
        </w:rPr>
        <w:t xml:space="preserve">Wen, X-G. (2017). Colloquium: Zoo of quantum-topological phases of matter. Reviews of Modern Physics.</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Pro Research Prompt</w:t>
      </w:r>
    </w:p>
    <w:p>
      <w:pPr>
        <w:pBdr>
          <w:left w:val="single" w:color="2A7F8A" w:sz="12" w:space="4"/>
        </w:pBdr>
        <w:shd w:fill="EAF2F5" w:val="clear"/>
        <w:spacing w:before="80" w:after="80"/>
      </w:pPr>
      <w:r>
        <w:rPr>
          <w:rFonts w:ascii="Arial" w:cs="Arial" w:eastAsia="Arial" w:hAnsi="Arial"/>
          <w:i/>
          <w:iCs/>
          <w:color w:val="4A6274"/>
          <w:sz w:val="18"/>
          <w:szCs w:val="18"/>
        </w:rPr>
        <w:t xml:space="preserve">Search for peer-reviewed literature on classification schemes for topological phases of matter. Focus on: (1) the Ten-Fold Way and its predictive successes, (2) extensions of topological classification to interacting systems, (3) existing proposals for unifying particle physics and condensed matter classification. Identify which aspects of a broader quantum classification table already exist in literature.</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Module FAQs</w:t>
      </w:r>
    </w:p>
    <w:p>
      <w:pPr>
        <w:spacing w:before="100" w:after="40"/>
      </w:pPr>
      <w:r>
        <w:rPr>
          <w:rFonts w:ascii="Arial" w:cs="Arial" w:eastAsia="Arial" w:hAnsi="Arial"/>
          <w:b/>
          <w:bCs/>
          <w:color w:val="1B3A5C"/>
          <w:sz w:val="20"/>
          <w:szCs w:val="20"/>
        </w:rPr>
        <w:t xml:space="preserve">Q: What is the Ten-Fold Way?</w:t>
      </w:r>
    </w:p>
    <w:p>
      <w:pPr>
        <w:spacing w:after="100"/>
      </w:pPr>
      <w:r>
        <w:rPr>
          <w:rFonts w:ascii="Arial" w:cs="Arial" w:eastAsia="Arial" w:hAnsi="Arial"/>
          <w:color w:val="1A1A2E"/>
          <w:sz w:val="19"/>
          <w:szCs w:val="19"/>
        </w:rPr>
        <w:t xml:space="preserve">A: A complete classification of non-interacting topological phases based on spatial dimensionality and three fundamental symmetries: time-reversal, particle-hole, and chiral symmetry. It is the most successful existing quantum classification framework.</w:t>
      </w:r>
    </w:p>
    <w:p>
      <w:pPr>
        <w:spacing w:before="100" w:after="40"/>
      </w:pPr>
      <w:r>
        <w:rPr>
          <w:rFonts w:ascii="Arial" w:cs="Arial" w:eastAsia="Arial" w:hAnsi="Arial"/>
          <w:b/>
          <w:bCs/>
          <w:color w:val="1B3A5C"/>
          <w:sz w:val="20"/>
          <w:szCs w:val="20"/>
        </w:rPr>
        <w:t xml:space="preserve">Q: Can the Ten-Fold Way be extended to include quasiparticles and dark matter candidates?</w:t>
      </w:r>
    </w:p>
    <w:p>
      <w:pPr>
        <w:spacing w:after="100"/>
      </w:pPr>
      <w:r>
        <w:rPr>
          <w:rFonts w:ascii="Arial" w:cs="Arial" w:eastAsia="Arial" w:hAnsi="Arial"/>
          <w:color w:val="1A1A2E"/>
          <w:sz w:val="19"/>
          <w:szCs w:val="19"/>
        </w:rPr>
        <w:t xml:space="preserve">A: Not directly — it was designed for gapped free-fermion systems. Extending it to interacting systems, composite particles, and hypothetical particles is an active and partially open research problem.</w:t>
      </w:r>
    </w:p>
    <w:p>
      <w:pPr>
        <w:spacing w:before="100" w:after="40"/>
      </w:pPr>
      <w:r>
        <w:rPr>
          <w:rFonts w:ascii="Arial" w:cs="Arial" w:eastAsia="Arial" w:hAnsi="Arial"/>
          <w:b/>
          <w:bCs/>
          <w:color w:val="1B3A5C"/>
          <w:sz w:val="20"/>
          <w:szCs w:val="20"/>
        </w:rPr>
        <w:t xml:space="preserve">Q: What would make the Quantum Classification Table scientifically valid?</w:t>
      </w:r>
    </w:p>
    <w:p>
      <w:pPr>
        <w:spacing w:after="100"/>
      </w:pPr>
      <w:r>
        <w:rPr>
          <w:rFonts w:ascii="Arial" w:cs="Arial" w:eastAsia="Arial" w:hAnsi="Arial"/>
          <w:color w:val="1A1A2E"/>
          <w:sz w:val="19"/>
          <w:szCs w:val="19"/>
        </w:rPr>
        <w:t xml:space="preserve">A: Rigorous mathematical definitions of all classification axes, systematic population with known entities, and at least one successful prediction of a previously unknown phase or particle confirmed experimentally.</w:t>
      </w:r>
    </w:p>
    <w:p>
      <w:r>
        <w:br w:type="page"/>
      </w:r>
    </w:p>
    <w:p>
      <w:pPr>
        <w:pStyle w:val="Heading1"/>
        <w:spacing w:before="360" w:after="120"/>
      </w:pPr>
      <w:r>
        <w:rPr>
          <w:rFonts w:ascii="Arial" w:cs="Arial" w:eastAsia="Arial" w:hAnsi="Arial"/>
          <w:b/>
          <w:bCs/>
          <w:color w:val="1B3A5C"/>
          <w:sz w:val="28"/>
          <w:szCs w:val="28"/>
        </w:rPr>
        <w:t xml:space="preserve">MODULE 7: AI in Materials Discovery</w:t>
      </w:r>
    </w:p>
    <w:p>
      <w:pPr>
        <w:pBdr>
          <w:left w:val="single" w:color="2E7D32" w:sz="12" w:space="4"/>
        </w:pBdr>
        <w:shd w:fill="E8F5E9" w:val="clear"/>
        <w:spacing w:after="120"/>
      </w:pPr>
      <w:r>
        <w:rPr>
          <w:rFonts w:ascii="Arial" w:cs="Arial" w:eastAsia="Arial" w:hAnsi="Arial"/>
          <w:b/>
          <w:bCs/>
          <w:color w:val="2E7D32"/>
          <w:sz w:val="20"/>
          <w:szCs w:val="20"/>
        </w:rPr>
        <w:t xml:space="preserve">Status: [GROUNDED]</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Description</w:t>
      </w:r>
    </w:p>
    <w:p>
      <w:pPr>
        <w:spacing w:after="120"/>
      </w:pPr>
      <w:r>
        <w:rPr>
          <w:rFonts w:ascii="Arial" w:cs="Arial" w:eastAsia="Arial" w:hAnsi="Arial"/>
          <w:color w:val="1A1A2E"/>
          <w:sz w:val="20"/>
          <w:szCs w:val="20"/>
        </w:rPr>
        <w:t xml:space="preserve">The most immediately applicable module. AI-driven materials discovery is an active, well-funded field with extensive literature. This grounds the AI components of ATMS and the Digital Triplet in real practice.</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 (Reputable Sources)</w:t>
      </w:r>
    </w:p>
    <w:p>
      <w:pPr>
        <w:pStyle w:val="ListParagraph"/>
        <w:numPr>
          <w:ilvl w:val="0"/>
          <w:numId w:val="2"/>
        </w:numPr>
        <w:spacing w:after="80"/>
      </w:pPr>
      <w:r>
        <w:rPr>
          <w:rFonts w:ascii="Arial" w:cs="Arial" w:eastAsia="Arial" w:hAnsi="Arial"/>
          <w:color w:val="1A1A2E"/>
          <w:sz w:val="20"/>
          <w:szCs w:val="20"/>
        </w:rPr>
        <w:t xml:space="preserve">Schmidt, J. et al. (2019). Recent advances and applications of machine learning in solid-state materials science. npj Computational Materials.</w:t>
      </w:r>
    </w:p>
    <w:p>
      <w:pPr>
        <w:pStyle w:val="ListParagraph"/>
        <w:numPr>
          <w:ilvl w:val="0"/>
          <w:numId w:val="2"/>
        </w:numPr>
        <w:spacing w:after="80"/>
      </w:pPr>
      <w:r>
        <w:rPr>
          <w:rFonts w:ascii="Arial" w:cs="Arial" w:eastAsia="Arial" w:hAnsi="Arial"/>
          <w:color w:val="1A1A2E"/>
          <w:sz w:val="20"/>
          <w:szCs w:val="20"/>
        </w:rPr>
        <w:t xml:space="preserve">Jumper, J. et al. (2021). Highly accurate protein structure prediction with AlphaFold. Nature.</w:t>
      </w:r>
    </w:p>
    <w:p>
      <w:pPr>
        <w:pStyle w:val="ListParagraph"/>
        <w:numPr>
          <w:ilvl w:val="0"/>
          <w:numId w:val="2"/>
        </w:numPr>
        <w:spacing w:after="80"/>
      </w:pPr>
      <w:r>
        <w:rPr>
          <w:rFonts w:ascii="Arial" w:cs="Arial" w:eastAsia="Arial" w:hAnsi="Arial"/>
          <w:color w:val="1A1A2E"/>
          <w:sz w:val="20"/>
          <w:szCs w:val="20"/>
        </w:rPr>
        <w:t xml:space="preserve">Merchant, A. et al. (2023). Scaling deep learning for materials discovery. Nature.</w:t>
      </w:r>
    </w:p>
    <w:p>
      <w:pPr>
        <w:pStyle w:val="ListParagraph"/>
        <w:numPr>
          <w:ilvl w:val="0"/>
          <w:numId w:val="2"/>
        </w:numPr>
        <w:spacing w:after="80"/>
      </w:pPr>
      <w:r>
        <w:rPr>
          <w:rFonts w:ascii="Arial" w:cs="Arial" w:eastAsia="Arial" w:hAnsi="Arial"/>
          <w:color w:val="1A1A2E"/>
          <w:sz w:val="20"/>
          <w:szCs w:val="20"/>
        </w:rPr>
        <w:t xml:space="preserve">Batatia, I. et al. (2022). MACE: Higher Order Equivariant Message Passing Neural Networks for Fast and Accurate Force Fields. NeurIPS.</w:t>
      </w:r>
    </w:p>
    <w:p>
      <w:pPr>
        <w:pStyle w:val="ListParagraph"/>
        <w:numPr>
          <w:ilvl w:val="0"/>
          <w:numId w:val="2"/>
        </w:numPr>
        <w:spacing w:after="80"/>
      </w:pPr>
      <w:r>
        <w:rPr>
          <w:rFonts w:ascii="Arial" w:cs="Arial" w:eastAsia="Arial" w:hAnsi="Arial"/>
          <w:color w:val="1A1A2E"/>
          <w:sz w:val="20"/>
          <w:szCs w:val="20"/>
        </w:rPr>
        <w:t xml:space="preserve">Zeni, C. et al. (2024). MatterGen: a generative model for inorganic materials design. arXiv.</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Pro Research Prompt</w:t>
      </w:r>
    </w:p>
    <w:p>
      <w:pPr>
        <w:pBdr>
          <w:left w:val="single" w:color="2A7F8A" w:sz="12" w:space="4"/>
        </w:pBdr>
        <w:shd w:fill="EAF2F5" w:val="clear"/>
        <w:spacing w:before="80" w:after="80"/>
      </w:pPr>
      <w:r>
        <w:rPr>
          <w:rFonts w:ascii="Arial" w:cs="Arial" w:eastAsia="Arial" w:hAnsi="Arial"/>
          <w:i/>
          <w:iCs/>
          <w:color w:val="4A6274"/>
          <w:sz w:val="18"/>
          <w:szCs w:val="18"/>
        </w:rPr>
        <w:t xml:space="preserve">Search for peer-reviewed literature on machine learning and AI applications in quantum materials discovery. Focus on: (1) generative models for materials design, (2) AI-driven high-throughput screening, (3) applications specifically to topological materials and superconductors. Use only sources from Nature, Science, NeurIPS, ICML, and major materials science journals.</w:t>
      </w:r>
    </w:p>
    <w:p>
      <w:pPr>
        <w:spacing w:after="8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Module FAQs</w:t>
      </w:r>
    </w:p>
    <w:p>
      <w:pPr>
        <w:spacing w:before="100" w:after="40"/>
      </w:pPr>
      <w:r>
        <w:rPr>
          <w:rFonts w:ascii="Arial" w:cs="Arial" w:eastAsia="Arial" w:hAnsi="Arial"/>
          <w:b/>
          <w:bCs/>
          <w:color w:val="1B3A5C"/>
          <w:sz w:val="20"/>
          <w:szCs w:val="20"/>
        </w:rPr>
        <w:t xml:space="preserve">Q: What has AI actually achieved in materials discovery?</w:t>
      </w:r>
    </w:p>
    <w:p>
      <w:pPr>
        <w:spacing w:after="100"/>
      </w:pPr>
      <w:r>
        <w:rPr>
          <w:rFonts w:ascii="Arial" w:cs="Arial" w:eastAsia="Arial" w:hAnsi="Arial"/>
          <w:color w:val="1A1A2E"/>
          <w:sz w:val="19"/>
          <w:szCs w:val="19"/>
        </w:rPr>
        <w:t xml:space="preserve">A: AlphaFold transformed protein structure prediction. GNoME (Google DeepMind, 2023) predicted 2.2 million stable crystal structures. Generative models like MatterGen can propose novel materials with target properties. These are real, peer-reviewed achievements.</w:t>
      </w:r>
    </w:p>
    <w:p>
      <w:pPr>
        <w:spacing w:before="100" w:after="40"/>
      </w:pPr>
      <w:r>
        <w:rPr>
          <w:rFonts w:ascii="Arial" w:cs="Arial" w:eastAsia="Arial" w:hAnsi="Arial"/>
          <w:b/>
          <w:bCs/>
          <w:color w:val="1B3A5C"/>
          <w:sz w:val="20"/>
          <w:szCs w:val="20"/>
        </w:rPr>
        <w:t xml:space="preserve">Q: Can AI solve the Majorana verification crisis?</w:t>
      </w:r>
    </w:p>
    <w:p>
      <w:pPr>
        <w:spacing w:after="100"/>
      </w:pPr>
      <w:r>
        <w:rPr>
          <w:rFonts w:ascii="Arial" w:cs="Arial" w:eastAsia="Arial" w:hAnsi="Arial"/>
          <w:color w:val="1A1A2E"/>
          <w:sz w:val="19"/>
          <w:szCs w:val="19"/>
        </w:rPr>
        <w:t xml:space="preserve">A: AI can assist with pattern recognition in experimental data and surrogate modeling of Hamiltonians. It cannot replace formal verification — but it can accelerate the search for candidate materials and flag suspicious experimental signatures.</w:t>
      </w:r>
    </w:p>
    <w:p>
      <w:pPr>
        <w:spacing w:before="100" w:after="40"/>
      </w:pPr>
      <w:r>
        <w:rPr>
          <w:rFonts w:ascii="Arial" w:cs="Arial" w:eastAsia="Arial" w:hAnsi="Arial"/>
          <w:b/>
          <w:bCs/>
          <w:color w:val="1B3A5C"/>
          <w:sz w:val="20"/>
          <w:szCs w:val="20"/>
        </w:rPr>
        <w:t xml:space="preserve">Q: What is the gap between AI materials discovery and AI quantum hardware control?</w:t>
      </w:r>
    </w:p>
    <w:p>
      <w:pPr>
        <w:spacing w:after="100"/>
      </w:pPr>
      <w:r>
        <w:rPr>
          <w:rFonts w:ascii="Arial" w:cs="Arial" w:eastAsia="Arial" w:hAnsi="Arial"/>
          <w:color w:val="1A1A2E"/>
          <w:sz w:val="19"/>
          <w:szCs w:val="19"/>
        </w:rPr>
        <w:t xml:space="preserve">A: Significant. Materials discovery AI works at the design and screening stage. Real-time AI control of quantum hardware at the precision required for topological qubits is a [BRIDGE] to [SPECULATIVE] area.</w:t>
      </w:r>
    </w:p>
    <w:p>
      <w:r>
        <w:br w:type="page"/>
      </w:r>
    </w:p>
    <w:p>
      <w:pPr>
        <w:pStyle w:val="Heading1"/>
        <w:spacing w:before="360" w:after="120"/>
      </w:pPr>
      <w:r>
        <w:rPr>
          <w:rFonts w:ascii="Arial" w:cs="Arial" w:eastAsia="Arial" w:hAnsi="Arial"/>
          <w:b/>
          <w:bCs/>
          <w:color w:val="1B3A5C"/>
          <w:sz w:val="28"/>
          <w:szCs w:val="28"/>
        </w:rPr>
        <w:t xml:space="preserve">MODULE 8: GLOSSARY OF TERMS</w:t>
      </w:r>
    </w:p>
    <w:p>
      <w:pPr>
        <w:pBdr>
          <w:bottom w:val="single" w:color="2A7F8A" w:sz="4" w:space="1"/>
        </w:pBdr>
        <w:spacing w:after="160"/>
      </w:pPr>
      <w:r>
        <w:rPr>
          <w:rFonts w:ascii="Arial" w:cs="Arial" w:eastAsia="Arial" w:hAnsi="Arial"/>
        </w:rPr>
        <w:t xml:space="preserve"/>
      </w:r>
    </w:p>
    <w:p>
      <w:pPr>
        <w:spacing w:after="120"/>
      </w:pPr>
      <w:r>
        <w:rPr>
          <w:rFonts w:ascii="Arial" w:cs="Arial" w:eastAsia="Arial" w:hAnsi="Arial"/>
          <w:i/>
          <w:iCs/>
          <w:color w:val="1A1A2E"/>
          <w:sz w:val="20"/>
          <w:szCs w:val="20"/>
        </w:rPr>
        <w:t xml:space="preserve">All terms are tagged with grounding status. Use this glossary when prompting Gemini Pro to ensure terminology is used consistently with established scientific meaning.</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w:t>
            </w:r>
          </w:p>
        </w:tc>
        <w:tc>
          <w:tcPr>
            <w:tcW w:type="dxa" w:w="656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Definition &amp; Status</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Andreev Bound State (ABS)</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 localized quasiparticle state in a superconductor-semiconductor interface. Can mimic Majorana Zero Mode signatures. The primary source of false positives in topological qubit experiments.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Anyons</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Quasiparticles in 2D systems with fractional exchange statistics — neither fermion nor boson. Abelian anyons acquire a phase; non-Abelian anyons perform matrix operations. Relevant to topological quantum computing.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Berry Curvature</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 geometric quantity in momentum space analogous to a magnetic field. Its integral over closed surfaces yields topological invariants like the Chern number. Fundamental to topological materials.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Bogoliubov-de Gennes (BdG) Hamiltonian</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The standard theoretical framework for modeling superconducting systems, including topological superconductors. Used in formal verification of MZM-hosting devices.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Bulk-Boundary Correspondence</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The theorem stating that a non-trivial bulk topological invariant implies the existence of protected gapless states at the material's boundaries. Core principle of topological insulators and superconductors.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Chern Number</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 integer topological invariant characterizing 2D gapped quantum systems. Quantizes the Hall conductivity in the integer quantum Hall effect.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Digital Triplet</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Extension of the Digital Twin concept adding a Logical Layer (formal verification) and treating human cognitive intent as a governed computational node. [BRIDGE — partially grounded in Industry 5.0 literature]</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Floquet Engineering</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The use of periodic external drives (e.g., lasers) to dynamically modify a material's effective Hamiltonian, potentially inducing topological phases not present at equilibrium.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Geometric Algebra (GA)</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 mathematical framework based on Clifford algebras providing a coordinate-free language for geometry, rotations, and physics. Used in robotics, computer graphics, and theoretical physics.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Homotopy Type Theory (HoTT)</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 foundational mathematical framework connecting type theory and homotopy theory. Equality is interpreted as a path; the Univalence Axiom states that equivalent structures are identical. [GROUNDED as mathematics; BRIDGE as applied to physics]</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Iron-Based Superconductors (IBS)</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 class of high-temperature superconductors (e.g., LiFeAs, FeTe₁₋ₓSeₓ) that are also candidates for intrinsic topological superconductivity. Strong Hund's coupling and multi-orbital physics are key.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Lean 4</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 interactive theorem prover and proof assistant. Used in formal verification of mathematical claims. Application to quantum hardware verification is a research frontier. [GROUNDED as software; BRIDGE as applied to physics]</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Majorana Zero Mode (MZM)</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 quasiparticle that is its own antiparticle, predicted to exist at the boundaries of topological superconductors. Obeys non-Abelian statistics. Key platform for fault-tolerant topological quantum computing. [GROUNDED theoretically; verification remains an open problem]</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Persistent Homology</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The central tool of Topological Data Analysis. Tracks topological features (components, loops, voids) across scales, producing a 'persistence diagram' that summarizes robust data structure.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Ten-Fold Way</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 complete classification of non-interacting topological phases based on dimensionality and three symmetry classes. Published by Schnyder et al. (2008) and Kitaev (2009).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Topological Invariant</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 quantized number characterizing the global topology of a quantum state. Robust against local perturbations. Examples: Chern number (integer), Z₂ index (binary).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Z₂ Index</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 binary topological invariant (0 or 1) classifying time-reversal-invariant topological insulators and some topological superconductors. A value of 1 indicates non-trivial topology. [GROUNDED]</w:t>
            </w:r>
          </w:p>
        </w:tc>
      </w:tr>
      <w:tr>
        <w:tc>
          <w:tcPr>
            <w:tcW w:type="dxa" w:w="2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Zero-Bias Conductance Peak (ZBCP)</w:t>
            </w:r>
          </w:p>
        </w:tc>
        <w:tc>
          <w:tcPr>
            <w:tcW w:type="dxa" w:w="65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 experimental signature measured in transport experiments. Historically used as evidence for MZMs but now known to also arise from trivial ABS. The primary ambiguous signature in the verification crisis. [GROUNDED]</w:t>
            </w:r>
          </w:p>
        </w:tc>
      </w:tr>
    </w:tbl>
    <w:p>
      <w:r>
        <w:br w:type="page"/>
      </w:r>
    </w:p>
    <w:p>
      <w:pPr>
        <w:pStyle w:val="Heading1"/>
        <w:spacing w:before="360" w:after="120"/>
      </w:pPr>
      <w:r>
        <w:rPr>
          <w:rFonts w:ascii="Arial" w:cs="Arial" w:eastAsia="Arial" w:hAnsi="Arial"/>
          <w:b/>
          <w:bCs/>
          <w:color w:val="1B3A5C"/>
          <w:sz w:val="28"/>
          <w:szCs w:val="28"/>
        </w:rPr>
        <w:t xml:space="preserve">MODULE 9: MASTER FAQ</w:t>
      </w:r>
    </w:p>
    <w:p>
      <w:pPr>
        <w:pBdr>
          <w:bottom w:val="single" w:color="2A7F8A" w:sz="4" w:space="1"/>
        </w:pBdr>
        <w:spacing w:after="160"/>
      </w:pPr>
      <w:r>
        <w:rPr>
          <w:rFonts w:ascii="Arial" w:cs="Arial" w:eastAsia="Arial" w:hAnsi="Arial"/>
        </w:rPr>
        <w:t xml:space="preserve"/>
      </w:r>
    </w:p>
    <w:p>
      <w:pPr>
        <w:spacing w:after="120"/>
      </w:pPr>
      <w:r>
        <w:rPr>
          <w:rFonts w:ascii="Arial" w:cs="Arial" w:eastAsia="Arial" w:hAnsi="Arial"/>
          <w:i/>
          <w:iCs/>
          <w:color w:val="1A1A2E"/>
          <w:sz w:val="20"/>
          <w:szCs w:val="20"/>
        </w:rPr>
        <w:t xml:space="preserve">Frequently asked questions about using this research architecture, interpreting grounding status, and navigating between speculative and established content.</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Q1: How do I use this document with NotebookLM?</w:t>
            </w:r>
          </w:p>
          <w:p>
            <w:r>
              <w:rPr>
                <w:rFonts w:ascii="Arial" w:cs="Arial" w:eastAsia="Arial" w:hAnsi="Arial"/>
                <w:color w:val="1A1A2E"/>
                <w:sz w:val="19"/>
                <w:szCs w:val="19"/>
              </w:rPr>
              <w:t xml:space="preserve">A: Upload this document as a source. Then use the Table of Contents as a navigation guide. Ask NotebookLM to summarize specific modules, find connections between modules, or generate study guides for specific topics. NotebookLM works best when you ask specific, scoped questions tied to module numbers.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Q2: How do I use the Gemini Pro prompts?</w:t>
            </w:r>
          </w:p>
          <w:p>
            <w:r>
              <w:rPr>
                <w:rFonts w:ascii="Arial" w:cs="Arial" w:eastAsia="Arial" w:hAnsi="Arial"/>
                <w:color w:val="1A1A2E"/>
                <w:sz w:val="19"/>
                <w:szCs w:val="19"/>
              </w:rPr>
              <w:t xml:space="preserve">A: Each module contains a Gemini Research Prompt. Copy it directly into Gemini Pro 1.5 or 2.0 with Deep Research enabled. The prompt is designed to constrain Gemini to peer-reviewed sources and flag speculative claims. Review outputs against the anchor publications listed in each module.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Q3: What is the difference between [GROUNDED], [BRIDGE], and [SPECULATIVE]?</w:t>
            </w:r>
          </w:p>
          <w:p>
            <w:r>
              <w:rPr>
                <w:rFonts w:ascii="Arial" w:cs="Arial" w:eastAsia="Arial" w:hAnsi="Arial"/>
                <w:color w:val="1A1A2E"/>
                <w:sz w:val="19"/>
                <w:szCs w:val="19"/>
              </w:rPr>
              <w:t xml:space="preserve">A: GROUNDED = supported by peer-reviewed experimental evidence. BRIDGE = conceptually valid connection between grounded fields, needs expert review before citation. SPECULATIVE = theoretically interesting but lacks direct experimental support. Never cite SPECULATIVE claims as established fact.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Q4: Which modules should I prioritize first?</w:t>
            </w:r>
          </w:p>
          <w:p>
            <w:r>
              <w:rPr>
                <w:rFonts w:ascii="Arial" w:cs="Arial" w:eastAsia="Arial" w:hAnsi="Arial"/>
                <w:color w:val="1A1A2E"/>
                <w:sz w:val="19"/>
                <w:szCs w:val="19"/>
              </w:rPr>
              <w:t xml:space="preserve">A: Start with MODULE 1 (foundations) and MODULE 2 (Majorana crisis) — these are the most grounded and most timely. Then MODULE 7 (AI in materials discovery) for career relevance. The other modules build on these.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Q5: Can I publish work based on this framework?</w:t>
            </w:r>
          </w:p>
          <w:p>
            <w:r>
              <w:rPr>
                <w:rFonts w:ascii="Arial" w:cs="Arial" w:eastAsia="Arial" w:hAnsi="Arial"/>
                <w:color w:val="1A1A2E"/>
                <w:sz w:val="19"/>
                <w:szCs w:val="19"/>
              </w:rPr>
              <w:t xml:space="preserve">A: The GROUNDED modules reference established literature you can engage with academically. The BRIDGE and SPECULATIVE modules are research proposals — they need domain expert collaboration and experimental grounding before publication in scientific journals.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Q6: How does this relate to Industry 5.0?</w:t>
            </w:r>
          </w:p>
          <w:p>
            <w:r>
              <w:rPr>
                <w:rFonts w:ascii="Arial" w:cs="Arial" w:eastAsia="Arial" w:hAnsi="Arial"/>
                <w:color w:val="1A1A2E"/>
                <w:sz w:val="19"/>
                <w:szCs w:val="19"/>
              </w:rPr>
              <w:t xml:space="preserve">A: MODULE 3 grounds the Digital Triplet in real Industry 5.0 policy literature from the European Commission and peer-reviewed systems engineering. The human-in-the-loop governance framework is the most immediately applicable concept for industrial teams.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Q7: What are the most credible journals to focus on for this research?</w:t>
            </w:r>
          </w:p>
          <w:p>
            <w:r>
              <w:rPr>
                <w:rFonts w:ascii="Arial" w:cs="Arial" w:eastAsia="Arial" w:hAnsi="Arial"/>
                <w:color w:val="1A1A2E"/>
                <w:sz w:val="19"/>
                <w:szCs w:val="19"/>
              </w:rPr>
              <w:t xml:space="preserve">A: Nature, Science, Physical Review Letters, Physical Review B, Nature Physics, Nature Materials, npj Computational Materials, Reviews of Modern Physics, Annual Review of Condensed Matter Physics, IEEE Transactions on Quantum Engineering.</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Q8: How should I handle the gap between my design background and the technical content?</w:t>
            </w:r>
          </w:p>
          <w:p>
            <w:r>
              <w:rPr>
                <w:rFonts w:ascii="Arial" w:cs="Arial" w:eastAsia="Arial" w:hAnsi="Arial"/>
                <w:color w:val="1A1A2E"/>
                <w:sz w:val="19"/>
                <w:szCs w:val="19"/>
              </w:rPr>
              <w:t xml:space="preserve">A: Focus on the translation and communication layers. The ATMS golem analogy (Module 5B) and the Classification Framework (Module 6) are areas where visual and systems thinking genuinely contribute. The Majorana verification crisis (Module 2) needs communication design to reach policymakers and investors.</w:t>
            </w:r>
          </w:p>
        </w:tc>
      </w:tr>
    </w:tbl>
    <w:p>
      <w:pPr>
        <w:spacing w:after="80"/>
      </w:pPr>
      <w:r>
        <w:rPr>
          <w:rFonts w:ascii="Arial" w:cs="Arial" w:eastAsia="Arial" w:hAnsi="Arial"/>
        </w:rPr>
        <w:t xml:space="preserve"/>
      </w:r>
    </w:p>
    <w:p>
      <w:r>
        <w:br w:type="page"/>
      </w:r>
    </w:p>
    <w:p>
      <w:pPr>
        <w:pStyle w:val="Heading1"/>
        <w:spacing w:before="360" w:after="120"/>
      </w:pPr>
      <w:r>
        <w:rPr>
          <w:rFonts w:ascii="Arial" w:cs="Arial" w:eastAsia="Arial" w:hAnsi="Arial"/>
          <w:b/>
          <w:bCs/>
          <w:color w:val="1B3A5C"/>
          <w:sz w:val="28"/>
          <w:szCs w:val="28"/>
        </w:rPr>
        <w:t xml:space="preserve">MODULE 10: RECOMMENDED LITERATURE INDEX</w:t>
      </w:r>
    </w:p>
    <w:p>
      <w:pPr>
        <w:pBdr>
          <w:bottom w:val="single" w:color="2A7F8A" w:sz="4" w:space="1"/>
        </w:pBdr>
        <w:spacing w:after="160"/>
      </w:pPr>
      <w:r>
        <w:rPr>
          <w:rFonts w:ascii="Arial" w:cs="Arial" w:eastAsia="Arial" w:hAnsi="Arial"/>
        </w:rPr>
        <w:t xml:space="preserve"/>
      </w:r>
    </w:p>
    <w:p>
      <w:pPr>
        <w:spacing w:after="120"/>
      </w:pPr>
      <w:r>
        <w:rPr>
          <w:rFonts w:ascii="Arial" w:cs="Arial" w:eastAsia="Arial" w:hAnsi="Arial"/>
          <w:i/>
          <w:iCs/>
          <w:color w:val="1A1A2E"/>
          <w:sz w:val="20"/>
          <w:szCs w:val="20"/>
        </w:rPr>
        <w:t xml:space="preserve">Sorted by module. All entries are peer-reviewed or official policy documents. Use this as your NotebookLM source list — upload these papers alongside this document for optimal research depth.</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3000"/>
        <w:gridCol w:w="1600"/>
        <w:gridCol w:w="1200"/>
        <w:gridCol w:w="1160"/>
      </w:tblGrid>
      <w:tr>
        <w:tc>
          <w:tcPr>
            <w:tcW w:type="dxa" w:w="18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Authors</w:t>
            </w:r>
          </w:p>
        </w:tc>
        <w:tc>
          <w:tcPr>
            <w:tcW w:type="dxa" w:w="6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Year</w:t>
            </w:r>
          </w:p>
        </w:tc>
        <w:tc>
          <w:tcPr>
            <w:tcW w:type="dxa" w:w="30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Title</w:t>
            </w:r>
          </w:p>
        </w:tc>
        <w:tc>
          <w:tcPr>
            <w:tcW w:type="dxa" w:w="16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Journal/Source</w:t>
            </w:r>
          </w:p>
        </w:tc>
        <w:tc>
          <w:tcPr>
            <w:tcW w:type="dxa" w:w="12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Relevance</w:t>
            </w:r>
          </w:p>
        </w:tc>
        <w:tc>
          <w:tcPr>
            <w:tcW w:type="dxa" w:w="116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Basov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2017</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Towards properties on demand in quantum materials</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Nature Materials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Core QM survey</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1</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Keimer &amp; Moore</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2017</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The physics of quantum materials</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Nature Physics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Core QM survey</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1</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Schnyder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2008</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Classification of topological insulators</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Physical Review B</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Ten-Fold Way</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6</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Kitaev</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2009</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Periodic table for topological insulators</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AIP Conf. Proc.</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Ten-Fold Way</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6</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Chiu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2016</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Classification of topological quantum matter</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Rev. Mod. Physics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Classification</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6</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Frolov</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2021</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Quantum computing's reproducibility crisis</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Nature</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Verification crisis</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2</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Mourik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2012</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Signatures of Majorana Fermions</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Science</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MZM experiment</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2</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Oka &amp; Aoki</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2009</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Photovoltaic Hall effect in graphene</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Physical Review B</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First Floquet TI</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5</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Rudner &amp; Lindner</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2020</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Band structure engineering in Floquet TIs</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Nat. Rev. Physics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Floquet review</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5</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Carlsson</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2009</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Topology and Data</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Bull. AMS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TDA foundations</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4</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Schmidt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2019</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ML in solid-state materials science</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npj Comp. Materials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AI in materials</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7</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Merchant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2023</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Scaling deep learning for materials discovery</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Nature</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GNoME / AI</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7</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European Commission</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2021</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Industry 5.0 Report</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EC Policy Document</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Industry 5.0</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3</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Grieves &amp; Vickers</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2017</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Digital Twin</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Springer</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Digital twin origin</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3</w:t>
            </w:r>
          </w:p>
        </w:tc>
      </w:tr>
      <w:tr>
        <w:tc>
          <w:tcPr>
            <w:tcW w:type="dxa" w:w="18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Hestenes</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1984</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Clifford Algebra to Geometric Calculus</w:t>
            </w:r>
          </w:p>
        </w:tc>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Reidel</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GA foundations</w:t>
            </w:r>
          </w:p>
        </w:tc>
        <w:tc>
          <w:tcPr>
            <w:tcW w:type="dxa" w:w="11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color w:val="2A7F8A"/>
                <w:sz w:val="18"/>
                <w:szCs w:val="18"/>
              </w:rPr>
              <w:t xml:space="preserve">MODULE 4</w:t>
            </w:r>
          </w:p>
        </w:tc>
      </w:tr>
    </w:tbl>
    <w:p>
      <w:pPr>
        <w:spacing w:after="120"/>
      </w:pPr>
      <w:r>
        <w:rPr>
          <w:rFonts w:ascii="Arial" w:cs="Arial" w:eastAsia="Arial" w:hAnsi="Arial"/>
        </w:rPr>
        <w:t xml:space="preserve"/>
      </w:r>
    </w:p>
    <w:p>
      <w:pPr>
        <w:spacing w:after="120"/>
      </w:pPr>
      <w:r>
        <w:rPr>
          <w:rFonts w:ascii="Arial" w:cs="Arial" w:eastAsia="Arial" w:hAnsi="Arial"/>
          <w:i/>
          <w:iCs/>
          <w:color w:val="4A6274"/>
          <w:sz w:val="20"/>
          <w:szCs w:val="20"/>
        </w:rPr>
        <w:t xml:space="preserve">Note: Search Google Scholar, arXiv.org, and your institutional library for full-text access. The DOI or journal name for each entry will locate the paper. Always verify you are reading the published version, not a preprint, before citing.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A7F8A"/>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A62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2026-03-07T14:40:09.561Z</dcterms:created>
  <dcterms:modified xsi:type="dcterms:W3CDTF">2026-03-07T14:40:09.562Z</dcterms:modified>
</cp:coreProperties>
</file>

<file path=docProps/custom.xml><?xml version="1.0" encoding="utf-8"?>
<Properties xmlns="http://schemas.openxmlformats.org/officeDocument/2006/custom-properties" xmlns:vt="http://schemas.openxmlformats.org/officeDocument/2006/docPropsVTypes"/>
</file>