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p>
    <w:p>
      <w:pPr>
        <w:pBdr>
          <w:bottom w:val="single" w:color="3A6B8C" w:sz="3" w:space="12"/>
        </w:pBdr>
        <w:spacing w:before="0" w:after="80"/>
        <w:jc w:val="left"/>
      </w:pPr>
      <w:r>
        <w:rPr>
          <w:rFonts w:ascii="Arial" w:cs="Arial" w:eastAsia="Arial" w:hAnsi="Arial"/>
          <w:b/>
          <w:bCs/>
          <w:color w:val="2E4057"/>
          <w:sz w:val="52"/>
          <w:szCs w:val="52"/>
        </w:rPr>
        <w:t xml:space="preserve">THE GEOMETRY OF STATE</w:t>
      </w:r>
    </w:p>
    <w:p>
      <w:pPr>
        <w:spacing w:before="200" w:after="120"/>
      </w:pPr>
      <w:r>
        <w:rPr>
          <w:rFonts w:ascii="Arial" w:cs="Arial" w:eastAsia="Arial" w:hAnsi="Arial"/>
          <w:color w:val="3A6B8C"/>
          <w:sz w:val="28"/>
          <w:szCs w:val="28"/>
        </w:rPr>
        <w:t xml:space="preserve">A Formal Verification Framework for Topological Engineering</w:t>
      </w:r>
    </w:p>
    <w:p>
      <w:pPr>
        <w:spacing w:before="80" w:after="40"/>
      </w:pPr>
      <w:r>
        <w:rPr>
          <w:rFonts w:ascii="Georgia" w:cs="Georgia" w:eastAsia="Georgia" w:hAnsi="Georgia"/>
          <w:i/>
          <w:iCs/>
          <w:color w:val="2E4057"/>
          <w:sz w:val="23"/>
          <w:szCs w:val="23"/>
        </w:rPr>
        <w:t xml:space="preserve">Quantum Computing, Fusion Energy, and the Responsibility to Build Carefully</w:t>
      </w:r>
    </w:p>
    <w:p>
      <w:pPr>
        <w:spacing w:before="600" w:after="80"/>
      </w:pPr>
      <w:r>
        <w:rPr>
          <w:rFonts w:ascii="Arial" w:cs="Arial" w:eastAsia="Arial" w:hAnsi="Arial"/>
          <w:b/>
          <w:bCs/>
          <w:color w:val="1A1A2E"/>
          <w:sz w:val="24"/>
          <w:szCs w:val="24"/>
        </w:rPr>
        <w:t xml:space="preserve">Adrian Domingo</w:t>
      </w:r>
    </w:p>
    <w:p>
      <w:pPr>
        <w:spacing w:before="40" w:after="40"/>
      </w:pPr>
      <w:r>
        <w:rPr>
          <w:rFonts w:ascii="Georgia" w:cs="Georgia" w:eastAsia="Georgia" w:hAnsi="Georgia"/>
          <w:color w:val="2E4057"/>
          <w:sz w:val="21"/>
          <w:szCs w:val="21"/>
        </w:rPr>
        <w:t xml:space="preserve">Visual Systems Architect</w:t>
      </w:r>
    </w:p>
    <w:p>
      <w:pPr>
        <w:spacing w:before="200" w:after="40"/>
      </w:pPr>
      <w:r>
        <w:rPr>
          <w:rFonts w:ascii="Georgia" w:cs="Georgia" w:eastAsia="Georgia" w:hAnsi="Georgia"/>
          <w:color w:val="2E4057"/>
          <w:sz w:val="21"/>
          <w:szCs w:val="21"/>
        </w:rPr>
        <w:t xml:space="preserve">March 2026</w:t>
      </w:r>
    </w:p>
    <w:p>
      <w:pPr>
        <w:pBdr>
          <w:top w:val="single" w:color="B8C9D9" w:sz="1" w:space="12"/>
        </w:pBdr>
        <w:spacing w:before="600" w:after="0"/>
      </w:pPr>
      <w:r>
        <w:rPr>
          <w:rFonts w:ascii="Georgia" w:cs="Georgia" w:eastAsia="Georgia" w:hAnsi="Georgia"/>
          <w:i/>
          <w:iCs/>
          <w:color w:val="3A6B8C"/>
          <w:sz w:val="19"/>
          <w:szCs w:val="19"/>
        </w:rPr>
        <w:t xml:space="preserve">DRAFT — For collaborative review and responsible development</w:t>
      </w:r>
    </w:p>
    <w:p>
      <w:pPr>
        <w:sectPr>
          <w:pgSz w:w="12240" w:h="15840" w:orient="portrait"/>
          <w:pgMar w:top="2880" w:right="1440" w:bottom="1440" w:left="1440" w:header="708" w:footer="708" w:gutter="0"/>
          <w:pgNumType/>
          <w:docGrid w:linePitch="360"/>
        </w:sectPr>
      </w:pPr>
    </w:p>
    <w:p>
      <w:pPr>
        <w:pStyle w:val="Heading1"/>
        <w:spacing w:before="400" w:after="200"/>
      </w:pPr>
      <w:r>
        <w:rPr>
          <w:rFonts w:ascii="Arial" w:cs="Arial" w:eastAsia="Arial" w:hAnsi="Arial"/>
          <w:b/>
          <w:bCs/>
          <w:color w:val="2E4057"/>
          <w:sz w:val="32"/>
          <w:szCs w:val="32"/>
        </w:rPr>
        <w:t xml:space="preserve">Preamble: Why This Document Exists</w:t>
      </w:r>
    </w:p>
    <w:p>
      <w:pPr>
        <w:spacing w:before="120" w:after="120" w:line="300"/>
        <w:jc w:val="both"/>
      </w:pPr>
      <w:r>
        <w:rPr>
          <w:rFonts w:ascii="Georgia" w:cs="Georgia" w:eastAsia="Georgia" w:hAnsi="Georgia"/>
          <w:color w:val="1A1A2E"/>
          <w:sz w:val="22"/>
          <w:szCs w:val="22"/>
        </w:rPr>
        <w:t xml:space="preserve">This document describes a formally verified mathematical framework that unifies two of the most consequential engineering challenges of the coming decades: topological quantum computing and fusion energy confinement. The framework is real, the code compiles, and the theorems are proved. But before describing what it does, it is necessary to state why it was built and how it should be used.</w:t>
      </w:r>
    </w:p>
    <w:p>
      <w:pPr>
        <w:spacing w:before="120" w:after="120" w:line="300"/>
        <w:jc w:val="both"/>
      </w:pPr>
      <w:r>
        <w:rPr>
          <w:rFonts w:ascii="Georgia" w:cs="Georgia" w:eastAsia="Georgia" w:hAnsi="Georgia"/>
          <w:color w:val="1A1A2E"/>
          <w:sz w:val="22"/>
          <w:szCs w:val="22"/>
        </w:rPr>
        <w:t xml:space="preserve">The technologies this framework addresses will, if realized, reshape the material conditions of human civilization. Topological quantum computers promise fault-tolerant computation at scales that could break existing cryptographic infrastructure, accelerate drug discovery, or optimize logistics for billions of people. Fusion reactors promise clean, abundant energy that could end the zero-sum competition for fossil resources that drives geopolitical conflict. Both technologies carry immense potential for good, and both carry risks that scale with their power.</w:t>
      </w:r>
    </w:p>
    <w:p>
      <w:pPr>
        <w:spacing w:before="120" w:after="120" w:line="300"/>
        <w:jc w:val="both"/>
      </w:pPr>
      <w:r>
        <w:rPr>
          <w:rFonts w:ascii="Georgia" w:cs="Georgia" w:eastAsia="Georgia" w:hAnsi="Georgia"/>
          <w:color w:val="1A1A2E"/>
          <w:sz w:val="22"/>
          <w:szCs w:val="22"/>
        </w:rPr>
        <w:t xml:space="preserve">This framework was built with a conviction: that the most responsible way to develop powerful technology is to make its foundations formally verifiable, openly documented, and available for collective scrutiny. A type-checked proof cannot be lobbied, cannot be classified, and cannot be selectively disclosed. It is either correct or it is not. By grounding the engineering in formal verification, we create a shared language that any qualified researcher, in any country, can read, audit, and build upon.</w:t>
      </w:r>
    </w:p>
    <w:p>
      <w:pPr>
        <w:pBdr>
          <w:left w:val="single" w:color="3A6B8C" w:sz="4" w:space="8"/>
        </w:pBdr>
        <w:spacing w:before="160" w:after="160" w:line="300"/>
        <w:ind w:left="400" w:right="400"/>
      </w:pPr>
      <w:r>
        <w:rPr>
          <w:rFonts w:ascii="Georgia" w:cs="Georgia" w:eastAsia="Georgia" w:hAnsi="Georgia"/>
          <w:i/>
          <w:iCs/>
          <w:color w:val="2E4057"/>
          <w:sz w:val="21"/>
          <w:szCs w:val="21"/>
        </w:rPr>
        <w:t xml:space="preserve">The singularity is a type error. This is not a metaphor. It is a formally verified theorem (singularity_blocks_construction, TopologicalBridge.lean, proved with no axioms beyond definitions). The same mathematical structure that protects a qubit from decoherence protects a stellarator plasma from disruption. Understanding this structure is a public good.</w:t>
      </w:r>
    </w:p>
    <w:p>
      <w:pPr>
        <w:pStyle w:val="Heading1"/>
        <w:spacing w:before="400" w:after="200"/>
      </w:pPr>
      <w:r>
        <w:rPr>
          <w:rFonts w:ascii="Arial" w:cs="Arial" w:eastAsia="Arial" w:hAnsi="Arial"/>
          <w:b/>
          <w:bCs/>
          <w:color w:val="2E4057"/>
          <w:sz w:val="32"/>
          <w:szCs w:val="32"/>
        </w:rPr>
        <w:t xml:space="preserve">1. What the Framework Is</w:t>
      </w:r>
    </w:p>
    <w:p>
      <w:pPr>
        <w:spacing w:before="120" w:after="120" w:line="300"/>
        <w:jc w:val="both"/>
      </w:pPr>
      <w:r>
        <w:rPr>
          <w:rFonts w:ascii="Georgia" w:cs="Georgia" w:eastAsia="Georgia" w:hAnsi="Georgia"/>
          <w:color w:val="1A1A2E"/>
          <w:sz w:val="22"/>
          <w:szCs w:val="22"/>
        </w:rPr>
        <w:t xml:space="preserve">The Geometry of State is a collection of formally verified Lean 4 programs and validated Python simulations that together establish a single claim: topological phase transitions, in both condensed matter systems and magnetohydrodynamic plasmas, are type errors in a proof-theoretic sense. The invariants they protect—winding numbers, helicity, knot type—are integers that cannot be created, destroyed, or changed without passing through a singular point where the type system rejects the computation as ill-formed.</w:t>
      </w:r>
    </w:p>
    <w:p>
      <w:pPr>
        <w:pStyle w:val="Heading2"/>
        <w:spacing w:before="300" w:after="160"/>
      </w:pPr>
      <w:r>
        <w:rPr>
          <w:rFonts w:ascii="Arial" w:cs="Arial" w:eastAsia="Arial" w:hAnsi="Arial"/>
          <w:b/>
          <w:bCs/>
          <w:color w:val="3A6B8C"/>
          <w:sz w:val="26"/>
          <w:szCs w:val="26"/>
        </w:rPr>
        <w:t xml:space="preserve">1.1 The Proven Core</w:t>
      </w:r>
    </w:p>
    <w:p>
      <w:pPr>
        <w:spacing w:before="120" w:after="120" w:line="300"/>
        <w:jc w:val="both"/>
      </w:pPr>
      <w:r>
        <w:rPr>
          <w:rFonts w:ascii="Georgia" w:cs="Georgia" w:eastAsia="Georgia" w:hAnsi="Georgia"/>
          <w:color w:val="1A1A2E"/>
          <w:sz w:val="22"/>
          <w:szCs w:val="22"/>
        </w:rPr>
        <w:t xml:space="preserve">The following results carry unconditional checkmarks—they are proved in Lean 4 with no sorry, no axioms beyond the definitions themselves, and no trust assumptions:</w:t>
      </w:r>
    </w:p>
    <w:p>
      <w:pPr>
        <w:spacing w:before="120" w:after="120" w:line="300"/>
        <w:jc w:val="both"/>
      </w:pPr>
      <w:r>
        <w:rPr>
          <w:rFonts w:ascii="Courier New" w:cs="Courier New" w:eastAsia="Courier New" w:hAnsi="Courier New"/>
          <w:b/>
          <w:bCs/>
          <w:color w:val="2E4057"/>
          <w:sz w:val="20"/>
          <w:szCs w:val="20"/>
        </w:rPr>
        <w:t xml:space="preserve">singularity_blocks_construction: </w:t>
      </w:r>
      <w:r>
        <w:rPr>
          <w:rFonts w:ascii="Georgia" w:cs="Georgia" w:eastAsia="Georgia" w:hAnsi="Georgia"/>
          <w:color w:val="1A1A2E"/>
          <w:sz w:val="22"/>
          <w:szCs w:val="22"/>
        </w:rPr>
        <w:t xml:space="preserve">At a gapless parameter point, the Σ-type encoding the topological phase space is uninhabited. The invariant cannot be queried—not because computation fails, but because the input type is empty. The proof is two lines of propositional logic.</w:t>
      </w:r>
    </w:p>
    <w:p>
      <w:pPr>
        <w:spacing w:before="120" w:after="120" w:line="300"/>
        <w:jc w:val="both"/>
      </w:pPr>
      <w:r>
        <w:rPr>
          <w:rFonts w:ascii="Courier New" w:cs="Courier New" w:eastAsia="Courier New" w:hAnsi="Courier New"/>
          <w:b/>
          <w:bCs/>
          <w:color w:val="2E4057"/>
          <w:sz w:val="20"/>
          <w:szCs w:val="20"/>
        </w:rPr>
        <w:t xml:space="preserve">singularity_excludes_point: </w:t>
      </w:r>
      <w:r>
        <w:rPr>
          <w:rFonts w:ascii="Georgia" w:cs="Georgia" w:eastAsia="Georgia" w:hAnsi="Georgia"/>
          <w:color w:val="1A1A2E"/>
          <w:sz w:val="22"/>
          <w:szCs w:val="22"/>
        </w:rPr>
        <w:t xml:space="preserve">This theorem is literally the hypothesis itself, unfolded. When the type system encodes the physics correctly, theorems about singular behavior become tautologies. If the proof requires cleverness, the encoding is wrong.</w:t>
      </w:r>
    </w:p>
    <w:p>
      <w:pPr>
        <w:spacing w:before="120" w:after="120" w:line="300"/>
        <w:jc w:val="both"/>
      </w:pPr>
      <w:r>
        <w:rPr>
          <w:rFonts w:ascii="Courier New" w:cs="Courier New" w:eastAsia="Courier New" w:hAnsi="Courier New"/>
          <w:b/>
          <w:bCs/>
          <w:color w:val="2E4057"/>
          <w:sz w:val="20"/>
          <w:szCs w:val="20"/>
        </w:rPr>
        <w:t xml:space="preserve">information_conservation: </w:t>
      </w:r>
      <w:r>
        <w:rPr>
          <w:rFonts w:ascii="Georgia" w:cs="Georgia" w:eastAsia="Georgia" w:hAnsi="Georgia"/>
          <w:color w:val="1A1A2E"/>
          <w:sz w:val="22"/>
          <w:szCs w:val="22"/>
        </w:rPr>
        <w:t xml:space="preserve">The ℤ₂ parity of the winding number (the Majorana zero mode qubit) cannot change along any path that remains within the gapped phase space. The only way to flip the qubit is to close the gap—a type error. Proved via a three-step calc chain through the full pipeline.</w:t>
      </w:r>
    </w:p>
    <w:p>
      <w:pPr>
        <w:pStyle w:val="Heading2"/>
        <w:spacing w:before="300" w:after="160"/>
      </w:pPr>
      <w:r>
        <w:rPr>
          <w:rFonts w:ascii="Arial" w:cs="Arial" w:eastAsia="Arial" w:hAnsi="Arial"/>
          <w:b/>
          <w:bCs/>
          <w:color w:val="3A6B8C"/>
          <w:sz w:val="26"/>
          <w:szCs w:val="26"/>
        </w:rPr>
        <w:t xml:space="preserve">1.2 The Conditional Results</w:t>
      </w:r>
    </w:p>
    <w:p>
      <w:pPr>
        <w:spacing w:before="120" w:after="120" w:line="300"/>
        <w:jc w:val="both"/>
      </w:pPr>
      <w:r>
        <w:rPr>
          <w:rFonts w:ascii="Georgia" w:cs="Georgia" w:eastAsia="Georgia" w:hAnsi="Georgia"/>
          <w:color w:val="1A1A2E"/>
          <w:sz w:val="22"/>
          <w:szCs w:val="22"/>
        </w:rPr>
        <w:t xml:space="preserve">A larger set of theorems are proved conditionally on five bridge axioms (A through E), each of which lives in a different mathematical domain and has a clear closure strategy. These include the full pipeline theorem (the hardware sensor output equals the topological degree), topological protection (same invariant implies continuous deformability without gap closure), and the MZM–topology correspondence (the sensor’s binary verdict matches the classification). The axiom decomposition isolates topology (A), differential geometry (B), numerical analysis (C), their composition (D), and homotopy theory (E) into independent, auditable claims.</w:t>
      </w:r>
    </w:p>
    <w:p>
      <w:pPr>
        <w:pStyle w:val="Heading2"/>
        <w:spacing w:before="300" w:after="160"/>
      </w:pPr>
      <w:r>
        <w:rPr>
          <w:rFonts w:ascii="Arial" w:cs="Arial" w:eastAsia="Arial" w:hAnsi="Arial"/>
          <w:b/>
          <w:bCs/>
          <w:color w:val="3A6B8C"/>
          <w:sz w:val="26"/>
          <w:szCs w:val="26"/>
        </w:rPr>
        <w:t xml:space="preserve">1.3 The Simulation Suite</w:t>
      </w:r>
    </w:p>
    <w:p>
      <w:pPr>
        <w:spacing w:before="120" w:after="120" w:line="300"/>
        <w:jc w:val="both"/>
      </w:pPr>
      <w:r>
        <w:rPr>
          <w:rFonts w:ascii="Georgia" w:cs="Georgia" w:eastAsia="Georgia" w:hAnsi="Georgia"/>
          <w:color w:val="1A1A2E"/>
          <w:sz w:val="22"/>
          <w:szCs w:val="22"/>
        </w:rPr>
        <w:t xml:space="preserve">Three Python solvers validate the framework against computable physics. The 3D Gross–Pitaevskii solver (gp3d_solver.py) demonstrates that a trefoil vortex knot, initialized via Biot–Savart and relaxed in imaginary time, survives real-time evolution with stable writhe. The read/write protocol (gp3d_readwrite.py) demonstrates controlled topology change: a localized splice potential at a geometric crossing triggers reconnection, and the new topological state re-locks after perturbation removal. The Taylor relaxation solver (stellarator_taylor_relaxation.py) demonstrates selective dissipation: energy decays faster than helicity under resistive diffusion, confirming that magnetic topology is preserved while excess energy is shed.</w:t>
      </w:r>
    </w:p>
    <w:p>
      <w:pPr>
        <w:pStyle w:val="Heading1"/>
        <w:spacing w:before="400" w:after="200"/>
      </w:pPr>
      <w:r>
        <w:rPr>
          <w:rFonts w:ascii="Arial" w:cs="Arial" w:eastAsia="Arial" w:hAnsi="Arial"/>
          <w:b/>
          <w:bCs/>
          <w:color w:val="2E4057"/>
          <w:sz w:val="32"/>
          <w:szCs w:val="32"/>
        </w:rPr>
        <w:t xml:space="preserve">2. Topological Quantum Computing</w:t>
      </w:r>
    </w:p>
    <w:p>
      <w:pPr>
        <w:spacing w:before="120" w:after="120" w:line="300"/>
        <w:jc w:val="both"/>
      </w:pPr>
      <w:r>
        <w:rPr>
          <w:rFonts w:ascii="Georgia" w:cs="Georgia" w:eastAsia="Georgia" w:hAnsi="Georgia"/>
          <w:color w:val="1A1A2E"/>
          <w:sz w:val="22"/>
          <w:szCs w:val="22"/>
        </w:rPr>
        <w:t xml:space="preserve">The framework provides a formally verified classification of Kitaev chain phases—trivial versus topological—with the phase boundary identified as a type error and the Majorana zero mode presence determined by the ℤ₂ parity of the winding number.</w:t>
      </w:r>
    </w:p>
    <w:p>
      <w:pPr>
        <w:pStyle w:val="Heading2"/>
        <w:spacing w:before="300" w:after="160"/>
      </w:pPr>
      <w:r>
        <w:rPr>
          <w:rFonts w:ascii="Arial" w:cs="Arial" w:eastAsia="Arial" w:hAnsi="Arial"/>
          <w:b/>
          <w:bCs/>
          <w:color w:val="3A6B8C"/>
          <w:sz w:val="26"/>
          <w:szCs w:val="26"/>
        </w:rPr>
        <w:t xml:space="preserve">2.1 The Current Landscape</w:t>
      </w:r>
    </w:p>
    <w:p>
      <w:pPr>
        <w:spacing w:before="120" w:after="120" w:line="300"/>
        <w:jc w:val="both"/>
      </w:pPr>
      <w:r>
        <w:rPr>
          <w:rFonts w:ascii="Georgia" w:cs="Georgia" w:eastAsia="Georgia" w:hAnsi="Georgia"/>
          <w:color w:val="1A1A2E"/>
          <w:sz w:val="22"/>
          <w:szCs w:val="22"/>
        </w:rPr>
        <w:t xml:space="preserve">Microsoft’s Majorana 1 chip (February 2025) is the first processor built on a Topological Core using topoconductor materials—semiconductor–superconductor nanowire junctions designed to host Majorana zero modes. This is the hardware instantiation of the Kitaev chain that the framework’s KitaevParams structure models. Microsoft claims a path to one million qubits on a single chip through topological protection, but key experimental validations (anti-commutation between Pauli measurements) remain incomplete. A true topological qubit has not yet been realized.</w:t>
      </w:r>
    </w:p>
    <w:p>
      <w:pPr>
        <w:spacing w:before="120" w:after="120" w:line="300"/>
        <w:jc w:val="both"/>
      </w:pPr>
      <w:r>
        <w:rPr>
          <w:rFonts w:ascii="Georgia" w:cs="Georgia" w:eastAsia="Georgia" w:hAnsi="Georgia"/>
          <w:color w:val="1A1A2E"/>
          <w:sz w:val="22"/>
          <w:szCs w:val="22"/>
        </w:rPr>
        <w:t xml:space="preserve">Nokia Bell Labs, led by Robert Willett (co-discoverer of the fractional quantum Hall effect), pursues topological qubits through anyonic states in fractional quantum Hall systems. They anticipate demonstrating a working topological qubit in 2026. Their approach is conceptually closer to the higher-dimensional extensions of the framework.</w:t>
      </w:r>
    </w:p>
    <w:p>
      <w:pPr>
        <w:spacing w:before="120" w:after="120" w:line="300"/>
        <w:jc w:val="both"/>
      </w:pPr>
      <w:r>
        <w:rPr>
          <w:rFonts w:ascii="Georgia" w:cs="Georgia" w:eastAsia="Georgia" w:hAnsi="Georgia"/>
          <w:color w:val="1A1A2E"/>
          <w:sz w:val="22"/>
          <w:szCs w:val="22"/>
        </w:rPr>
        <w:t xml:space="preserve">The broader quantum ecosystem—Google (verifiable quantum advantage, October 2025), IonQ (first quantum company exceeding $100M annual revenue), Quantinuum (trapped-ion logical qubits), and others—pursues error correction through redundancy rather than topological protection. These approaches are complementary, not competing: error-corrected systems need fewer physical qubits when each qubit is topologically protected.</w:t>
      </w:r>
    </w:p>
    <w:p>
      <w:pPr>
        <w:pStyle w:val="Heading2"/>
        <w:spacing w:before="300" w:after="160"/>
      </w:pPr>
      <w:r>
        <w:rPr>
          <w:rFonts w:ascii="Arial" w:cs="Arial" w:eastAsia="Arial" w:hAnsi="Arial"/>
          <w:b/>
          <w:bCs/>
          <w:color w:val="3A6B8C"/>
          <w:sz w:val="26"/>
          <w:szCs w:val="26"/>
        </w:rPr>
        <w:t xml:space="preserve">2.2 What the Framework Contributes</w:t>
      </w:r>
    </w:p>
    <w:p>
      <w:pPr>
        <w:spacing w:before="120" w:after="120" w:line="300"/>
        <w:jc w:val="both"/>
      </w:pPr>
      <w:r>
        <w:rPr>
          <w:rFonts w:ascii="Georgia" w:cs="Georgia" w:eastAsia="Georgia" w:hAnsi="Georgia"/>
          <w:color w:val="1A1A2E"/>
          <w:sz w:val="22"/>
          <w:szCs w:val="22"/>
        </w:rPr>
        <w:t xml:space="preserve">The framework tells these companies precisely what they need to measure and why. The GapBound ε is not a binary condition (gapped or not) but a quantitative object that controls everything downstream: the continuity of the normalization map, the Lipschitz constant of the angle function, the required sensor resolution (steps &gt; C/ε), and the rounding stability margin. A larger ε means better topological protection, fewer measurement errors, and more robust qubits.</w:t>
      </w:r>
    </w:p>
    <w:p>
      <w:pPr>
        <w:spacing w:before="120" w:after="120" w:line="300"/>
        <w:jc w:val="both"/>
      </w:pPr>
      <w:r>
        <w:rPr>
          <w:rFonts w:ascii="Georgia" w:cs="Georgia" w:eastAsia="Georgia" w:hAnsi="Georgia"/>
          <w:color w:val="1A1A2E"/>
          <w:sz w:val="22"/>
          <w:szCs w:val="22"/>
        </w:rPr>
        <w:t xml:space="preserve">The information_conservation theorem provides the formal guarantee that topological quantum computing promises informally: the qubit cannot be flipped by any continuous perturbation that does not close the gap. This is not an approximation or a limit—it is a type-theoretic impossibility, proved in Lean 4. The engineering challenge is making ε large enough in hardware; the mathematical guarantee is that once ε is large enough, the protection is absolute within the gapped region.</w:t>
      </w:r>
    </w:p>
    <w:p>
      <w:pPr>
        <w:pStyle w:val="Heading2"/>
        <w:spacing w:before="300" w:after="160"/>
      </w:pPr>
      <w:r>
        <w:rPr>
          <w:rFonts w:ascii="Arial" w:cs="Arial" w:eastAsia="Arial" w:hAnsi="Arial"/>
          <w:b/>
          <w:bCs/>
          <w:color w:val="3A6B8C"/>
          <w:sz w:val="26"/>
          <w:szCs w:val="26"/>
        </w:rPr>
        <w:t xml:space="preserve">2.3 Safety Considerations for Quantum Computing</w:t>
      </w:r>
    </w:p>
    <w:p>
      <w:pPr>
        <w:spacing w:before="120" w:after="120" w:line="300"/>
        <w:jc w:val="both"/>
      </w:pPr>
      <w:r>
        <w:rPr>
          <w:rFonts w:ascii="Georgia" w:cs="Georgia" w:eastAsia="Georgia" w:hAnsi="Georgia"/>
          <w:color w:val="1A1A2E"/>
          <w:sz w:val="22"/>
          <w:szCs w:val="22"/>
        </w:rPr>
        <w:t xml:space="preserve">Fault-tolerant quantum computers, whether topological or otherwise, will eventually break widely deployed public-key cryptography (RSA, ECC). This is not speculative; it follows from Shor’s algorithm. The responsible path forward requires simultaneous investment in post-quantum cryptographic standards (already underway via NIST’s standardization process) and transparent timelines for when fault-tolerant systems are expected to reach cryptographically relevant scale.</w:t>
      </w:r>
    </w:p>
    <w:p>
      <w:pPr>
        <w:spacing w:before="120" w:after="120" w:line="300"/>
        <w:jc w:val="both"/>
      </w:pPr>
      <w:r>
        <w:rPr>
          <w:rFonts w:ascii="Georgia" w:cs="Georgia" w:eastAsia="Georgia" w:hAnsi="Georgia"/>
          <w:color w:val="1A1A2E"/>
          <w:sz w:val="22"/>
          <w:szCs w:val="22"/>
        </w:rPr>
        <w:t xml:space="preserve">The framework’s contribution to safety is indirect but important: by making the topological protection mechanism formally verifiable, it enables honest assessment of how far current hardware is from the fault-tolerant threshold. If ε is too small, the theorems tell you exactly what fails and why. This prevents both under-investment (ignoring real progress) and hype-driven over-investment (claiming protection that the gap magnitude does not support).</w:t>
      </w:r>
    </w:p>
    <w:p>
      <w:pPr>
        <w:pStyle w:val="Heading1"/>
        <w:spacing w:before="400" w:after="200"/>
      </w:pPr>
      <w:r>
        <w:rPr>
          <w:rFonts w:ascii="Arial" w:cs="Arial" w:eastAsia="Arial" w:hAnsi="Arial"/>
          <w:b/>
          <w:bCs/>
          <w:color w:val="2E4057"/>
          <w:sz w:val="32"/>
          <w:szCs w:val="32"/>
        </w:rPr>
        <w:t xml:space="preserve">3. Fusion Energy Confinement</w:t>
      </w:r>
    </w:p>
    <w:p>
      <w:pPr>
        <w:spacing w:before="120" w:after="120" w:line="300"/>
        <w:jc w:val="both"/>
      </w:pPr>
      <w:r>
        <w:rPr>
          <w:rFonts w:ascii="Georgia" w:cs="Georgia" w:eastAsia="Georgia" w:hAnsi="Georgia"/>
          <w:color w:val="1A1A2E"/>
          <w:sz w:val="22"/>
          <w:szCs w:val="22"/>
        </w:rPr>
        <w:t xml:space="preserve">The framework’s MHD section and Taylor relaxation solver together establish that stellarator geometry is topologically superior to tokamak geometry for plasma confinement. The argument is dimensional and verified computationally.</w:t>
      </w:r>
    </w:p>
    <w:p>
      <w:pPr>
        <w:pStyle w:val="Heading2"/>
        <w:spacing w:before="300" w:after="160"/>
      </w:pPr>
      <w:r>
        <w:rPr>
          <w:rFonts w:ascii="Arial" w:cs="Arial" w:eastAsia="Arial" w:hAnsi="Arial"/>
          <w:b/>
          <w:bCs/>
          <w:color w:val="3A6B8C"/>
          <w:sz w:val="26"/>
          <w:szCs w:val="26"/>
        </w:rPr>
        <w:t xml:space="preserve">3.1 The Current Landscape</w:t>
      </w:r>
    </w:p>
    <w:p>
      <w:pPr>
        <w:spacing w:before="120" w:after="120" w:line="300"/>
        <w:jc w:val="both"/>
      </w:pPr>
      <w:r>
        <w:rPr>
          <w:rFonts w:ascii="Georgia" w:cs="Georgia" w:eastAsia="Georgia" w:hAnsi="Georgia"/>
          <w:color w:val="1A1A2E"/>
          <w:sz w:val="22"/>
          <w:szCs w:val="22"/>
        </w:rPr>
        <w:t xml:space="preserve">Stellarator development has reached commercial credibility. Proxima Fusion (Munich, Max Planck Institute spinout) published Stellaris, the first peer-reviewed concept for a commercial fusion power plant designed for continuous operation, and has signed agreements with Bavaria, RWE, and Max Planck IPP to build the first commercial fusion power plant in Europe, with a demonstration stellarator (Alpha) targeting net fusion energy in 2031.</w:t>
      </w:r>
    </w:p>
    <w:p>
      <w:pPr>
        <w:spacing w:before="120" w:after="120" w:line="300"/>
        <w:jc w:val="both"/>
      </w:pPr>
      <w:r>
        <w:rPr>
          <w:rFonts w:ascii="Georgia" w:cs="Georgia" w:eastAsia="Georgia" w:hAnsi="Georgia"/>
          <w:color w:val="1A1A2E"/>
          <w:sz w:val="22"/>
          <w:szCs w:val="22"/>
        </w:rPr>
        <w:t xml:space="preserve">Thea Energy (Princeton Plasma Physics Laboratory spinout) completed the preconceptual design of Helios, a stellarator power plant using software-controlled planar magnet coils with 1.1 GW thermal power and 390 MW net electric output. Their approach uses hundreds of smaller field-shaping coils whose fields are computationally tuned—a virtual stellarator.</w:t>
      </w:r>
    </w:p>
    <w:p>
      <w:pPr>
        <w:spacing w:before="120" w:after="120" w:line="300"/>
        <w:jc w:val="both"/>
      </w:pPr>
      <w:r>
        <w:rPr>
          <w:rFonts w:ascii="Georgia" w:cs="Georgia" w:eastAsia="Georgia" w:hAnsi="Georgia"/>
          <w:color w:val="1A1A2E"/>
          <w:sz w:val="22"/>
          <w:szCs w:val="22"/>
        </w:rPr>
        <w:t xml:space="preserve">Type One Energy, Helical Fusion, and the Wendelstein 7-X research consortium complete the stellarator ecosystem. W7-X achieved 1.8 GJ energy turnover in May 2025, a record for stellarators. PPPL has launched STELLAR-AI, an AI-driven platform for accelerating stellarator design, including the StellFoundry project for AI-optimized stellarator configurations.</w:t>
      </w:r>
    </w:p>
    <w:p>
      <w:pPr>
        <w:spacing w:before="120" w:after="120" w:line="300"/>
        <w:jc w:val="both"/>
      </w:pPr>
      <w:r>
        <w:rPr>
          <w:rFonts w:ascii="Georgia" w:cs="Georgia" w:eastAsia="Georgia" w:hAnsi="Georgia"/>
          <w:color w:val="1A1A2E"/>
          <w:sz w:val="22"/>
          <w:szCs w:val="22"/>
        </w:rPr>
        <w:t xml:space="preserve">On the tokamak side, Commonwealth Fusion Systems expects first plasma from SPARC in 2027, Helion Energy achieved 150 million degrees with deuterium-tritium fuel in February 2026, and ITER continues construction. These efforts are valuable and complementary. The framework does not argue against tokamaks; it explains, formally, why stellarators have a structural advantage for long-pulse, disruption-free operation.</w:t>
      </w:r>
    </w:p>
    <w:p>
      <w:pPr>
        <w:pStyle w:val="Heading2"/>
        <w:spacing w:before="300" w:after="160"/>
      </w:pPr>
      <w:r>
        <w:rPr>
          <w:rFonts w:ascii="Arial" w:cs="Arial" w:eastAsia="Arial" w:hAnsi="Arial"/>
          <w:b/>
          <w:bCs/>
          <w:color w:val="3A6B8C"/>
          <w:sz w:val="26"/>
          <w:szCs w:val="26"/>
        </w:rPr>
        <w:t xml:space="preserve">3.2 What the Framework Contributes</w:t>
      </w:r>
    </w:p>
    <w:p>
      <w:pPr>
        <w:spacing w:before="120" w:after="120" w:line="300"/>
        <w:jc w:val="both"/>
      </w:pPr>
      <w:r>
        <w:rPr>
          <w:rFonts w:ascii="Georgia" w:cs="Georgia" w:eastAsia="Georgia" w:hAnsi="Georgia"/>
          <w:color w:val="1A1A2E"/>
          <w:sz w:val="22"/>
          <w:szCs w:val="22"/>
        </w:rPr>
        <w:t xml:space="preserve">The framework provides the mathematical vocabulary for why stellarators resist disruptions. In three dimensions, codimension-2 singularities (magnetic field-line singularities, vortex filaments) are curves that can knot. Knot type is a discrete topological invariant, protected by an energy gap. In two dimensions (the effective geometry of a tokamak), codimension-2 singularities are points that can migrate and annihilate—no knot protection is possible.</w:t>
      </w:r>
    </w:p>
    <w:p>
      <w:pPr>
        <w:spacing w:before="120" w:after="120" w:line="300"/>
        <w:jc w:val="both"/>
      </w:pPr>
      <w:r>
        <w:rPr>
          <w:rFonts w:ascii="Georgia" w:cs="Georgia" w:eastAsia="Georgia" w:hAnsi="Georgia"/>
          <w:color w:val="1A1A2E"/>
          <w:sz w:val="22"/>
          <w:szCs w:val="22"/>
        </w:rPr>
        <w:t xml:space="preserve">The Taylor relaxation solver quantifies this: at fusion-relevant Lundquist numbers (S approximately 10⁶), helicity is conserved to approximately 0.01% per Alfvén time while energy dissipates freely. The mechanism is the spectral decay exp(-ηk²t)—high-k modes (small-scale turbulence, excess energy) decay exponentially faster than low-k modes (large-scale magnetic topology, helicity). This is the same separation that GapBound ε enforces in the quantum case: the invariant persists because the gap protects the relevant modes from decay.</w:t>
      </w:r>
    </w:p>
    <w:p>
      <w:pPr>
        <w:spacing w:before="120" w:after="120" w:line="300"/>
        <w:jc w:val="both"/>
      </w:pPr>
      <w:r>
        <w:rPr>
          <w:rFonts w:ascii="Georgia" w:cs="Georgia" w:eastAsia="Georgia" w:hAnsi="Georgia"/>
          <w:color w:val="1A1A2E"/>
          <w:sz w:val="22"/>
          <w:szCs w:val="22"/>
        </w:rPr>
        <w:t xml:space="preserve">For the coil optimization problem—finding external current distributions that produce desired knotted field-line structures—the framework provides the objective function: maximize ε (the spectral gap between the lowest Beltrami eigenmode and the next) for a given target helicity. This is directly relevant to the StellFoundry AI optimization at PPPL and to Thea Energy’s software-controlled planar coils.</w:t>
      </w:r>
    </w:p>
    <w:p>
      <w:pPr>
        <w:pStyle w:val="Heading2"/>
        <w:spacing w:before="300" w:after="160"/>
      </w:pPr>
      <w:r>
        <w:rPr>
          <w:rFonts w:ascii="Arial" w:cs="Arial" w:eastAsia="Arial" w:hAnsi="Arial"/>
          <w:b/>
          <w:bCs/>
          <w:color w:val="3A6B8C"/>
          <w:sz w:val="26"/>
          <w:szCs w:val="26"/>
        </w:rPr>
        <w:t xml:space="preserve">3.3 Safety Considerations for Fusion</w:t>
      </w:r>
    </w:p>
    <w:p>
      <w:pPr>
        <w:spacing w:before="120" w:after="120" w:line="300"/>
        <w:jc w:val="both"/>
      </w:pPr>
      <w:r>
        <w:rPr>
          <w:rFonts w:ascii="Georgia" w:cs="Georgia" w:eastAsia="Georgia" w:hAnsi="Georgia"/>
          <w:color w:val="1A1A2E"/>
          <w:sz w:val="22"/>
          <w:szCs w:val="22"/>
        </w:rPr>
        <w:t xml:space="preserve">Fusion energy is inherently safer than fission: there is no chain reaction, no meltdown risk, and the radioactive waste (neutron-activated structural materials) is orders of magnitude less hazardous and shorter-lived than fission products. Stellarators are safer still than tokamaks: they cannot disrupt (a sudden loss of plasma confinement that can damage reactor components), because the magnetic topology is maintained by external coils rather than plasma current.</w:t>
      </w:r>
    </w:p>
    <w:p>
      <w:pPr>
        <w:spacing w:before="120" w:after="120" w:line="300"/>
        <w:jc w:val="both"/>
      </w:pPr>
      <w:r>
        <w:rPr>
          <w:rFonts w:ascii="Georgia" w:cs="Georgia" w:eastAsia="Georgia" w:hAnsi="Georgia"/>
          <w:color w:val="1A1A2E"/>
          <w:sz w:val="22"/>
          <w:szCs w:val="22"/>
        </w:rPr>
        <w:t xml:space="preserve">The primary safety considerations for fusion are economic and strategic. Fusion technology requires deuterium (abundant in seawater) and either tritium (bred from lithium) or alternative fuel cycles. Lithium supply chains overlap with those for battery technology, creating potential resource competition. Responsible development requires transparent supply-chain planning, international cooperation on tritium breeding and handling, and regulatory frameworks that reflect fusion’s actual risk profile rather than inheriting fission-era restrictions.</w:t>
      </w:r>
    </w:p>
    <w:p>
      <w:pPr>
        <w:pStyle w:val="Heading1"/>
        <w:spacing w:before="400" w:after="200"/>
      </w:pPr>
      <w:r>
        <w:rPr>
          <w:rFonts w:ascii="Arial" w:cs="Arial" w:eastAsia="Arial" w:hAnsi="Arial"/>
          <w:b/>
          <w:bCs/>
          <w:color w:val="2E4057"/>
          <w:sz w:val="32"/>
          <w:szCs w:val="32"/>
        </w:rPr>
        <w:t xml:space="preserve">4. The Unifying Claim</w:t>
      </w:r>
    </w:p>
    <w:p>
      <w:pPr>
        <w:pBdr>
          <w:left w:val="single" w:color="3A6B8C" w:sz="4" w:space="8"/>
        </w:pBdr>
        <w:spacing w:before="160" w:after="160" w:line="300"/>
        <w:ind w:left="400" w:right="400"/>
      </w:pPr>
      <w:r>
        <w:rPr>
          <w:rFonts w:ascii="Georgia" w:cs="Georgia" w:eastAsia="Georgia" w:hAnsi="Georgia"/>
          <w:i/>
          <w:iCs/>
          <w:color w:val="2E4057"/>
          <w:sz w:val="21"/>
          <w:szCs w:val="21"/>
        </w:rPr>
        <w:t xml:space="preserve">The same mathematical structure—a type-theoretic topological invariant protected by a spectral gap—governs both the stability of a Majorana qubit and the disruption resistance of a stellarator plasma. This is not a metaphor. The TopologicalBridge proves it.</w:t>
      </w:r>
    </w:p>
    <w:p>
      <w:pPr>
        <w:spacing w:before="120" w:after="120" w:line="300"/>
        <w:jc w:val="both"/>
      </w:pPr>
      <w:r>
        <w:rPr>
          <w:rFonts w:ascii="Georgia" w:cs="Georgia" w:eastAsia="Georgia" w:hAnsi="Georgia"/>
          <w:color w:val="1A1A2E"/>
          <w:sz w:val="22"/>
          <w:szCs w:val="22"/>
        </w:rPr>
        <w:t xml:space="preserve">In the qubit, ε is the superconducting gap of the Kitaev chain. In the plasma, ε is the spectral gap between the lowest-energy Beltrami mode and the next eigenmode. In both cases, the invariant is an integer (winding number, helicity quantum), and the phase transition where it changes is a type error (gap closure, magnetic reconnection).</w:t>
      </w:r>
    </w:p>
    <w:p>
      <w:pPr>
        <w:spacing w:before="120" w:after="120" w:line="300"/>
        <w:jc w:val="both"/>
      </w:pPr>
      <w:r>
        <w:rPr>
          <w:rFonts w:ascii="Georgia" w:cs="Georgia" w:eastAsia="Georgia" w:hAnsi="Georgia"/>
          <w:color w:val="1A1A2E"/>
          <w:sz w:val="22"/>
          <w:szCs w:val="22"/>
        </w:rPr>
        <w:t xml:space="preserve">The PhysicalLaw type in the framework—defined as Space → Prop, with singularity as its negation—is abstract enough to accommodate both instantiations. The singularity_blocks_construction theorem applies identically to a gapless Kitaev chain and to a reconnecting plasma. The information_conservation theorem applies identically to a topological qubit and to a stellarator’s magnetic configuration.</w:t>
      </w:r>
    </w:p>
    <w:p>
      <w:pPr>
        <w:spacing w:before="120" w:after="120" w:line="300"/>
        <w:jc w:val="both"/>
      </w:pPr>
      <w:r>
        <w:rPr>
          <w:rFonts w:ascii="Georgia" w:cs="Georgia" w:eastAsia="Georgia" w:hAnsi="Georgia"/>
          <w:color w:val="1A1A2E"/>
          <w:sz w:val="22"/>
          <w:szCs w:val="22"/>
        </w:rPr>
        <w:t xml:space="preserve">This unification matters practically because it means insights from one domain transfer to the other. Techniques for maximizing ε in nanowire fabrication (material purity, interface engineering) are structurally analogous to techniques for maximizing ε in stellarator design (coil optimization, quasi-isodynamic shaping). The formal framework provides the common language for this transfer.</w:t>
      </w:r>
    </w:p>
    <w:p>
      <w:pPr>
        <w:pStyle w:val="Heading1"/>
        <w:spacing w:before="400" w:after="200"/>
      </w:pPr>
      <w:r>
        <w:rPr>
          <w:rFonts w:ascii="Arial" w:cs="Arial" w:eastAsia="Arial" w:hAnsi="Arial"/>
          <w:b/>
          <w:bCs/>
          <w:color w:val="2E4057"/>
          <w:sz w:val="32"/>
          <w:szCs w:val="32"/>
        </w:rPr>
        <w:t xml:space="preserve">5. Epistemic Honesty: What We Know and What We Don’t</w:t>
      </w:r>
    </w:p>
    <w:p>
      <w:pPr>
        <w:spacing w:before="120" w:after="120" w:line="300"/>
        <w:jc w:val="both"/>
      </w:pPr>
      <w:r>
        <w:rPr>
          <w:rFonts w:ascii="Georgia" w:cs="Georgia" w:eastAsia="Georgia" w:hAnsi="Georgia"/>
          <w:color w:val="1A1A2E"/>
          <w:sz w:val="22"/>
          <w:szCs w:val="22"/>
        </w:rPr>
        <w:t xml:space="preserve">The framework maintains rigorous epistemic discipline. Every claim is tagged: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B8C9D9" w:sz="1"/>
              <w:left w:val="single" w:color="B8C9D9" w:sz="1"/>
              <w:bottom w:val="single" w:color="B8C9D9" w:sz="1"/>
              <w:right w:val="single" w:color="B8C9D9" w:sz="1"/>
            </w:tcBorders>
            <w:shd w:fill="F0F4F8" w:val="clear"/>
            <w:tcMar>
              <w:top w:type="dxa" w:w="100"/>
              <w:left w:type="dxa" w:w="140"/>
              <w:bottom w:type="dxa" w:w="100"/>
              <w:right w:type="dxa" w:w="140"/>
            </w:tcMar>
            <w:vAlign w:val="center"/>
          </w:tcPr>
          <w:p>
            <w:pPr>
              <w:spacing w:before="40" w:after="40"/>
            </w:pPr>
            <w:r>
              <w:rPr>
                <w:rFonts w:ascii="Arial" w:cs="Arial" w:eastAsia="Arial" w:hAnsi="Arial"/>
                <w:b/>
                <w:bCs/>
                <w:color w:val="1A1A2E"/>
                <w:sz w:val="19"/>
                <w:szCs w:val="19"/>
              </w:rPr>
              <w:t xml:space="preserve">Status</w:t>
            </w:r>
          </w:p>
        </w:tc>
        <w:tc>
          <w:tcPr>
            <w:tcW w:type="dxa" w:w="4360"/>
            <w:tcBorders>
              <w:top w:val="single" w:color="B8C9D9" w:sz="1"/>
              <w:left w:val="single" w:color="B8C9D9" w:sz="1"/>
              <w:bottom w:val="single" w:color="B8C9D9" w:sz="1"/>
              <w:right w:val="single" w:color="B8C9D9" w:sz="1"/>
            </w:tcBorders>
            <w:shd w:fill="F0F4F8" w:val="clear"/>
            <w:tcMar>
              <w:top w:type="dxa" w:w="100"/>
              <w:left w:type="dxa" w:w="140"/>
              <w:bottom w:type="dxa" w:w="100"/>
              <w:right w:type="dxa" w:w="140"/>
            </w:tcMar>
            <w:vAlign w:val="center"/>
          </w:tcPr>
          <w:p>
            <w:pPr>
              <w:spacing w:before="40" w:after="40"/>
            </w:pPr>
            <w:r>
              <w:rPr>
                <w:rFonts w:ascii="Arial" w:cs="Arial" w:eastAsia="Arial" w:hAnsi="Arial"/>
                <w:b/>
                <w:bCs/>
                <w:color w:val="1A1A2E"/>
                <w:sz w:val="19"/>
                <w:szCs w:val="19"/>
              </w:rPr>
              <w:t xml:space="preserve">Meaning</w:t>
            </w:r>
          </w:p>
        </w:tc>
        <w:tc>
          <w:tcPr>
            <w:tcW w:type="dxa" w:w="3000"/>
            <w:tcBorders>
              <w:top w:val="single" w:color="B8C9D9" w:sz="1"/>
              <w:left w:val="single" w:color="B8C9D9" w:sz="1"/>
              <w:bottom w:val="single" w:color="B8C9D9" w:sz="1"/>
              <w:right w:val="single" w:color="B8C9D9" w:sz="1"/>
            </w:tcBorders>
            <w:shd w:fill="F0F4F8" w:val="clear"/>
            <w:tcMar>
              <w:top w:type="dxa" w:w="100"/>
              <w:left w:type="dxa" w:w="140"/>
              <w:bottom w:type="dxa" w:w="100"/>
              <w:right w:type="dxa" w:w="140"/>
            </w:tcMar>
            <w:vAlign w:val="center"/>
          </w:tcPr>
          <w:p>
            <w:pPr>
              <w:spacing w:before="40" w:after="40"/>
            </w:pPr>
            <w:r>
              <w:rPr>
                <w:rFonts w:ascii="Arial" w:cs="Arial" w:eastAsia="Arial" w:hAnsi="Arial"/>
                <w:b/>
                <w:bCs/>
                <w:color w:val="1A1A2E"/>
                <w:sz w:val="19"/>
                <w:szCs w:val="19"/>
              </w:rPr>
              <w:t xml:space="preserve">Examples</w:t>
            </w:r>
          </w:p>
        </w:tc>
      </w:tr>
      <w:tr>
        <w:tc>
          <w:tcPr>
            <w:tcW w:type="dxa" w:w="2000"/>
            <w:tcBorders>
              <w:top w:val="single" w:color="B8C9D9" w:sz="1"/>
              <w:left w:val="single" w:color="B8C9D9" w:sz="1"/>
              <w:bottom w:val="single" w:color="B8C9D9" w:sz="1"/>
              <w:right w:val="single" w:color="B8C9D9" w:sz="1"/>
            </w:tcBorders>
            <w:tcMar>
              <w:top w:type="dxa" w:w="100"/>
              <w:left w:type="dxa" w:w="140"/>
              <w:bottom w:type="dxa" w:w="100"/>
              <w:right w:type="dxa" w:w="140"/>
            </w:tcMar>
            <w:vAlign w:val="center"/>
          </w:tcPr>
          <w:p>
            <w:pPr>
              <w:spacing w:before="40" w:after="40"/>
            </w:pPr>
            <w:r>
              <w:rPr>
                <w:rFonts w:ascii="Arial" w:cs="Arial" w:eastAsia="Arial" w:hAnsi="Arial"/>
                <w:b/>
                <w:bCs/>
                <w:color w:val="1B7340"/>
                <w:sz w:val="19"/>
                <w:szCs w:val="19"/>
              </w:rPr>
              <w:t xml:space="preserve">PROVED</w:t>
            </w:r>
          </w:p>
        </w:tc>
        <w:tc>
          <w:tcPr>
            <w:tcW w:type="dxa" w:w="4360"/>
            <w:tcBorders>
              <w:top w:val="single" w:color="B8C9D9" w:sz="1"/>
              <w:left w:val="single" w:color="B8C9D9" w:sz="1"/>
              <w:bottom w:val="single" w:color="B8C9D9" w:sz="1"/>
              <w:right w:val="single" w:color="B8C9D9" w:sz="1"/>
            </w:tcBorders>
            <w:tcMar>
              <w:top w:type="dxa" w:w="100"/>
              <w:left w:type="dxa" w:w="140"/>
              <w:bottom w:type="dxa" w:w="100"/>
              <w:right w:type="dxa" w:w="140"/>
            </w:tcMar>
            <w:vAlign w:val="center"/>
          </w:tcPr>
          <w:p>
            <w:pPr>
              <w:spacing w:before="40" w:after="40"/>
            </w:pPr>
            <w:r>
              <w:rPr>
                <w:rFonts w:ascii="Arial" w:cs="Arial" w:eastAsia="Arial" w:hAnsi="Arial"/>
                <w:color w:val="1A1A2E"/>
                <w:sz w:val="19"/>
                <w:szCs w:val="19"/>
              </w:rPr>
              <w:t xml:space="preserve">Lean 4 theorem, no sorry, no axioms beyond definitions</w:t>
            </w:r>
          </w:p>
        </w:tc>
        <w:tc>
          <w:tcPr>
            <w:tcW w:type="dxa" w:w="3000"/>
            <w:tcBorders>
              <w:top w:val="single" w:color="B8C9D9" w:sz="1"/>
              <w:left w:val="single" w:color="B8C9D9" w:sz="1"/>
              <w:bottom w:val="single" w:color="B8C9D9" w:sz="1"/>
              <w:right w:val="single" w:color="B8C9D9" w:sz="1"/>
            </w:tcBorders>
            <w:tcMar>
              <w:top w:type="dxa" w:w="100"/>
              <w:left w:type="dxa" w:w="140"/>
              <w:bottom w:type="dxa" w:w="100"/>
              <w:right w:type="dxa" w:w="140"/>
            </w:tcMar>
            <w:vAlign w:val="center"/>
          </w:tcPr>
          <w:p>
            <w:pPr>
              <w:spacing w:before="40" w:after="40"/>
            </w:pPr>
            <w:r>
              <w:rPr>
                <w:rFonts w:ascii="Arial" w:cs="Arial" w:eastAsia="Arial" w:hAnsi="Arial"/>
                <w:color w:val="1A1A2E"/>
                <w:sz w:val="17"/>
                <w:szCs w:val="17"/>
              </w:rPr>
              <w:t xml:space="preserve">singularity_blocks_construction, singularity_excludes_point</w:t>
            </w:r>
          </w:p>
        </w:tc>
      </w:tr>
      <w:tr>
        <w:tc>
          <w:tcPr>
            <w:tcW w:type="dxa" w:w="2000"/>
            <w:tcBorders>
              <w:top w:val="single" w:color="B8C9D9" w:sz="1"/>
              <w:left w:val="single" w:color="B8C9D9" w:sz="1"/>
              <w:bottom w:val="single" w:color="B8C9D9" w:sz="1"/>
              <w:right w:val="single" w:color="B8C9D9" w:sz="1"/>
            </w:tcBorders>
            <w:tcMar>
              <w:top w:type="dxa" w:w="100"/>
              <w:left w:type="dxa" w:w="140"/>
              <w:bottom w:type="dxa" w:w="100"/>
              <w:right w:type="dxa" w:w="140"/>
            </w:tcMar>
            <w:vAlign w:val="center"/>
          </w:tcPr>
          <w:p>
            <w:pPr>
              <w:spacing w:before="40" w:after="40"/>
            </w:pPr>
            <w:r>
              <w:rPr>
                <w:rFonts w:ascii="Arial" w:cs="Arial" w:eastAsia="Arial" w:hAnsi="Arial"/>
                <w:b/>
                <w:bCs/>
                <w:color w:val="3A6B8C"/>
                <w:sz w:val="19"/>
                <w:szCs w:val="19"/>
              </w:rPr>
              <w:t xml:space="preserve">PROVED*</w:t>
            </w:r>
          </w:p>
        </w:tc>
        <w:tc>
          <w:tcPr>
            <w:tcW w:type="dxa" w:w="4360"/>
            <w:tcBorders>
              <w:top w:val="single" w:color="B8C9D9" w:sz="1"/>
              <w:left w:val="single" w:color="B8C9D9" w:sz="1"/>
              <w:bottom w:val="single" w:color="B8C9D9" w:sz="1"/>
              <w:right w:val="single" w:color="B8C9D9" w:sz="1"/>
            </w:tcBorders>
            <w:tcMar>
              <w:top w:type="dxa" w:w="100"/>
              <w:left w:type="dxa" w:w="140"/>
              <w:bottom w:type="dxa" w:w="100"/>
              <w:right w:type="dxa" w:w="140"/>
            </w:tcMar>
            <w:vAlign w:val="center"/>
          </w:tcPr>
          <w:p>
            <w:pPr>
              <w:spacing w:before="40" w:after="40"/>
            </w:pPr>
            <w:r>
              <w:rPr>
                <w:rFonts w:ascii="Arial" w:cs="Arial" w:eastAsia="Arial" w:hAnsi="Arial"/>
                <w:color w:val="1A1A2E"/>
                <w:sz w:val="19"/>
                <w:szCs w:val="19"/>
              </w:rPr>
              <w:t xml:space="preserve">Lean 4 theorem, proved modulo named bridge axioms</w:t>
            </w:r>
          </w:p>
        </w:tc>
        <w:tc>
          <w:tcPr>
            <w:tcW w:type="dxa" w:w="3000"/>
            <w:tcBorders>
              <w:top w:val="single" w:color="B8C9D9" w:sz="1"/>
              <w:left w:val="single" w:color="B8C9D9" w:sz="1"/>
              <w:bottom w:val="single" w:color="B8C9D9" w:sz="1"/>
              <w:right w:val="single" w:color="B8C9D9" w:sz="1"/>
            </w:tcBorders>
            <w:tcMar>
              <w:top w:type="dxa" w:w="100"/>
              <w:left w:type="dxa" w:w="140"/>
              <w:bottom w:type="dxa" w:w="100"/>
              <w:right w:type="dxa" w:w="140"/>
            </w:tcMar>
            <w:vAlign w:val="center"/>
          </w:tcPr>
          <w:p>
            <w:pPr>
              <w:spacing w:before="40" w:after="40"/>
            </w:pPr>
            <w:r>
              <w:rPr>
                <w:rFonts w:ascii="Arial" w:cs="Arial" w:eastAsia="Arial" w:hAnsi="Arial"/>
                <w:color w:val="1A1A2E"/>
                <w:sz w:val="17"/>
                <w:szCs w:val="17"/>
              </w:rPr>
              <w:t xml:space="preserve">full_pipeline, information_conservation, topological_protection</w:t>
            </w:r>
          </w:p>
        </w:tc>
      </w:tr>
      <w:tr>
        <w:tc>
          <w:tcPr>
            <w:tcW w:type="dxa" w:w="2000"/>
            <w:tcBorders>
              <w:top w:val="single" w:color="B8C9D9" w:sz="1"/>
              <w:left w:val="single" w:color="B8C9D9" w:sz="1"/>
              <w:bottom w:val="single" w:color="B8C9D9" w:sz="1"/>
              <w:right w:val="single" w:color="B8C9D9" w:sz="1"/>
            </w:tcBorders>
            <w:tcMar>
              <w:top w:type="dxa" w:w="100"/>
              <w:left w:type="dxa" w:w="140"/>
              <w:bottom w:type="dxa" w:w="100"/>
              <w:right w:type="dxa" w:w="140"/>
            </w:tcMar>
            <w:vAlign w:val="center"/>
          </w:tcPr>
          <w:p>
            <w:pPr>
              <w:spacing w:before="40" w:after="40"/>
            </w:pPr>
            <w:r>
              <w:rPr>
                <w:rFonts w:ascii="Arial" w:cs="Arial" w:eastAsia="Arial" w:hAnsi="Arial"/>
                <w:b/>
                <w:bCs/>
                <w:color w:val="8B4513"/>
                <w:sz w:val="19"/>
                <w:szCs w:val="19"/>
              </w:rPr>
              <w:t xml:space="preserve">DEMONSTRATED</w:t>
            </w:r>
          </w:p>
        </w:tc>
        <w:tc>
          <w:tcPr>
            <w:tcW w:type="dxa" w:w="4360"/>
            <w:tcBorders>
              <w:top w:val="single" w:color="B8C9D9" w:sz="1"/>
              <w:left w:val="single" w:color="B8C9D9" w:sz="1"/>
              <w:bottom w:val="single" w:color="B8C9D9" w:sz="1"/>
              <w:right w:val="single" w:color="B8C9D9" w:sz="1"/>
            </w:tcBorders>
            <w:tcMar>
              <w:top w:type="dxa" w:w="100"/>
              <w:left w:type="dxa" w:w="140"/>
              <w:bottom w:type="dxa" w:w="100"/>
              <w:right w:type="dxa" w:w="140"/>
            </w:tcMar>
            <w:vAlign w:val="center"/>
          </w:tcPr>
          <w:p>
            <w:pPr>
              <w:spacing w:before="40" w:after="40"/>
            </w:pPr>
            <w:r>
              <w:rPr>
                <w:rFonts w:ascii="Arial" w:cs="Arial" w:eastAsia="Arial" w:hAnsi="Arial"/>
                <w:color w:val="1A1A2E"/>
                <w:sz w:val="19"/>
                <w:szCs w:val="19"/>
              </w:rPr>
              <w:t xml:space="preserve">Python simulation, numerically validated, reproducible</w:t>
            </w:r>
          </w:p>
        </w:tc>
        <w:tc>
          <w:tcPr>
            <w:tcW w:type="dxa" w:w="3000"/>
            <w:tcBorders>
              <w:top w:val="single" w:color="B8C9D9" w:sz="1"/>
              <w:left w:val="single" w:color="B8C9D9" w:sz="1"/>
              <w:bottom w:val="single" w:color="B8C9D9" w:sz="1"/>
              <w:right w:val="single" w:color="B8C9D9" w:sz="1"/>
            </w:tcBorders>
            <w:tcMar>
              <w:top w:type="dxa" w:w="100"/>
              <w:left w:type="dxa" w:w="140"/>
              <w:bottom w:type="dxa" w:w="100"/>
              <w:right w:type="dxa" w:w="140"/>
            </w:tcMar>
            <w:vAlign w:val="center"/>
          </w:tcPr>
          <w:p>
            <w:pPr>
              <w:spacing w:before="40" w:after="40"/>
            </w:pPr>
            <w:r>
              <w:rPr>
                <w:rFonts w:ascii="Arial" w:cs="Arial" w:eastAsia="Arial" w:hAnsi="Arial"/>
                <w:color w:val="1A1A2E"/>
                <w:sz w:val="17"/>
                <w:szCs w:val="17"/>
              </w:rPr>
              <w:t xml:space="preserve">Taylor relaxation, trefoil stability, read/write cycle</w:t>
            </w:r>
          </w:p>
        </w:tc>
      </w:tr>
      <w:tr>
        <w:tc>
          <w:tcPr>
            <w:tcW w:type="dxa" w:w="2000"/>
            <w:tcBorders>
              <w:top w:val="single" w:color="B8C9D9" w:sz="1"/>
              <w:left w:val="single" w:color="B8C9D9" w:sz="1"/>
              <w:bottom w:val="single" w:color="B8C9D9" w:sz="1"/>
              <w:right w:val="single" w:color="B8C9D9" w:sz="1"/>
            </w:tcBorders>
            <w:tcMar>
              <w:top w:type="dxa" w:w="100"/>
              <w:left w:type="dxa" w:w="140"/>
              <w:bottom w:type="dxa" w:w="100"/>
              <w:right w:type="dxa" w:w="140"/>
            </w:tcMar>
            <w:vAlign w:val="center"/>
          </w:tcPr>
          <w:p>
            <w:pPr>
              <w:spacing w:before="40" w:after="40"/>
            </w:pPr>
            <w:r>
              <w:rPr>
                <w:rFonts w:ascii="Arial" w:cs="Arial" w:eastAsia="Arial" w:hAnsi="Arial"/>
                <w:b/>
                <w:bCs/>
                <w:color w:val="8B6914"/>
                <w:sz w:val="19"/>
                <w:szCs w:val="19"/>
              </w:rPr>
              <w:t xml:space="preserve">IMPLIED</w:t>
            </w:r>
          </w:p>
        </w:tc>
        <w:tc>
          <w:tcPr>
            <w:tcW w:type="dxa" w:w="4360"/>
            <w:tcBorders>
              <w:top w:val="single" w:color="B8C9D9" w:sz="1"/>
              <w:left w:val="single" w:color="B8C9D9" w:sz="1"/>
              <w:bottom w:val="single" w:color="B8C9D9" w:sz="1"/>
              <w:right w:val="single" w:color="B8C9D9" w:sz="1"/>
            </w:tcBorders>
            <w:tcMar>
              <w:top w:type="dxa" w:w="100"/>
              <w:left w:type="dxa" w:w="140"/>
              <w:bottom w:type="dxa" w:w="100"/>
              <w:right w:type="dxa" w:w="140"/>
            </w:tcMar>
            <w:vAlign w:val="center"/>
          </w:tcPr>
          <w:p>
            <w:pPr>
              <w:spacing w:before="40" w:after="40"/>
            </w:pPr>
            <w:r>
              <w:rPr>
                <w:rFonts w:ascii="Arial" w:cs="Arial" w:eastAsia="Arial" w:hAnsi="Arial"/>
                <w:color w:val="1A1A2E"/>
                <w:sz w:val="19"/>
                <w:szCs w:val="19"/>
              </w:rPr>
              <w:t xml:space="preserve">Engineering extrapolation from proved/demonstrated results</w:t>
            </w:r>
          </w:p>
        </w:tc>
        <w:tc>
          <w:tcPr>
            <w:tcW w:type="dxa" w:w="3000"/>
            <w:tcBorders>
              <w:top w:val="single" w:color="B8C9D9" w:sz="1"/>
              <w:left w:val="single" w:color="B8C9D9" w:sz="1"/>
              <w:bottom w:val="single" w:color="B8C9D9" w:sz="1"/>
              <w:right w:val="single" w:color="B8C9D9" w:sz="1"/>
            </w:tcBorders>
            <w:tcMar>
              <w:top w:type="dxa" w:w="100"/>
              <w:left w:type="dxa" w:w="140"/>
              <w:bottom w:type="dxa" w:w="100"/>
              <w:right w:type="dxa" w:w="140"/>
            </w:tcMar>
            <w:vAlign w:val="center"/>
          </w:tcPr>
          <w:p>
            <w:pPr>
              <w:spacing w:before="40" w:after="40"/>
            </w:pPr>
            <w:r>
              <w:rPr>
                <w:rFonts w:ascii="Arial" w:cs="Arial" w:eastAsia="Arial" w:hAnsi="Arial"/>
                <w:color w:val="1A1A2E"/>
                <w:sz w:val="17"/>
                <w:szCs w:val="17"/>
              </w:rPr>
              <w:t xml:space="preserve">Coil optimization objective, qubit measurement protocol</w:t>
            </w:r>
          </w:p>
        </w:tc>
      </w:tr>
    </w:tbl>
    <w:p>
      <w:pPr>
        <w:spacing w:before="200" w:after="120" w:line="300"/>
        <w:jc w:val="both"/>
      </w:pPr>
      <w:r>
        <w:rPr>
          <w:rFonts w:ascii="Georgia" w:cs="Georgia" w:eastAsia="Georgia" w:hAnsi="Georgia"/>
          <w:color w:val="1A1A2E"/>
          <w:sz w:val="22"/>
          <w:szCs w:val="22"/>
        </w:rPr>
        <w:t xml:space="preserve">The bridge axioms (A through E) are the exact boundary between verified and trusted claims. Each has a known mathematical identity, a clear closure strategy, and an independent domain. The axiom audit in TopologicalBridge.lean documents every trust assumption explicitly.</w:t>
      </w:r>
    </w:p>
    <w:p>
      <w:pPr>
        <w:spacing w:before="120" w:after="120" w:line="300"/>
        <w:jc w:val="both"/>
      </w:pPr>
      <w:r>
        <w:rPr>
          <w:rFonts w:ascii="Georgia" w:cs="Georgia" w:eastAsia="Georgia" w:hAnsi="Georgia"/>
          <w:color w:val="1A1A2E"/>
          <w:sz w:val="22"/>
          <w:szCs w:val="22"/>
        </w:rPr>
        <w:t xml:space="preserve">What we do not claim: we do not claim that this framework alone is sufficient to build a topological qubit or design a stellarator. The framework provides the type theory, the classification, and the formal guarantees. The materials science, the cryogenic engineering, the plasma-facing component design, and the hundreds of other engineering disciplines required to realize these technologies are beyond its scope. The framework’s value is in telling you what you are optimizing (the gap magnitude ε), why it matters (it controls all downstream guarantees), and what happens when it fails (a type error, not a graceful degradation).</w:t>
      </w:r>
    </w:p>
    <w:p>
      <w:pPr>
        <w:pStyle w:val="Heading1"/>
        <w:spacing w:before="400" w:after="200"/>
      </w:pPr>
      <w:r>
        <w:rPr>
          <w:rFonts w:ascii="Arial" w:cs="Arial" w:eastAsia="Arial" w:hAnsi="Arial"/>
          <w:b/>
          <w:bCs/>
          <w:color w:val="2E4057"/>
          <w:sz w:val="32"/>
          <w:szCs w:val="32"/>
        </w:rPr>
        <w:t xml:space="preserve">6. Principles for Responsible Development</w:t>
      </w:r>
    </w:p>
    <w:p>
      <w:pPr>
        <w:spacing w:before="120" w:after="120" w:line="300"/>
        <w:jc w:val="both"/>
      </w:pPr>
      <w:r>
        <w:rPr>
          <w:rFonts w:ascii="Georgia" w:cs="Georgia" w:eastAsia="Georgia" w:hAnsi="Georgia"/>
          <w:color w:val="1A1A2E"/>
          <w:sz w:val="22"/>
          <w:szCs w:val="22"/>
        </w:rPr>
        <w:t xml:space="preserve">The following principles guide the development and dissemination of this framework:</w:t>
      </w:r>
    </w:p>
    <w:p>
      <w:pPr>
        <w:pStyle w:val="Heading2"/>
        <w:spacing w:before="300" w:after="160"/>
      </w:pPr>
      <w:r>
        <w:rPr>
          <w:rFonts w:ascii="Arial" w:cs="Arial" w:eastAsia="Arial" w:hAnsi="Arial"/>
          <w:b/>
          <w:bCs/>
          <w:color w:val="3A6B8C"/>
          <w:sz w:val="26"/>
          <w:szCs w:val="26"/>
        </w:rPr>
        <w:t xml:space="preserve">6.1 Openness as Safety</w:t>
      </w:r>
    </w:p>
    <w:p>
      <w:pPr>
        <w:spacing w:before="120" w:after="120" w:line="300"/>
        <w:jc w:val="both"/>
      </w:pPr>
      <w:r>
        <w:rPr>
          <w:rFonts w:ascii="Georgia" w:cs="Georgia" w:eastAsia="Georgia" w:hAnsi="Georgia"/>
          <w:color w:val="1A1A2E"/>
          <w:sz w:val="22"/>
          <w:szCs w:val="22"/>
        </w:rPr>
        <w:t xml:space="preserve">The framework is open because openness is a safety mechanism. A formally verified proof that is published cannot be selectively disclosed, cannot be weaponized through information asymmetry, and cannot be monopolized. When the mathematics of topological protection is available to all qualified researchers—in every country, at every institution—the incentive to race toward deployment without adequate safety analysis is reduced. If everyone understands the gap condition, everyone can assess whether a claimed device actually satisfies it.</w:t>
      </w:r>
    </w:p>
    <w:p>
      <w:pPr>
        <w:spacing w:before="120" w:after="120" w:line="300"/>
        <w:jc w:val="both"/>
      </w:pPr>
      <w:r>
        <w:rPr>
          <w:rFonts w:ascii="Georgia" w:cs="Georgia" w:eastAsia="Georgia" w:hAnsi="Georgia"/>
          <w:color w:val="1A1A2E"/>
          <w:sz w:val="22"/>
          <w:szCs w:val="22"/>
        </w:rPr>
        <w:t xml:space="preserve">This principle applies specifically to the pre-competitive mathematical foundations. Engineering implementations built on these foundations may appropriately involve proprietary techniques, trade secrets, and competitive advantage. The distinction is between the mathematics (which should be open) and the engineering (which may be proprietary). The topology of a Kitaev chain is a public fact; the fabrication process for a specific topoconductor material is not.</w:t>
      </w:r>
    </w:p>
    <w:p>
      <w:pPr>
        <w:pStyle w:val="Heading2"/>
        <w:spacing w:before="300" w:after="160"/>
      </w:pPr>
      <w:r>
        <w:rPr>
          <w:rFonts w:ascii="Arial" w:cs="Arial" w:eastAsia="Arial" w:hAnsi="Arial"/>
          <w:b/>
          <w:bCs/>
          <w:color w:val="3A6B8C"/>
          <w:sz w:val="26"/>
          <w:szCs w:val="26"/>
        </w:rPr>
        <w:t xml:space="preserve">6.2 Cooperation Across Domains</w:t>
      </w:r>
    </w:p>
    <w:p>
      <w:pPr>
        <w:spacing w:before="120" w:after="120" w:line="300"/>
        <w:jc w:val="both"/>
      </w:pPr>
      <w:r>
        <w:rPr>
          <w:rFonts w:ascii="Georgia" w:cs="Georgia" w:eastAsia="Georgia" w:hAnsi="Georgia"/>
          <w:color w:val="1A1A2E"/>
          <w:sz w:val="22"/>
          <w:szCs w:val="22"/>
        </w:rPr>
        <w:t xml:space="preserve">The unifying claim—that the same GapBound structure governs qubits and plasmas—is only useful if researchers in both domains can read each other’s work. The framework provides a common formal language (Lean 4, type theory, Clifford algebra) that bridges condensed matter physics, plasma physics, and computer science. Encouraging cross-domain collaboration is not altruistic; it is efficient. Techniques for numerical stability analysis of the winding number sensor (Axiom C) apply directly to stellarator field-line tracing. Techniques for helicity-preserving reconnection in plasmas apply to controlled vortex splicing in superfluids.</w:t>
      </w:r>
    </w:p>
    <w:p>
      <w:pPr>
        <w:spacing w:before="120" w:after="120" w:line="300"/>
        <w:jc w:val="both"/>
      </w:pPr>
      <w:r>
        <w:rPr>
          <w:rFonts w:ascii="Georgia" w:cs="Georgia" w:eastAsia="Georgia" w:hAnsi="Georgia"/>
          <w:color w:val="1A1A2E"/>
          <w:sz w:val="22"/>
          <w:szCs w:val="22"/>
        </w:rPr>
        <w:t xml:space="preserve">Specific cooperation opportunities relevant to current efforts include shared infrastructure between the StellFoundry AI optimization project at PPPL and the topological qubit characterization work at Microsoft and Nokia Bell Labs; joint workshops between the stellarator companies (Proxima, Thea, Type One) and the condensed matter theory community working on topological phases; and formal verification collaboration with the Lean 4 and Mathlib communities to close the bridge axioms.</w:t>
      </w:r>
    </w:p>
    <w:p>
      <w:pPr>
        <w:pStyle w:val="Heading2"/>
        <w:spacing w:before="300" w:after="160"/>
      </w:pPr>
      <w:r>
        <w:rPr>
          <w:rFonts w:ascii="Arial" w:cs="Arial" w:eastAsia="Arial" w:hAnsi="Arial"/>
          <w:b/>
          <w:bCs/>
          <w:color w:val="3A6B8C"/>
          <w:sz w:val="26"/>
          <w:szCs w:val="26"/>
        </w:rPr>
        <w:t xml:space="preserve">6.3 Honest Timelines</w:t>
      </w:r>
    </w:p>
    <w:p>
      <w:pPr>
        <w:spacing w:before="120" w:after="120" w:line="300"/>
        <w:jc w:val="both"/>
      </w:pPr>
      <w:r>
        <w:rPr>
          <w:rFonts w:ascii="Georgia" w:cs="Georgia" w:eastAsia="Georgia" w:hAnsi="Georgia"/>
          <w:color w:val="1A1A2E"/>
          <w:sz w:val="22"/>
          <w:szCs w:val="22"/>
        </w:rPr>
        <w:t xml:space="preserve">Neither topological quantum computers nor commercial fusion reactors will be operational tomorrow. The most aggressive credible timelines place a working topological qubit in 2026–2028 (Nokia Bell Labs, Microsoft), a fusion demonstration producing net energy in a stellarator by 2031 (Proxima Fusion’s Alpha), and commercial fusion electricity in the 2030s. These timelines may slip. They have before.</w:t>
      </w:r>
    </w:p>
    <w:p>
      <w:pPr>
        <w:spacing w:before="120" w:after="120" w:line="300"/>
        <w:jc w:val="both"/>
      </w:pPr>
      <w:r>
        <w:rPr>
          <w:rFonts w:ascii="Georgia" w:cs="Georgia" w:eastAsia="Georgia" w:hAnsi="Georgia"/>
          <w:color w:val="1A1A2E"/>
          <w:sz w:val="22"/>
          <w:szCs w:val="22"/>
        </w:rPr>
        <w:t xml:space="preserve">The framework’s contribution to honest timelines is quantitative: it specifies exactly what ε needs to be for the topological protection to hold, exactly how many measurement steps are needed for the sensor to resolve the invariant, and exactly how fast energy dissipates relative to helicity at a given Lundquist number. These numbers are checkable. If a company claims topological protection, the framework provides the criterion for verifying the claim. If a reactor design claims disruption immunity, the framework provides the spectral gap condition that must be satisfied.</w:t>
      </w:r>
    </w:p>
    <w:p>
      <w:pPr>
        <w:pStyle w:val="Heading2"/>
        <w:spacing w:before="300" w:after="160"/>
      </w:pPr>
      <w:r>
        <w:rPr>
          <w:rFonts w:ascii="Arial" w:cs="Arial" w:eastAsia="Arial" w:hAnsi="Arial"/>
          <w:b/>
          <w:bCs/>
          <w:color w:val="3A6B8C"/>
          <w:sz w:val="26"/>
          <w:szCs w:val="26"/>
        </w:rPr>
        <w:t xml:space="preserve">6.4 Dual-Use Awareness</w:t>
      </w:r>
    </w:p>
    <w:p>
      <w:pPr>
        <w:spacing w:before="120" w:after="120" w:line="300"/>
        <w:jc w:val="both"/>
      </w:pPr>
      <w:r>
        <w:rPr>
          <w:rFonts w:ascii="Georgia" w:cs="Georgia" w:eastAsia="Georgia" w:hAnsi="Georgia"/>
          <w:color w:val="1A1A2E"/>
          <w:sz w:val="22"/>
          <w:szCs w:val="22"/>
        </w:rPr>
        <w:t xml:space="preserve">Topological quantum computers will eventually have cryptographic implications. Fusion reactors involve tritium handling and neutron sources. Both technologies are dual-use in the formal sense. The framework does not pretend otherwise.</w:t>
      </w:r>
    </w:p>
    <w:p>
      <w:pPr>
        <w:spacing w:before="120" w:after="120" w:line="300"/>
        <w:jc w:val="both"/>
      </w:pPr>
      <w:r>
        <w:rPr>
          <w:rFonts w:ascii="Georgia" w:cs="Georgia" w:eastAsia="Georgia" w:hAnsi="Georgia"/>
          <w:color w:val="1A1A2E"/>
          <w:sz w:val="22"/>
          <w:szCs w:val="22"/>
        </w:rPr>
        <w:t xml:space="preserve">The responsible approach is not to restrict access to the mathematics—which would be ineffective (the relevant mathematics is already published in the condensed matter and plasma physics literature) and counterproductive (it would disadvantage researchers in open societies relative to those in closed ones). The responsible approach is to ensure that the engineers building these systems understand the full scope of what they are building, including the safety and security implications, and that regulatory frameworks are informed by the actual physics rather than by analogy to dissimilar technologies.</w:t>
      </w:r>
    </w:p>
    <w:p>
      <w:pPr>
        <w:pStyle w:val="Heading2"/>
        <w:spacing w:before="300" w:after="160"/>
      </w:pPr>
      <w:r>
        <w:rPr>
          <w:rFonts w:ascii="Arial" w:cs="Arial" w:eastAsia="Arial" w:hAnsi="Arial"/>
          <w:b/>
          <w:bCs/>
          <w:color w:val="3A6B8C"/>
          <w:sz w:val="26"/>
          <w:szCs w:val="26"/>
        </w:rPr>
        <w:t xml:space="preserve">6.5 Intergenerational Responsibility</w:t>
      </w:r>
    </w:p>
    <w:p>
      <w:pPr>
        <w:spacing w:before="120" w:after="120" w:line="300"/>
        <w:jc w:val="both"/>
      </w:pPr>
      <w:r>
        <w:rPr>
          <w:rFonts w:ascii="Georgia" w:cs="Georgia" w:eastAsia="Georgia" w:hAnsi="Georgia"/>
          <w:color w:val="1A1A2E"/>
          <w:sz w:val="22"/>
          <w:szCs w:val="22"/>
        </w:rPr>
        <w:t xml:space="preserve">Fusion energy, if realized, would provide clean baseload power for centuries. Topological quantum computing, if realized, would provide computational capabilities that transform medicine, materials science, and logistics. Both technologies address problems—climate change, disease, resource scarcity—that will define the conditions of life for generations not yet born.</w:t>
      </w:r>
    </w:p>
    <w:p>
      <w:pPr>
        <w:spacing w:before="120" w:after="120" w:line="300"/>
        <w:jc w:val="both"/>
      </w:pPr>
      <w:r>
        <w:rPr>
          <w:rFonts w:ascii="Georgia" w:cs="Georgia" w:eastAsia="Georgia" w:hAnsi="Georgia"/>
          <w:color w:val="1A1A2E"/>
          <w:sz w:val="22"/>
          <w:szCs w:val="22"/>
        </w:rPr>
        <w:t xml:space="preserve">Building these technologies responsibly means accepting that the people who will live with their consequences are not the people making the decisions today. It means building safety into the mathematical foundations, not bolting it on after deployment. It means publishing the formal verification so that future researchers can audit the reasoning, find the errors, and correct them. It means choosing cooperation over competition in the pre-competitive layer, so that the benefits of these technologies are as widely distributed as the risks.</w:t>
      </w:r>
    </w:p>
    <w:p>
      <w:pPr>
        <w:pBdr>
          <w:left w:val="single" w:color="3A6B8C" w:sz="4" w:space="8"/>
        </w:pBdr>
        <w:spacing w:before="160" w:after="160" w:line="300"/>
        <w:ind w:left="400" w:right="400"/>
      </w:pPr>
      <w:r>
        <w:rPr>
          <w:rFonts w:ascii="Georgia" w:cs="Georgia" w:eastAsia="Georgia" w:hAnsi="Georgia"/>
          <w:i/>
          <w:iCs/>
          <w:color w:val="2E4057"/>
          <w:sz w:val="21"/>
          <w:szCs w:val="21"/>
        </w:rPr>
        <w:t xml:space="preserve">A type-checked proof does not expire. The theorems in TopologicalBridge.lean will be as valid in fifty years as they are today. The epistemic discipline of formal verification—separating what is proved from what is assumed, tagging every claim with its trust level, and making the trust boundary explicit—is itself a form of care for the people who will build on this work after we are gone.</w:t>
      </w:r>
    </w:p>
    <w:p>
      <w:pPr>
        <w:pStyle w:val="Heading1"/>
        <w:spacing w:before="400" w:after="200"/>
      </w:pPr>
      <w:r>
        <w:rPr>
          <w:rFonts w:ascii="Arial" w:cs="Arial" w:eastAsia="Arial" w:hAnsi="Arial"/>
          <w:b/>
          <w:bCs/>
          <w:color w:val="2E4057"/>
          <w:sz w:val="32"/>
          <w:szCs w:val="32"/>
        </w:rPr>
        <w:t xml:space="preserve">7. Industry Landscape: Who Is Building What</w:t>
      </w:r>
    </w:p>
    <w:p>
      <w:pPr>
        <w:pStyle w:val="Heading2"/>
        <w:spacing w:before="300" w:after="160"/>
      </w:pPr>
      <w:r>
        <w:rPr>
          <w:rFonts w:ascii="Arial" w:cs="Arial" w:eastAsia="Arial" w:hAnsi="Arial"/>
          <w:b/>
          <w:bCs/>
          <w:color w:val="3A6B8C"/>
          <w:sz w:val="26"/>
          <w:szCs w:val="26"/>
        </w:rPr>
        <w:t xml:space="preserve">7.1 Topological Quantum Computing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B8C9D9" w:sz="1"/>
              <w:left w:val="single" w:color="B8C9D9" w:sz="1"/>
              <w:bottom w:val="single" w:color="B8C9D9" w:sz="1"/>
              <w:right w:val="single" w:color="B8C9D9" w:sz="1"/>
            </w:tcBorders>
            <w:shd w:fill="F0F4F8" w:val="clear"/>
            <w:tcMar>
              <w:top w:type="dxa" w:w="100"/>
              <w:left w:type="dxa" w:w="140"/>
              <w:bottom w:type="dxa" w:w="100"/>
              <w:right w:type="dxa" w:w="140"/>
            </w:tcMar>
            <w:vAlign w:val="center"/>
          </w:tcPr>
          <w:p>
            <w:pPr>
              <w:spacing w:before="40" w:after="40"/>
            </w:pPr>
            <w:r>
              <w:rPr>
                <w:rFonts w:ascii="Arial" w:cs="Arial" w:eastAsia="Arial" w:hAnsi="Arial"/>
                <w:b/>
                <w:bCs/>
                <w:color w:val="1A1A2E"/>
                <w:sz w:val="19"/>
                <w:szCs w:val="19"/>
              </w:rPr>
              <w:t xml:space="preserve">Company</w:t>
            </w:r>
          </w:p>
        </w:tc>
        <w:tc>
          <w:tcPr>
            <w:tcW w:type="dxa" w:w="2800"/>
            <w:tcBorders>
              <w:top w:val="single" w:color="B8C9D9" w:sz="1"/>
              <w:left w:val="single" w:color="B8C9D9" w:sz="1"/>
              <w:bottom w:val="single" w:color="B8C9D9" w:sz="1"/>
              <w:right w:val="single" w:color="B8C9D9" w:sz="1"/>
            </w:tcBorders>
            <w:shd w:fill="F0F4F8" w:val="clear"/>
            <w:tcMar>
              <w:top w:type="dxa" w:w="100"/>
              <w:left w:type="dxa" w:w="140"/>
              <w:bottom w:type="dxa" w:w="100"/>
              <w:right w:type="dxa" w:w="140"/>
            </w:tcMar>
            <w:vAlign w:val="center"/>
          </w:tcPr>
          <w:p>
            <w:pPr>
              <w:spacing w:before="40" w:after="40"/>
            </w:pPr>
            <w:r>
              <w:rPr>
                <w:rFonts w:ascii="Arial" w:cs="Arial" w:eastAsia="Arial" w:hAnsi="Arial"/>
                <w:b/>
                <w:bCs/>
                <w:color w:val="1A1A2E"/>
                <w:sz w:val="19"/>
                <w:szCs w:val="19"/>
              </w:rPr>
              <w:t xml:space="preserve">Approach</w:t>
            </w:r>
          </w:p>
        </w:tc>
        <w:tc>
          <w:tcPr>
            <w:tcW w:type="dxa" w:w="2200"/>
            <w:tcBorders>
              <w:top w:val="single" w:color="B8C9D9" w:sz="1"/>
              <w:left w:val="single" w:color="B8C9D9" w:sz="1"/>
              <w:bottom w:val="single" w:color="B8C9D9" w:sz="1"/>
              <w:right w:val="single" w:color="B8C9D9" w:sz="1"/>
            </w:tcBorders>
            <w:shd w:fill="F0F4F8" w:val="clear"/>
            <w:tcMar>
              <w:top w:type="dxa" w:w="100"/>
              <w:left w:type="dxa" w:w="140"/>
              <w:bottom w:type="dxa" w:w="100"/>
              <w:right w:type="dxa" w:w="140"/>
            </w:tcMar>
            <w:vAlign w:val="center"/>
          </w:tcPr>
          <w:p>
            <w:pPr>
              <w:spacing w:before="40" w:after="40"/>
            </w:pPr>
            <w:r>
              <w:rPr>
                <w:rFonts w:ascii="Arial" w:cs="Arial" w:eastAsia="Arial" w:hAnsi="Arial"/>
                <w:b/>
                <w:bCs/>
                <w:color w:val="1A1A2E"/>
                <w:sz w:val="19"/>
                <w:szCs w:val="19"/>
              </w:rPr>
              <w:t xml:space="preserve">Status (2026)</w:t>
            </w:r>
          </w:p>
        </w:tc>
        <w:tc>
          <w:tcPr>
            <w:tcW w:type="dxa" w:w="2160"/>
            <w:tcBorders>
              <w:top w:val="single" w:color="B8C9D9" w:sz="1"/>
              <w:left w:val="single" w:color="B8C9D9" w:sz="1"/>
              <w:bottom w:val="single" w:color="B8C9D9" w:sz="1"/>
              <w:right w:val="single" w:color="B8C9D9" w:sz="1"/>
            </w:tcBorders>
            <w:shd w:fill="F0F4F8" w:val="clear"/>
            <w:tcMar>
              <w:top w:type="dxa" w:w="100"/>
              <w:left w:type="dxa" w:w="140"/>
              <w:bottom w:type="dxa" w:w="100"/>
              <w:right w:type="dxa" w:w="140"/>
            </w:tcMar>
            <w:vAlign w:val="center"/>
          </w:tcPr>
          <w:p>
            <w:pPr>
              <w:spacing w:before="40" w:after="40"/>
            </w:pPr>
            <w:r>
              <w:rPr>
                <w:rFonts w:ascii="Arial" w:cs="Arial" w:eastAsia="Arial" w:hAnsi="Arial"/>
                <w:b/>
                <w:bCs/>
                <w:color w:val="1A1A2E"/>
                <w:sz w:val="19"/>
                <w:szCs w:val="19"/>
              </w:rPr>
              <w:t xml:space="preserve">Framework Relevance</w:t>
            </w:r>
          </w:p>
        </w:tc>
      </w:tr>
      <w:tr>
        <w:tc>
          <w:tcPr>
            <w:tcW w:type="dxa" w:w="2200"/>
            <w:tcBorders>
              <w:top w:val="single" w:color="B8C9D9" w:sz="1"/>
              <w:left w:val="single" w:color="B8C9D9" w:sz="1"/>
              <w:bottom w:val="single" w:color="B8C9D9" w:sz="1"/>
              <w:right w:val="single" w:color="B8C9D9" w:sz="1"/>
            </w:tcBorders>
            <w:tcMar>
              <w:top w:type="dxa" w:w="100"/>
              <w:left w:type="dxa" w:w="140"/>
              <w:bottom w:type="dxa" w:w="100"/>
              <w:right w:type="dxa" w:w="140"/>
            </w:tcMar>
            <w:vAlign w:val="center"/>
          </w:tcPr>
          <w:p>
            <w:pPr>
              <w:spacing w:before="40" w:after="40"/>
            </w:pPr>
            <w:r>
              <w:rPr>
                <w:rFonts w:ascii="Arial" w:cs="Arial" w:eastAsia="Arial" w:hAnsi="Arial"/>
                <w:b/>
                <w:bCs/>
                <w:color w:val="1A1A2E"/>
                <w:sz w:val="19"/>
                <w:szCs w:val="19"/>
              </w:rPr>
              <w:t xml:space="preserve">Microsoft</w:t>
            </w:r>
          </w:p>
        </w:tc>
        <w:tc>
          <w:tcPr>
            <w:tcW w:type="dxa" w:w="2800"/>
            <w:tcBorders>
              <w:top w:val="single" w:color="B8C9D9" w:sz="1"/>
              <w:left w:val="single" w:color="B8C9D9" w:sz="1"/>
              <w:bottom w:val="single" w:color="B8C9D9" w:sz="1"/>
              <w:right w:val="single" w:color="B8C9D9" w:sz="1"/>
            </w:tcBorders>
            <w:tcMar>
              <w:top w:type="dxa" w:w="100"/>
              <w:left w:type="dxa" w:w="140"/>
              <w:bottom w:type="dxa" w:w="100"/>
              <w:right w:type="dxa" w:w="140"/>
            </w:tcMar>
            <w:vAlign w:val="center"/>
          </w:tcPr>
          <w:p>
            <w:pPr>
              <w:spacing w:before="40" w:after="40"/>
            </w:pPr>
            <w:r>
              <w:rPr>
                <w:rFonts w:ascii="Arial" w:cs="Arial" w:eastAsia="Arial" w:hAnsi="Arial"/>
                <w:color w:val="1A1A2E"/>
                <w:sz w:val="18"/>
                <w:szCs w:val="18"/>
              </w:rPr>
              <w:t xml:space="preserve">Majorana zero modes in topoconductor nanowires</w:t>
            </w:r>
          </w:p>
        </w:tc>
        <w:tc>
          <w:tcPr>
            <w:tcW w:type="dxa" w:w="2200"/>
            <w:tcBorders>
              <w:top w:val="single" w:color="B8C9D9" w:sz="1"/>
              <w:left w:val="single" w:color="B8C9D9" w:sz="1"/>
              <w:bottom w:val="single" w:color="B8C9D9" w:sz="1"/>
              <w:right w:val="single" w:color="B8C9D9" w:sz="1"/>
            </w:tcBorders>
            <w:tcMar>
              <w:top w:type="dxa" w:w="100"/>
              <w:left w:type="dxa" w:w="140"/>
              <w:bottom w:type="dxa" w:w="100"/>
              <w:right w:type="dxa" w:w="140"/>
            </w:tcMar>
            <w:vAlign w:val="center"/>
          </w:tcPr>
          <w:p>
            <w:pPr>
              <w:spacing w:before="40" w:after="40"/>
            </w:pPr>
            <w:r>
              <w:rPr>
                <w:rFonts w:ascii="Arial" w:cs="Arial" w:eastAsia="Arial" w:hAnsi="Arial"/>
                <w:color w:val="1A1A2E"/>
                <w:sz w:val="18"/>
                <w:szCs w:val="18"/>
              </w:rPr>
              <w:t xml:space="preserve">Majorana 1 chip (Milestone 1); anti-commutation not yet demonstrated</w:t>
            </w:r>
          </w:p>
        </w:tc>
        <w:tc>
          <w:tcPr>
            <w:tcW w:type="dxa" w:w="2160"/>
            <w:tcBorders>
              <w:top w:val="single" w:color="B8C9D9" w:sz="1"/>
              <w:left w:val="single" w:color="B8C9D9" w:sz="1"/>
              <w:bottom w:val="single" w:color="B8C9D9" w:sz="1"/>
              <w:right w:val="single" w:color="B8C9D9" w:sz="1"/>
            </w:tcBorders>
            <w:tcMar>
              <w:top w:type="dxa" w:w="100"/>
              <w:left w:type="dxa" w:w="140"/>
              <w:bottom w:type="dxa" w:w="100"/>
              <w:right w:type="dxa" w:w="140"/>
            </w:tcMar>
            <w:vAlign w:val="center"/>
          </w:tcPr>
          <w:p>
            <w:pPr>
              <w:spacing w:before="40" w:after="40"/>
            </w:pPr>
            <w:r>
              <w:rPr>
                <w:rFonts w:ascii="Arial" w:cs="Arial" w:eastAsia="Arial" w:hAnsi="Arial"/>
                <w:color w:val="1A1A2E"/>
                <w:sz w:val="18"/>
                <w:szCs w:val="18"/>
              </w:rPr>
              <w:t xml:space="preserve">Direct: KitaevParams, GapBound ε, sensor_output</w:t>
            </w:r>
          </w:p>
        </w:tc>
      </w:tr>
      <w:tr>
        <w:tc>
          <w:tcPr>
            <w:tcW w:type="dxa" w:w="2200"/>
            <w:tcBorders>
              <w:top w:val="single" w:color="B8C9D9" w:sz="1"/>
              <w:left w:val="single" w:color="B8C9D9" w:sz="1"/>
              <w:bottom w:val="single" w:color="B8C9D9" w:sz="1"/>
              <w:right w:val="single" w:color="B8C9D9" w:sz="1"/>
            </w:tcBorders>
            <w:tcMar>
              <w:top w:type="dxa" w:w="100"/>
              <w:left w:type="dxa" w:w="140"/>
              <w:bottom w:type="dxa" w:w="100"/>
              <w:right w:type="dxa" w:w="140"/>
            </w:tcMar>
            <w:vAlign w:val="center"/>
          </w:tcPr>
          <w:p>
            <w:pPr>
              <w:spacing w:before="40" w:after="40"/>
            </w:pPr>
            <w:r>
              <w:rPr>
                <w:rFonts w:ascii="Arial" w:cs="Arial" w:eastAsia="Arial" w:hAnsi="Arial"/>
                <w:b/>
                <w:bCs/>
                <w:color w:val="1A1A2E"/>
                <w:sz w:val="19"/>
                <w:szCs w:val="19"/>
              </w:rPr>
              <w:t xml:space="preserve">Nokia Bell Labs</w:t>
            </w:r>
          </w:p>
        </w:tc>
        <w:tc>
          <w:tcPr>
            <w:tcW w:type="dxa" w:w="2800"/>
            <w:tcBorders>
              <w:top w:val="single" w:color="B8C9D9" w:sz="1"/>
              <w:left w:val="single" w:color="B8C9D9" w:sz="1"/>
              <w:bottom w:val="single" w:color="B8C9D9" w:sz="1"/>
              <w:right w:val="single" w:color="B8C9D9" w:sz="1"/>
            </w:tcBorders>
            <w:tcMar>
              <w:top w:type="dxa" w:w="100"/>
              <w:left w:type="dxa" w:w="140"/>
              <w:bottom w:type="dxa" w:w="100"/>
              <w:right w:type="dxa" w:w="140"/>
            </w:tcMar>
            <w:vAlign w:val="center"/>
          </w:tcPr>
          <w:p>
            <w:pPr>
              <w:spacing w:before="40" w:after="40"/>
            </w:pPr>
            <w:r>
              <w:rPr>
                <w:rFonts w:ascii="Arial" w:cs="Arial" w:eastAsia="Arial" w:hAnsi="Arial"/>
                <w:color w:val="1A1A2E"/>
                <w:sz w:val="18"/>
                <w:szCs w:val="18"/>
              </w:rPr>
              <w:t xml:space="preserve">Fractional quantum Hall anyons (Willett)</w:t>
            </w:r>
          </w:p>
        </w:tc>
        <w:tc>
          <w:tcPr>
            <w:tcW w:type="dxa" w:w="2200"/>
            <w:tcBorders>
              <w:top w:val="single" w:color="B8C9D9" w:sz="1"/>
              <w:left w:val="single" w:color="B8C9D9" w:sz="1"/>
              <w:bottom w:val="single" w:color="B8C9D9" w:sz="1"/>
              <w:right w:val="single" w:color="B8C9D9" w:sz="1"/>
            </w:tcBorders>
            <w:tcMar>
              <w:top w:type="dxa" w:w="100"/>
              <w:left w:type="dxa" w:w="140"/>
              <w:bottom w:type="dxa" w:w="100"/>
              <w:right w:type="dxa" w:w="140"/>
            </w:tcMar>
            <w:vAlign w:val="center"/>
          </w:tcPr>
          <w:p>
            <w:pPr>
              <w:spacing w:before="40" w:after="40"/>
            </w:pPr>
            <w:r>
              <w:rPr>
                <w:rFonts w:ascii="Arial" w:cs="Arial" w:eastAsia="Arial" w:hAnsi="Arial"/>
                <w:color w:val="1A1A2E"/>
                <w:sz w:val="18"/>
                <w:szCs w:val="18"/>
              </w:rPr>
              <w:t xml:space="preserve">Expects working topological qubit in 2026</w:t>
            </w:r>
          </w:p>
        </w:tc>
        <w:tc>
          <w:tcPr>
            <w:tcW w:type="dxa" w:w="2160"/>
            <w:tcBorders>
              <w:top w:val="single" w:color="B8C9D9" w:sz="1"/>
              <w:left w:val="single" w:color="B8C9D9" w:sz="1"/>
              <w:bottom w:val="single" w:color="B8C9D9" w:sz="1"/>
              <w:right w:val="single" w:color="B8C9D9" w:sz="1"/>
            </w:tcBorders>
            <w:tcMar>
              <w:top w:type="dxa" w:w="100"/>
              <w:left w:type="dxa" w:w="140"/>
              <w:bottom w:type="dxa" w:w="100"/>
              <w:right w:type="dxa" w:w="140"/>
            </w:tcMar>
            <w:vAlign w:val="center"/>
          </w:tcPr>
          <w:p>
            <w:pPr>
              <w:spacing w:before="40" w:after="40"/>
            </w:pPr>
            <w:r>
              <w:rPr>
                <w:rFonts w:ascii="Arial" w:cs="Arial" w:eastAsia="Arial" w:hAnsi="Arial"/>
                <w:color w:val="1A1A2E"/>
                <w:sz w:val="18"/>
                <w:szCs w:val="18"/>
              </w:rPr>
              <w:t xml:space="preserve">Structural: higher-dim extensions of S¹ classification</w:t>
            </w:r>
          </w:p>
        </w:tc>
      </w:tr>
      <w:tr>
        <w:tc>
          <w:tcPr>
            <w:tcW w:type="dxa" w:w="2200"/>
            <w:tcBorders>
              <w:top w:val="single" w:color="B8C9D9" w:sz="1"/>
              <w:left w:val="single" w:color="B8C9D9" w:sz="1"/>
              <w:bottom w:val="single" w:color="B8C9D9" w:sz="1"/>
              <w:right w:val="single" w:color="B8C9D9" w:sz="1"/>
            </w:tcBorders>
            <w:tcMar>
              <w:top w:type="dxa" w:w="100"/>
              <w:left w:type="dxa" w:w="140"/>
              <w:bottom w:type="dxa" w:w="100"/>
              <w:right w:type="dxa" w:w="140"/>
            </w:tcMar>
            <w:vAlign w:val="center"/>
          </w:tcPr>
          <w:p>
            <w:pPr>
              <w:spacing w:before="40" w:after="40"/>
            </w:pPr>
            <w:r>
              <w:rPr>
                <w:rFonts w:ascii="Arial" w:cs="Arial" w:eastAsia="Arial" w:hAnsi="Arial"/>
                <w:b/>
                <w:bCs/>
                <w:color w:val="1A1A2E"/>
                <w:sz w:val="19"/>
                <w:szCs w:val="19"/>
              </w:rPr>
              <w:t xml:space="preserve">Google, IBM, IonQ, Quantinuum</w:t>
            </w:r>
          </w:p>
        </w:tc>
        <w:tc>
          <w:tcPr>
            <w:tcW w:type="dxa" w:w="2800"/>
            <w:tcBorders>
              <w:top w:val="single" w:color="B8C9D9" w:sz="1"/>
              <w:left w:val="single" w:color="B8C9D9" w:sz="1"/>
              <w:bottom w:val="single" w:color="B8C9D9" w:sz="1"/>
              <w:right w:val="single" w:color="B8C9D9" w:sz="1"/>
            </w:tcBorders>
            <w:tcMar>
              <w:top w:type="dxa" w:w="100"/>
              <w:left w:type="dxa" w:w="140"/>
              <w:bottom w:type="dxa" w:w="100"/>
              <w:right w:type="dxa" w:w="140"/>
            </w:tcMar>
            <w:vAlign w:val="center"/>
          </w:tcPr>
          <w:p>
            <w:pPr>
              <w:spacing w:before="40" w:after="40"/>
            </w:pPr>
            <w:r>
              <w:rPr>
                <w:rFonts w:ascii="Arial" w:cs="Arial" w:eastAsia="Arial" w:hAnsi="Arial"/>
                <w:color w:val="1A1A2E"/>
                <w:sz w:val="18"/>
                <w:szCs w:val="18"/>
              </w:rPr>
              <w:t xml:space="preserve">Superconducting, trapped-ion (error correction, not topological)</w:t>
            </w:r>
          </w:p>
        </w:tc>
        <w:tc>
          <w:tcPr>
            <w:tcW w:type="dxa" w:w="2200"/>
            <w:tcBorders>
              <w:top w:val="single" w:color="B8C9D9" w:sz="1"/>
              <w:left w:val="single" w:color="B8C9D9" w:sz="1"/>
              <w:bottom w:val="single" w:color="B8C9D9" w:sz="1"/>
              <w:right w:val="single" w:color="B8C9D9" w:sz="1"/>
            </w:tcBorders>
            <w:tcMar>
              <w:top w:type="dxa" w:w="100"/>
              <w:left w:type="dxa" w:w="140"/>
              <w:bottom w:type="dxa" w:w="100"/>
              <w:right w:type="dxa" w:w="140"/>
            </w:tcMar>
            <w:vAlign w:val="center"/>
          </w:tcPr>
          <w:p>
            <w:pPr>
              <w:spacing w:before="40" w:after="40"/>
            </w:pPr>
            <w:r>
              <w:rPr>
                <w:rFonts w:ascii="Arial" w:cs="Arial" w:eastAsia="Arial" w:hAnsi="Arial"/>
                <w:color w:val="1A1A2E"/>
                <w:sz w:val="18"/>
                <w:szCs w:val="18"/>
              </w:rPr>
              <w:t xml:space="preserve">Google: verified advantage. IonQ: $100M+ revenue. Quantinuum: IPO filing</w:t>
            </w:r>
          </w:p>
        </w:tc>
        <w:tc>
          <w:tcPr>
            <w:tcW w:type="dxa" w:w="2160"/>
            <w:tcBorders>
              <w:top w:val="single" w:color="B8C9D9" w:sz="1"/>
              <w:left w:val="single" w:color="B8C9D9" w:sz="1"/>
              <w:bottom w:val="single" w:color="B8C9D9" w:sz="1"/>
              <w:right w:val="single" w:color="B8C9D9" w:sz="1"/>
            </w:tcBorders>
            <w:tcMar>
              <w:top w:type="dxa" w:w="100"/>
              <w:left w:type="dxa" w:w="140"/>
              <w:bottom w:type="dxa" w:w="100"/>
              <w:right w:type="dxa" w:w="140"/>
            </w:tcMar>
            <w:vAlign w:val="center"/>
          </w:tcPr>
          <w:p>
            <w:pPr>
              <w:spacing w:before="40" w:after="40"/>
            </w:pPr>
            <w:r>
              <w:rPr>
                <w:rFonts w:ascii="Arial" w:cs="Arial" w:eastAsia="Arial" w:hAnsi="Arial"/>
                <w:color w:val="1A1A2E"/>
                <w:sz w:val="18"/>
                <w:szCs w:val="18"/>
              </w:rPr>
              <w:t xml:space="preserve">Complementary: topological qubits reduce error-correction overhead</w:t>
            </w:r>
          </w:p>
        </w:tc>
      </w:tr>
    </w:tbl>
    <w:p>
      <w:pPr>
        <w:pStyle w:val="Heading2"/>
        <w:spacing w:before="300" w:after="160"/>
      </w:pPr>
      <w:r>
        <w:rPr>
          <w:rFonts w:ascii="Arial" w:cs="Arial" w:eastAsia="Arial" w:hAnsi="Arial"/>
          <w:b/>
          <w:bCs/>
          <w:color w:val="3A6B8C"/>
          <w:sz w:val="26"/>
          <w:szCs w:val="26"/>
        </w:rPr>
        <w:t xml:space="preserve">7.2 Stellarator Fusion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B8C9D9" w:sz="1"/>
              <w:left w:val="single" w:color="B8C9D9" w:sz="1"/>
              <w:bottom w:val="single" w:color="B8C9D9" w:sz="1"/>
              <w:right w:val="single" w:color="B8C9D9" w:sz="1"/>
            </w:tcBorders>
            <w:shd w:fill="F0F4F8" w:val="clear"/>
            <w:tcMar>
              <w:top w:type="dxa" w:w="100"/>
              <w:left w:type="dxa" w:w="140"/>
              <w:bottom w:type="dxa" w:w="100"/>
              <w:right w:type="dxa" w:w="140"/>
            </w:tcMar>
            <w:vAlign w:val="center"/>
          </w:tcPr>
          <w:p>
            <w:pPr>
              <w:spacing w:before="40" w:after="40"/>
            </w:pPr>
            <w:r>
              <w:rPr>
                <w:rFonts w:ascii="Arial" w:cs="Arial" w:eastAsia="Arial" w:hAnsi="Arial"/>
                <w:b/>
                <w:bCs/>
                <w:color w:val="1A1A2E"/>
                <w:sz w:val="19"/>
                <w:szCs w:val="19"/>
              </w:rPr>
              <w:t xml:space="preserve">Company</w:t>
            </w:r>
          </w:p>
        </w:tc>
        <w:tc>
          <w:tcPr>
            <w:tcW w:type="dxa" w:w="2800"/>
            <w:tcBorders>
              <w:top w:val="single" w:color="B8C9D9" w:sz="1"/>
              <w:left w:val="single" w:color="B8C9D9" w:sz="1"/>
              <w:bottom w:val="single" w:color="B8C9D9" w:sz="1"/>
              <w:right w:val="single" w:color="B8C9D9" w:sz="1"/>
            </w:tcBorders>
            <w:shd w:fill="F0F4F8" w:val="clear"/>
            <w:tcMar>
              <w:top w:type="dxa" w:w="100"/>
              <w:left w:type="dxa" w:w="140"/>
              <w:bottom w:type="dxa" w:w="100"/>
              <w:right w:type="dxa" w:w="140"/>
            </w:tcMar>
            <w:vAlign w:val="center"/>
          </w:tcPr>
          <w:p>
            <w:pPr>
              <w:spacing w:before="40" w:after="40"/>
            </w:pPr>
            <w:r>
              <w:rPr>
                <w:rFonts w:ascii="Arial" w:cs="Arial" w:eastAsia="Arial" w:hAnsi="Arial"/>
                <w:b/>
                <w:bCs/>
                <w:color w:val="1A1A2E"/>
                <w:sz w:val="19"/>
                <w:szCs w:val="19"/>
              </w:rPr>
              <w:t xml:space="preserve">Approach</w:t>
            </w:r>
          </w:p>
        </w:tc>
        <w:tc>
          <w:tcPr>
            <w:tcW w:type="dxa" w:w="2200"/>
            <w:tcBorders>
              <w:top w:val="single" w:color="B8C9D9" w:sz="1"/>
              <w:left w:val="single" w:color="B8C9D9" w:sz="1"/>
              <w:bottom w:val="single" w:color="B8C9D9" w:sz="1"/>
              <w:right w:val="single" w:color="B8C9D9" w:sz="1"/>
            </w:tcBorders>
            <w:shd w:fill="F0F4F8" w:val="clear"/>
            <w:tcMar>
              <w:top w:type="dxa" w:w="100"/>
              <w:left w:type="dxa" w:w="140"/>
              <w:bottom w:type="dxa" w:w="100"/>
              <w:right w:type="dxa" w:w="140"/>
            </w:tcMar>
            <w:vAlign w:val="center"/>
          </w:tcPr>
          <w:p>
            <w:pPr>
              <w:spacing w:before="40" w:after="40"/>
            </w:pPr>
            <w:r>
              <w:rPr>
                <w:rFonts w:ascii="Arial" w:cs="Arial" w:eastAsia="Arial" w:hAnsi="Arial"/>
                <w:b/>
                <w:bCs/>
                <w:color w:val="1A1A2E"/>
                <w:sz w:val="19"/>
                <w:szCs w:val="19"/>
              </w:rPr>
              <w:t xml:space="preserve">Status (2026)</w:t>
            </w:r>
          </w:p>
        </w:tc>
        <w:tc>
          <w:tcPr>
            <w:tcW w:type="dxa" w:w="2160"/>
            <w:tcBorders>
              <w:top w:val="single" w:color="B8C9D9" w:sz="1"/>
              <w:left w:val="single" w:color="B8C9D9" w:sz="1"/>
              <w:bottom w:val="single" w:color="B8C9D9" w:sz="1"/>
              <w:right w:val="single" w:color="B8C9D9" w:sz="1"/>
            </w:tcBorders>
            <w:shd w:fill="F0F4F8" w:val="clear"/>
            <w:tcMar>
              <w:top w:type="dxa" w:w="100"/>
              <w:left w:type="dxa" w:w="140"/>
              <w:bottom w:type="dxa" w:w="100"/>
              <w:right w:type="dxa" w:w="140"/>
            </w:tcMar>
            <w:vAlign w:val="center"/>
          </w:tcPr>
          <w:p>
            <w:pPr>
              <w:spacing w:before="40" w:after="40"/>
            </w:pPr>
            <w:r>
              <w:rPr>
                <w:rFonts w:ascii="Arial" w:cs="Arial" w:eastAsia="Arial" w:hAnsi="Arial"/>
                <w:b/>
                <w:bCs/>
                <w:color w:val="1A1A2E"/>
                <w:sz w:val="19"/>
                <w:szCs w:val="19"/>
              </w:rPr>
              <w:t xml:space="preserve">Framework Relevance</w:t>
            </w:r>
          </w:p>
        </w:tc>
      </w:tr>
      <w:tr>
        <w:tc>
          <w:tcPr>
            <w:tcW w:type="dxa" w:w="2200"/>
            <w:tcBorders>
              <w:top w:val="single" w:color="B8C9D9" w:sz="1"/>
              <w:left w:val="single" w:color="B8C9D9" w:sz="1"/>
              <w:bottom w:val="single" w:color="B8C9D9" w:sz="1"/>
              <w:right w:val="single" w:color="B8C9D9" w:sz="1"/>
            </w:tcBorders>
            <w:tcMar>
              <w:top w:type="dxa" w:w="100"/>
              <w:left w:type="dxa" w:w="140"/>
              <w:bottom w:type="dxa" w:w="100"/>
              <w:right w:type="dxa" w:w="140"/>
            </w:tcMar>
            <w:vAlign w:val="center"/>
          </w:tcPr>
          <w:p>
            <w:pPr>
              <w:spacing w:before="40" w:after="40"/>
            </w:pPr>
            <w:r>
              <w:rPr>
                <w:rFonts w:ascii="Arial" w:cs="Arial" w:eastAsia="Arial" w:hAnsi="Arial"/>
                <w:b/>
                <w:bCs/>
                <w:color w:val="1A1A2E"/>
                <w:sz w:val="19"/>
                <w:szCs w:val="19"/>
              </w:rPr>
              <w:t xml:space="preserve">Proxima Fusion</w:t>
            </w:r>
          </w:p>
        </w:tc>
        <w:tc>
          <w:tcPr>
            <w:tcW w:type="dxa" w:w="2800"/>
            <w:tcBorders>
              <w:top w:val="single" w:color="B8C9D9" w:sz="1"/>
              <w:left w:val="single" w:color="B8C9D9" w:sz="1"/>
              <w:bottom w:val="single" w:color="B8C9D9" w:sz="1"/>
              <w:right w:val="single" w:color="B8C9D9" w:sz="1"/>
            </w:tcBorders>
            <w:tcMar>
              <w:top w:type="dxa" w:w="100"/>
              <w:left w:type="dxa" w:w="140"/>
              <w:bottom w:type="dxa" w:w="100"/>
              <w:right w:type="dxa" w:w="140"/>
            </w:tcMar>
            <w:vAlign w:val="center"/>
          </w:tcPr>
          <w:p>
            <w:pPr>
              <w:spacing w:before="40" w:after="40"/>
            </w:pPr>
            <w:r>
              <w:rPr>
                <w:rFonts w:ascii="Arial" w:cs="Arial" w:eastAsia="Arial" w:hAnsi="Arial"/>
                <w:color w:val="1A1A2E"/>
                <w:sz w:val="18"/>
                <w:szCs w:val="18"/>
              </w:rPr>
              <w:t xml:space="preserve">QI stellarator (W7-X lineage), HTS magnets</w:t>
            </w:r>
          </w:p>
        </w:tc>
        <w:tc>
          <w:tcPr>
            <w:tcW w:type="dxa" w:w="2200"/>
            <w:tcBorders>
              <w:top w:val="single" w:color="B8C9D9" w:sz="1"/>
              <w:left w:val="single" w:color="B8C9D9" w:sz="1"/>
              <w:bottom w:val="single" w:color="B8C9D9" w:sz="1"/>
              <w:right w:val="single" w:color="B8C9D9" w:sz="1"/>
            </w:tcBorders>
            <w:tcMar>
              <w:top w:type="dxa" w:w="100"/>
              <w:left w:type="dxa" w:w="140"/>
              <w:bottom w:type="dxa" w:w="100"/>
              <w:right w:type="dxa" w:w="140"/>
            </w:tcMar>
            <w:vAlign w:val="center"/>
          </w:tcPr>
          <w:p>
            <w:pPr>
              <w:spacing w:before="40" w:after="40"/>
            </w:pPr>
            <w:r>
              <w:rPr>
                <w:rFonts w:ascii="Arial" w:cs="Arial" w:eastAsia="Arial" w:hAnsi="Arial"/>
                <w:color w:val="1A1A2E"/>
                <w:sz w:val="18"/>
                <w:szCs w:val="18"/>
              </w:rPr>
              <w:t xml:space="preserve">Stellaris concept published; Alpha demo targeting 2031; Bavaria/RWE agreement</w:t>
            </w:r>
          </w:p>
        </w:tc>
        <w:tc>
          <w:tcPr>
            <w:tcW w:type="dxa" w:w="2160"/>
            <w:tcBorders>
              <w:top w:val="single" w:color="B8C9D9" w:sz="1"/>
              <w:left w:val="single" w:color="B8C9D9" w:sz="1"/>
              <w:bottom w:val="single" w:color="B8C9D9" w:sz="1"/>
              <w:right w:val="single" w:color="B8C9D9" w:sz="1"/>
            </w:tcBorders>
            <w:tcMar>
              <w:top w:type="dxa" w:w="100"/>
              <w:left w:type="dxa" w:w="140"/>
              <w:bottom w:type="dxa" w:w="100"/>
              <w:right w:type="dxa" w:w="140"/>
            </w:tcMar>
            <w:vAlign w:val="center"/>
          </w:tcPr>
          <w:p>
            <w:pPr>
              <w:spacing w:before="40" w:after="40"/>
            </w:pPr>
            <w:r>
              <w:rPr>
                <w:rFonts w:ascii="Arial" w:cs="Arial" w:eastAsia="Arial" w:hAnsi="Arial"/>
                <w:color w:val="1A1A2E"/>
                <w:sz w:val="18"/>
                <w:szCs w:val="18"/>
              </w:rPr>
              <w:t xml:space="preserve">Direct: Taylor relaxation, helicity conservation, spectral gap optimization</w:t>
            </w:r>
          </w:p>
        </w:tc>
      </w:tr>
      <w:tr>
        <w:tc>
          <w:tcPr>
            <w:tcW w:type="dxa" w:w="2200"/>
            <w:tcBorders>
              <w:top w:val="single" w:color="B8C9D9" w:sz="1"/>
              <w:left w:val="single" w:color="B8C9D9" w:sz="1"/>
              <w:bottom w:val="single" w:color="B8C9D9" w:sz="1"/>
              <w:right w:val="single" w:color="B8C9D9" w:sz="1"/>
            </w:tcBorders>
            <w:tcMar>
              <w:top w:type="dxa" w:w="100"/>
              <w:left w:type="dxa" w:w="140"/>
              <w:bottom w:type="dxa" w:w="100"/>
              <w:right w:type="dxa" w:w="140"/>
            </w:tcMar>
            <w:vAlign w:val="center"/>
          </w:tcPr>
          <w:p>
            <w:pPr>
              <w:spacing w:before="40" w:after="40"/>
            </w:pPr>
            <w:r>
              <w:rPr>
                <w:rFonts w:ascii="Arial" w:cs="Arial" w:eastAsia="Arial" w:hAnsi="Arial"/>
                <w:b/>
                <w:bCs/>
                <w:color w:val="1A1A2E"/>
                <w:sz w:val="19"/>
                <w:szCs w:val="19"/>
              </w:rPr>
              <w:t xml:space="preserve">Thea Energy</w:t>
            </w:r>
          </w:p>
        </w:tc>
        <w:tc>
          <w:tcPr>
            <w:tcW w:type="dxa" w:w="2800"/>
            <w:tcBorders>
              <w:top w:val="single" w:color="B8C9D9" w:sz="1"/>
              <w:left w:val="single" w:color="B8C9D9" w:sz="1"/>
              <w:bottom w:val="single" w:color="B8C9D9" w:sz="1"/>
              <w:right w:val="single" w:color="B8C9D9" w:sz="1"/>
            </w:tcBorders>
            <w:tcMar>
              <w:top w:type="dxa" w:w="100"/>
              <w:left w:type="dxa" w:w="140"/>
              <w:bottom w:type="dxa" w:w="100"/>
              <w:right w:type="dxa" w:w="140"/>
            </w:tcMar>
            <w:vAlign w:val="center"/>
          </w:tcPr>
          <w:p>
            <w:pPr>
              <w:spacing w:before="40" w:after="40"/>
            </w:pPr>
            <w:r>
              <w:rPr>
                <w:rFonts w:ascii="Arial" w:cs="Arial" w:eastAsia="Arial" w:hAnsi="Arial"/>
                <w:color w:val="1A1A2E"/>
                <w:sz w:val="18"/>
                <w:szCs w:val="18"/>
              </w:rPr>
              <w:t xml:space="preserve">Planar coil stellarator, software-controlled fields</w:t>
            </w:r>
          </w:p>
        </w:tc>
        <w:tc>
          <w:tcPr>
            <w:tcW w:type="dxa" w:w="2200"/>
            <w:tcBorders>
              <w:top w:val="single" w:color="B8C9D9" w:sz="1"/>
              <w:left w:val="single" w:color="B8C9D9" w:sz="1"/>
              <w:bottom w:val="single" w:color="B8C9D9" w:sz="1"/>
              <w:right w:val="single" w:color="B8C9D9" w:sz="1"/>
            </w:tcBorders>
            <w:tcMar>
              <w:top w:type="dxa" w:w="100"/>
              <w:left w:type="dxa" w:w="140"/>
              <w:bottom w:type="dxa" w:w="100"/>
              <w:right w:type="dxa" w:w="140"/>
            </w:tcMar>
            <w:vAlign w:val="center"/>
          </w:tcPr>
          <w:p>
            <w:pPr>
              <w:spacing w:before="40" w:after="40"/>
            </w:pPr>
            <w:r>
              <w:rPr>
                <w:rFonts w:ascii="Arial" w:cs="Arial" w:eastAsia="Arial" w:hAnsi="Arial"/>
                <w:color w:val="1A1A2E"/>
                <w:sz w:val="18"/>
                <w:szCs w:val="18"/>
              </w:rPr>
              <w:t xml:space="preserve">Helios preconceptual design complete; Eos demo site selection 2026</w:t>
            </w:r>
          </w:p>
        </w:tc>
        <w:tc>
          <w:tcPr>
            <w:tcW w:type="dxa" w:w="2160"/>
            <w:tcBorders>
              <w:top w:val="single" w:color="B8C9D9" w:sz="1"/>
              <w:left w:val="single" w:color="B8C9D9" w:sz="1"/>
              <w:bottom w:val="single" w:color="B8C9D9" w:sz="1"/>
              <w:right w:val="single" w:color="B8C9D9" w:sz="1"/>
            </w:tcBorders>
            <w:tcMar>
              <w:top w:type="dxa" w:w="100"/>
              <w:left w:type="dxa" w:w="140"/>
              <w:bottom w:type="dxa" w:w="100"/>
              <w:right w:type="dxa" w:w="140"/>
            </w:tcMar>
            <w:vAlign w:val="center"/>
          </w:tcPr>
          <w:p>
            <w:pPr>
              <w:spacing w:before="40" w:after="40"/>
            </w:pPr>
            <w:r>
              <w:rPr>
                <w:rFonts w:ascii="Arial" w:cs="Arial" w:eastAsia="Arial" w:hAnsi="Arial"/>
                <w:color w:val="1A1A2E"/>
                <w:sz w:val="18"/>
                <w:szCs w:val="18"/>
              </w:rPr>
              <w:t xml:space="preserve">Direct: coil optimization as GapBound maximization; virtual stellarator topology</w:t>
            </w:r>
          </w:p>
        </w:tc>
      </w:tr>
      <w:tr>
        <w:tc>
          <w:tcPr>
            <w:tcW w:type="dxa" w:w="2200"/>
            <w:tcBorders>
              <w:top w:val="single" w:color="B8C9D9" w:sz="1"/>
              <w:left w:val="single" w:color="B8C9D9" w:sz="1"/>
              <w:bottom w:val="single" w:color="B8C9D9" w:sz="1"/>
              <w:right w:val="single" w:color="B8C9D9" w:sz="1"/>
            </w:tcBorders>
            <w:tcMar>
              <w:top w:type="dxa" w:w="100"/>
              <w:left w:type="dxa" w:w="140"/>
              <w:bottom w:type="dxa" w:w="100"/>
              <w:right w:type="dxa" w:w="140"/>
            </w:tcMar>
            <w:vAlign w:val="center"/>
          </w:tcPr>
          <w:p>
            <w:pPr>
              <w:spacing w:before="40" w:after="40"/>
            </w:pPr>
            <w:r>
              <w:rPr>
                <w:rFonts w:ascii="Arial" w:cs="Arial" w:eastAsia="Arial" w:hAnsi="Arial"/>
                <w:b/>
                <w:bCs/>
                <w:color w:val="1A1A2E"/>
                <w:sz w:val="19"/>
                <w:szCs w:val="19"/>
              </w:rPr>
              <w:t xml:space="preserve">Type One Energy</w:t>
            </w:r>
          </w:p>
        </w:tc>
        <w:tc>
          <w:tcPr>
            <w:tcW w:type="dxa" w:w="2800"/>
            <w:tcBorders>
              <w:top w:val="single" w:color="B8C9D9" w:sz="1"/>
              <w:left w:val="single" w:color="B8C9D9" w:sz="1"/>
              <w:bottom w:val="single" w:color="B8C9D9" w:sz="1"/>
              <w:right w:val="single" w:color="B8C9D9" w:sz="1"/>
            </w:tcBorders>
            <w:tcMar>
              <w:top w:type="dxa" w:w="100"/>
              <w:left w:type="dxa" w:w="140"/>
              <w:bottom w:type="dxa" w:w="100"/>
              <w:right w:type="dxa" w:w="140"/>
            </w:tcMar>
            <w:vAlign w:val="center"/>
          </w:tcPr>
          <w:p>
            <w:pPr>
              <w:spacing w:before="40" w:after="40"/>
            </w:pPr>
            <w:r>
              <w:rPr>
                <w:rFonts w:ascii="Arial" w:cs="Arial" w:eastAsia="Arial" w:hAnsi="Arial"/>
                <w:color w:val="1A1A2E"/>
                <w:sz w:val="18"/>
                <w:szCs w:val="18"/>
              </w:rPr>
              <w:t xml:space="preserve">Stellarator with HTS magnets</w:t>
            </w:r>
          </w:p>
        </w:tc>
        <w:tc>
          <w:tcPr>
            <w:tcW w:type="dxa" w:w="2200"/>
            <w:tcBorders>
              <w:top w:val="single" w:color="B8C9D9" w:sz="1"/>
              <w:left w:val="single" w:color="B8C9D9" w:sz="1"/>
              <w:bottom w:val="single" w:color="B8C9D9" w:sz="1"/>
              <w:right w:val="single" w:color="B8C9D9" w:sz="1"/>
            </w:tcBorders>
            <w:tcMar>
              <w:top w:type="dxa" w:w="100"/>
              <w:left w:type="dxa" w:w="140"/>
              <w:bottom w:type="dxa" w:w="100"/>
              <w:right w:type="dxa" w:w="140"/>
            </w:tcMar>
            <w:vAlign w:val="center"/>
          </w:tcPr>
          <w:p>
            <w:pPr>
              <w:spacing w:before="40" w:after="40"/>
            </w:pPr>
            <w:r>
              <w:rPr>
                <w:rFonts w:ascii="Arial" w:cs="Arial" w:eastAsia="Arial" w:hAnsi="Arial"/>
                <w:color w:val="1A1A2E"/>
                <w:sz w:val="18"/>
                <w:szCs w:val="18"/>
              </w:rPr>
              <w:t xml:space="preserve">DOE Milestone Program awardee</w:t>
            </w:r>
          </w:p>
        </w:tc>
        <w:tc>
          <w:tcPr>
            <w:tcW w:type="dxa" w:w="2160"/>
            <w:tcBorders>
              <w:top w:val="single" w:color="B8C9D9" w:sz="1"/>
              <w:left w:val="single" w:color="B8C9D9" w:sz="1"/>
              <w:bottom w:val="single" w:color="B8C9D9" w:sz="1"/>
              <w:right w:val="single" w:color="B8C9D9" w:sz="1"/>
            </w:tcBorders>
            <w:tcMar>
              <w:top w:type="dxa" w:w="100"/>
              <w:left w:type="dxa" w:w="140"/>
              <w:bottom w:type="dxa" w:w="100"/>
              <w:right w:type="dxa" w:w="140"/>
            </w:tcMar>
            <w:vAlign w:val="center"/>
          </w:tcPr>
          <w:p>
            <w:pPr>
              <w:spacing w:before="40" w:after="40"/>
            </w:pPr>
            <w:r>
              <w:rPr>
                <w:rFonts w:ascii="Arial" w:cs="Arial" w:eastAsia="Arial" w:hAnsi="Arial"/>
                <w:color w:val="1A1A2E"/>
                <w:sz w:val="18"/>
                <w:szCs w:val="18"/>
              </w:rPr>
              <w:t xml:space="preserve">Structural: same topological confinement principles</w:t>
            </w:r>
          </w:p>
        </w:tc>
      </w:tr>
      <w:tr>
        <w:tc>
          <w:tcPr>
            <w:tcW w:type="dxa" w:w="2200"/>
            <w:tcBorders>
              <w:top w:val="single" w:color="B8C9D9" w:sz="1"/>
              <w:left w:val="single" w:color="B8C9D9" w:sz="1"/>
              <w:bottom w:val="single" w:color="B8C9D9" w:sz="1"/>
              <w:right w:val="single" w:color="B8C9D9" w:sz="1"/>
            </w:tcBorders>
            <w:tcMar>
              <w:top w:type="dxa" w:w="100"/>
              <w:left w:type="dxa" w:w="140"/>
              <w:bottom w:type="dxa" w:w="100"/>
              <w:right w:type="dxa" w:w="140"/>
            </w:tcMar>
            <w:vAlign w:val="center"/>
          </w:tcPr>
          <w:p>
            <w:pPr>
              <w:spacing w:before="40" w:after="40"/>
            </w:pPr>
            <w:r>
              <w:rPr>
                <w:rFonts w:ascii="Arial" w:cs="Arial" w:eastAsia="Arial" w:hAnsi="Arial"/>
                <w:b/>
                <w:bCs/>
                <w:color w:val="1A1A2E"/>
                <w:sz w:val="19"/>
                <w:szCs w:val="19"/>
              </w:rPr>
              <w:t xml:space="preserve">W7-X / Max Planck IPP</w:t>
            </w:r>
          </w:p>
        </w:tc>
        <w:tc>
          <w:tcPr>
            <w:tcW w:type="dxa" w:w="2800"/>
            <w:tcBorders>
              <w:top w:val="single" w:color="B8C9D9" w:sz="1"/>
              <w:left w:val="single" w:color="B8C9D9" w:sz="1"/>
              <w:bottom w:val="single" w:color="B8C9D9" w:sz="1"/>
              <w:right w:val="single" w:color="B8C9D9" w:sz="1"/>
            </w:tcBorders>
            <w:tcMar>
              <w:top w:type="dxa" w:w="100"/>
              <w:left w:type="dxa" w:w="140"/>
              <w:bottom w:type="dxa" w:w="100"/>
              <w:right w:type="dxa" w:w="140"/>
            </w:tcMar>
            <w:vAlign w:val="center"/>
          </w:tcPr>
          <w:p>
            <w:pPr>
              <w:spacing w:before="40" w:after="40"/>
            </w:pPr>
            <w:r>
              <w:rPr>
                <w:rFonts w:ascii="Arial" w:cs="Arial" w:eastAsia="Arial" w:hAnsi="Arial"/>
                <w:color w:val="1A1A2E"/>
                <w:sz w:val="18"/>
                <w:szCs w:val="18"/>
              </w:rPr>
              <w:t xml:space="preserve">Research stellarator (quasi-isodynamic)</w:t>
            </w:r>
          </w:p>
        </w:tc>
        <w:tc>
          <w:tcPr>
            <w:tcW w:type="dxa" w:w="2200"/>
            <w:tcBorders>
              <w:top w:val="single" w:color="B8C9D9" w:sz="1"/>
              <w:left w:val="single" w:color="B8C9D9" w:sz="1"/>
              <w:bottom w:val="single" w:color="B8C9D9" w:sz="1"/>
              <w:right w:val="single" w:color="B8C9D9" w:sz="1"/>
            </w:tcBorders>
            <w:tcMar>
              <w:top w:type="dxa" w:w="100"/>
              <w:left w:type="dxa" w:w="140"/>
              <w:bottom w:type="dxa" w:w="100"/>
              <w:right w:type="dxa" w:w="140"/>
            </w:tcMar>
            <w:vAlign w:val="center"/>
          </w:tcPr>
          <w:p>
            <w:pPr>
              <w:spacing w:before="40" w:after="40"/>
            </w:pPr>
            <w:r>
              <w:rPr>
                <w:rFonts w:ascii="Arial" w:cs="Arial" w:eastAsia="Arial" w:hAnsi="Arial"/>
                <w:color w:val="1A1A2E"/>
                <w:sz w:val="18"/>
                <w:szCs w:val="18"/>
              </w:rPr>
              <w:t xml:space="preserve">1.8 GJ energy turnover record (May 2025)</w:t>
            </w:r>
          </w:p>
        </w:tc>
        <w:tc>
          <w:tcPr>
            <w:tcW w:type="dxa" w:w="2160"/>
            <w:tcBorders>
              <w:top w:val="single" w:color="B8C9D9" w:sz="1"/>
              <w:left w:val="single" w:color="B8C9D9" w:sz="1"/>
              <w:bottom w:val="single" w:color="B8C9D9" w:sz="1"/>
              <w:right w:val="single" w:color="B8C9D9" w:sz="1"/>
            </w:tcBorders>
            <w:tcMar>
              <w:top w:type="dxa" w:w="100"/>
              <w:left w:type="dxa" w:w="140"/>
              <w:bottom w:type="dxa" w:w="100"/>
              <w:right w:type="dxa" w:w="140"/>
            </w:tcMar>
            <w:vAlign w:val="center"/>
          </w:tcPr>
          <w:p>
            <w:pPr>
              <w:spacing w:before="40" w:after="40"/>
            </w:pPr>
            <w:r>
              <w:rPr>
                <w:rFonts w:ascii="Arial" w:cs="Arial" w:eastAsia="Arial" w:hAnsi="Arial"/>
                <w:color w:val="1A1A2E"/>
                <w:sz w:val="18"/>
                <w:szCs w:val="18"/>
              </w:rPr>
              <w:t xml:space="preserve">Validation: experimental confirmation of stellarator confinement physics</w:t>
            </w:r>
          </w:p>
        </w:tc>
      </w:tr>
    </w:tbl>
    <w:p>
      <w:pPr>
        <w:pStyle w:val="Heading2"/>
        <w:spacing w:before="300" w:after="160"/>
      </w:pPr>
      <w:r>
        <w:rPr>
          <w:rFonts w:ascii="Arial" w:cs="Arial" w:eastAsia="Arial" w:hAnsi="Arial"/>
          <w:b/>
          <w:bCs/>
          <w:color w:val="3A6B8C"/>
          <w:sz w:val="26"/>
          <w:szCs w:val="26"/>
        </w:rPr>
        <w:t xml:space="preserve">7.3 Supporting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B8C9D9" w:sz="1"/>
              <w:left w:val="single" w:color="B8C9D9" w:sz="1"/>
              <w:bottom w:val="single" w:color="B8C9D9" w:sz="1"/>
              <w:right w:val="single" w:color="B8C9D9" w:sz="1"/>
            </w:tcBorders>
            <w:shd w:fill="F0F4F8" w:val="clear"/>
            <w:tcMar>
              <w:top w:type="dxa" w:w="100"/>
              <w:left w:type="dxa" w:w="140"/>
              <w:bottom w:type="dxa" w:w="100"/>
              <w:right w:type="dxa" w:w="140"/>
            </w:tcMar>
            <w:vAlign w:val="center"/>
          </w:tcPr>
          <w:p>
            <w:pPr>
              <w:spacing w:before="40" w:after="40"/>
            </w:pPr>
            <w:r>
              <w:rPr>
                <w:rFonts w:ascii="Arial" w:cs="Arial" w:eastAsia="Arial" w:hAnsi="Arial"/>
                <w:b/>
                <w:bCs/>
                <w:color w:val="1A1A2E"/>
                <w:sz w:val="19"/>
                <w:szCs w:val="19"/>
              </w:rPr>
              <w:t xml:space="preserve">Entity</w:t>
            </w:r>
          </w:p>
        </w:tc>
        <w:tc>
          <w:tcPr>
            <w:tcW w:type="dxa" w:w="4160"/>
            <w:tcBorders>
              <w:top w:val="single" w:color="B8C9D9" w:sz="1"/>
              <w:left w:val="single" w:color="B8C9D9" w:sz="1"/>
              <w:bottom w:val="single" w:color="B8C9D9" w:sz="1"/>
              <w:right w:val="single" w:color="B8C9D9" w:sz="1"/>
            </w:tcBorders>
            <w:shd w:fill="F0F4F8" w:val="clear"/>
            <w:tcMar>
              <w:top w:type="dxa" w:w="100"/>
              <w:left w:type="dxa" w:w="140"/>
              <w:bottom w:type="dxa" w:w="100"/>
              <w:right w:type="dxa" w:w="140"/>
            </w:tcMar>
            <w:vAlign w:val="center"/>
          </w:tcPr>
          <w:p>
            <w:pPr>
              <w:spacing w:before="40" w:after="40"/>
            </w:pPr>
            <w:r>
              <w:rPr>
                <w:rFonts w:ascii="Arial" w:cs="Arial" w:eastAsia="Arial" w:hAnsi="Arial"/>
                <w:b/>
                <w:bCs/>
                <w:color w:val="1A1A2E"/>
                <w:sz w:val="19"/>
                <w:szCs w:val="19"/>
              </w:rPr>
              <w:t xml:space="preserve">Role</w:t>
            </w:r>
          </w:p>
        </w:tc>
        <w:tc>
          <w:tcPr>
            <w:tcW w:type="dxa" w:w="3000"/>
            <w:tcBorders>
              <w:top w:val="single" w:color="B8C9D9" w:sz="1"/>
              <w:left w:val="single" w:color="B8C9D9" w:sz="1"/>
              <w:bottom w:val="single" w:color="B8C9D9" w:sz="1"/>
              <w:right w:val="single" w:color="B8C9D9" w:sz="1"/>
            </w:tcBorders>
            <w:shd w:fill="F0F4F8" w:val="clear"/>
            <w:tcMar>
              <w:top w:type="dxa" w:w="100"/>
              <w:left w:type="dxa" w:w="140"/>
              <w:bottom w:type="dxa" w:w="100"/>
              <w:right w:type="dxa" w:w="140"/>
            </w:tcMar>
            <w:vAlign w:val="center"/>
          </w:tcPr>
          <w:p>
            <w:pPr>
              <w:spacing w:before="40" w:after="40"/>
            </w:pPr>
            <w:r>
              <w:rPr>
                <w:rFonts w:ascii="Arial" w:cs="Arial" w:eastAsia="Arial" w:hAnsi="Arial"/>
                <w:b/>
                <w:bCs/>
                <w:color w:val="1A1A2E"/>
                <w:sz w:val="19"/>
                <w:szCs w:val="19"/>
              </w:rPr>
              <w:t xml:space="preserve">Framework Relevance</w:t>
            </w:r>
          </w:p>
        </w:tc>
      </w:tr>
      <w:tr>
        <w:tc>
          <w:tcPr>
            <w:tcW w:type="dxa" w:w="2200"/>
            <w:tcBorders>
              <w:top w:val="single" w:color="B8C9D9" w:sz="1"/>
              <w:left w:val="single" w:color="B8C9D9" w:sz="1"/>
              <w:bottom w:val="single" w:color="B8C9D9" w:sz="1"/>
              <w:right w:val="single" w:color="B8C9D9" w:sz="1"/>
            </w:tcBorders>
            <w:tcMar>
              <w:top w:type="dxa" w:w="100"/>
              <w:left w:type="dxa" w:w="140"/>
              <w:bottom w:type="dxa" w:w="100"/>
              <w:right w:type="dxa" w:w="140"/>
            </w:tcMar>
            <w:vAlign w:val="center"/>
          </w:tcPr>
          <w:p>
            <w:pPr>
              <w:spacing w:before="40" w:after="40"/>
            </w:pPr>
            <w:r>
              <w:rPr>
                <w:rFonts w:ascii="Arial" w:cs="Arial" w:eastAsia="Arial" w:hAnsi="Arial"/>
                <w:b/>
                <w:bCs/>
                <w:color w:val="1A1A2E"/>
                <w:sz w:val="19"/>
                <w:szCs w:val="19"/>
              </w:rPr>
              <w:t xml:space="preserve">PPPL STELLAR-AI</w:t>
            </w:r>
          </w:p>
        </w:tc>
        <w:tc>
          <w:tcPr>
            <w:tcW w:type="dxa" w:w="4160"/>
            <w:tcBorders>
              <w:top w:val="single" w:color="B8C9D9" w:sz="1"/>
              <w:left w:val="single" w:color="B8C9D9" w:sz="1"/>
              <w:bottom w:val="single" w:color="B8C9D9" w:sz="1"/>
              <w:right w:val="single" w:color="B8C9D9" w:sz="1"/>
            </w:tcBorders>
            <w:tcMar>
              <w:top w:type="dxa" w:w="100"/>
              <w:left w:type="dxa" w:w="140"/>
              <w:bottom w:type="dxa" w:w="100"/>
              <w:right w:type="dxa" w:w="140"/>
            </w:tcMar>
            <w:vAlign w:val="center"/>
          </w:tcPr>
          <w:p>
            <w:pPr>
              <w:spacing w:before="40" w:after="40"/>
            </w:pPr>
            <w:r>
              <w:rPr>
                <w:rFonts w:ascii="Arial" w:cs="Arial" w:eastAsia="Arial" w:hAnsi="Arial"/>
                <w:color w:val="1A1A2E"/>
                <w:sz w:val="18"/>
                <w:szCs w:val="18"/>
              </w:rPr>
              <w:t xml:space="preserve">AI + HPC platform for fusion research; includes StellFoundry for stellarator design optimization</w:t>
            </w:r>
          </w:p>
        </w:tc>
        <w:tc>
          <w:tcPr>
            <w:tcW w:type="dxa" w:w="3000"/>
            <w:tcBorders>
              <w:top w:val="single" w:color="B8C9D9" w:sz="1"/>
              <w:left w:val="single" w:color="B8C9D9" w:sz="1"/>
              <w:bottom w:val="single" w:color="B8C9D9" w:sz="1"/>
              <w:right w:val="single" w:color="B8C9D9" w:sz="1"/>
            </w:tcBorders>
            <w:tcMar>
              <w:top w:type="dxa" w:w="100"/>
              <w:left w:type="dxa" w:w="140"/>
              <w:bottom w:type="dxa" w:w="100"/>
              <w:right w:type="dxa" w:w="140"/>
            </w:tcMar>
            <w:vAlign w:val="center"/>
          </w:tcPr>
          <w:p>
            <w:pPr>
              <w:spacing w:before="40" w:after="40"/>
            </w:pPr>
            <w:r>
              <w:rPr>
                <w:rFonts w:ascii="Arial" w:cs="Arial" w:eastAsia="Arial" w:hAnsi="Arial"/>
                <w:color w:val="1A1A2E"/>
                <w:sz w:val="18"/>
                <w:szCs w:val="18"/>
              </w:rPr>
              <w:t xml:space="preserve">StellFoundry searches the space the framework types: topological configurations with maximized gap</w:t>
            </w:r>
          </w:p>
        </w:tc>
      </w:tr>
      <w:tr>
        <w:tc>
          <w:tcPr>
            <w:tcW w:type="dxa" w:w="2200"/>
            <w:tcBorders>
              <w:top w:val="single" w:color="B8C9D9" w:sz="1"/>
              <w:left w:val="single" w:color="B8C9D9" w:sz="1"/>
              <w:bottom w:val="single" w:color="B8C9D9" w:sz="1"/>
              <w:right w:val="single" w:color="B8C9D9" w:sz="1"/>
            </w:tcBorders>
            <w:tcMar>
              <w:top w:type="dxa" w:w="100"/>
              <w:left w:type="dxa" w:w="140"/>
              <w:bottom w:type="dxa" w:w="100"/>
              <w:right w:type="dxa" w:w="140"/>
            </w:tcMar>
            <w:vAlign w:val="center"/>
          </w:tcPr>
          <w:p>
            <w:pPr>
              <w:spacing w:before="40" w:after="40"/>
            </w:pPr>
            <w:r>
              <w:rPr>
                <w:rFonts w:ascii="Arial" w:cs="Arial" w:eastAsia="Arial" w:hAnsi="Arial"/>
                <w:b/>
                <w:bCs/>
                <w:color w:val="1A1A2E"/>
                <w:sz w:val="19"/>
                <w:szCs w:val="19"/>
              </w:rPr>
              <w:t xml:space="preserve">DOE Fusion Office</w:t>
            </w:r>
          </w:p>
        </w:tc>
        <w:tc>
          <w:tcPr>
            <w:tcW w:type="dxa" w:w="4160"/>
            <w:tcBorders>
              <w:top w:val="single" w:color="B8C9D9" w:sz="1"/>
              <w:left w:val="single" w:color="B8C9D9" w:sz="1"/>
              <w:bottom w:val="single" w:color="B8C9D9" w:sz="1"/>
              <w:right w:val="single" w:color="B8C9D9" w:sz="1"/>
            </w:tcBorders>
            <w:tcMar>
              <w:top w:type="dxa" w:w="100"/>
              <w:left w:type="dxa" w:w="140"/>
              <w:bottom w:type="dxa" w:w="100"/>
              <w:right w:type="dxa" w:w="140"/>
            </w:tcMar>
            <w:vAlign w:val="center"/>
          </w:tcPr>
          <w:p>
            <w:pPr>
              <w:spacing w:before="40" w:after="40"/>
            </w:pPr>
            <w:r>
              <w:rPr>
                <w:rFonts w:ascii="Arial" w:cs="Arial" w:eastAsia="Arial" w:hAnsi="Arial"/>
                <w:color w:val="1A1A2E"/>
                <w:sz w:val="18"/>
                <w:szCs w:val="18"/>
              </w:rPr>
              <w:t xml:space="preserve">Standalone office for coordinating public-private fusion development (est. 2025)</w:t>
            </w:r>
          </w:p>
        </w:tc>
        <w:tc>
          <w:tcPr>
            <w:tcW w:type="dxa" w:w="3000"/>
            <w:tcBorders>
              <w:top w:val="single" w:color="B8C9D9" w:sz="1"/>
              <w:left w:val="single" w:color="B8C9D9" w:sz="1"/>
              <w:bottom w:val="single" w:color="B8C9D9" w:sz="1"/>
              <w:right w:val="single" w:color="B8C9D9" w:sz="1"/>
            </w:tcBorders>
            <w:tcMar>
              <w:top w:type="dxa" w:w="100"/>
              <w:left w:type="dxa" w:w="140"/>
              <w:bottom w:type="dxa" w:w="100"/>
              <w:right w:type="dxa" w:w="140"/>
            </w:tcMar>
            <w:vAlign w:val="center"/>
          </w:tcPr>
          <w:p>
            <w:pPr>
              <w:spacing w:before="40" w:after="40"/>
            </w:pPr>
            <w:r>
              <w:rPr>
                <w:rFonts w:ascii="Arial" w:cs="Arial" w:eastAsia="Arial" w:hAnsi="Arial"/>
                <w:color w:val="1A1A2E"/>
                <w:sz w:val="18"/>
                <w:szCs w:val="18"/>
              </w:rPr>
              <w:t xml:space="preserve">Milestone-Based Fusion Development Program funds Thea, Type One, and others</w:t>
            </w:r>
          </w:p>
        </w:tc>
      </w:tr>
      <w:tr>
        <w:tc>
          <w:tcPr>
            <w:tcW w:type="dxa" w:w="2200"/>
            <w:tcBorders>
              <w:top w:val="single" w:color="B8C9D9" w:sz="1"/>
              <w:left w:val="single" w:color="B8C9D9" w:sz="1"/>
              <w:bottom w:val="single" w:color="B8C9D9" w:sz="1"/>
              <w:right w:val="single" w:color="B8C9D9" w:sz="1"/>
            </w:tcBorders>
            <w:tcMar>
              <w:top w:type="dxa" w:w="100"/>
              <w:left w:type="dxa" w:w="140"/>
              <w:bottom w:type="dxa" w:w="100"/>
              <w:right w:type="dxa" w:w="140"/>
            </w:tcMar>
            <w:vAlign w:val="center"/>
          </w:tcPr>
          <w:p>
            <w:pPr>
              <w:spacing w:before="40" w:after="40"/>
            </w:pPr>
            <w:r>
              <w:rPr>
                <w:rFonts w:ascii="Arial" w:cs="Arial" w:eastAsia="Arial" w:hAnsi="Arial"/>
                <w:b/>
                <w:bCs/>
                <w:color w:val="1A1A2E"/>
                <w:sz w:val="19"/>
                <w:szCs w:val="19"/>
              </w:rPr>
              <w:t xml:space="preserve">DARPA US2QC</w:t>
            </w:r>
          </w:p>
        </w:tc>
        <w:tc>
          <w:tcPr>
            <w:tcW w:type="dxa" w:w="4160"/>
            <w:tcBorders>
              <w:top w:val="single" w:color="B8C9D9" w:sz="1"/>
              <w:left w:val="single" w:color="B8C9D9" w:sz="1"/>
              <w:bottom w:val="single" w:color="B8C9D9" w:sz="1"/>
              <w:right w:val="single" w:color="B8C9D9" w:sz="1"/>
            </w:tcBorders>
            <w:tcMar>
              <w:top w:type="dxa" w:w="100"/>
              <w:left w:type="dxa" w:w="140"/>
              <w:bottom w:type="dxa" w:w="100"/>
              <w:right w:type="dxa" w:w="140"/>
            </w:tcMar>
            <w:vAlign w:val="center"/>
          </w:tcPr>
          <w:p>
            <w:pPr>
              <w:spacing w:before="40" w:after="40"/>
            </w:pPr>
            <w:r>
              <w:rPr>
                <w:rFonts w:ascii="Arial" w:cs="Arial" w:eastAsia="Arial" w:hAnsi="Arial"/>
                <w:color w:val="1A1A2E"/>
                <w:sz w:val="18"/>
                <w:szCs w:val="18"/>
              </w:rPr>
              <w:t xml:space="preserve">Underexplored Systems for Utility-Scale Quantum Computing program</w:t>
            </w:r>
          </w:p>
        </w:tc>
        <w:tc>
          <w:tcPr>
            <w:tcW w:type="dxa" w:w="3000"/>
            <w:tcBorders>
              <w:top w:val="single" w:color="B8C9D9" w:sz="1"/>
              <w:left w:val="single" w:color="B8C9D9" w:sz="1"/>
              <w:bottom w:val="single" w:color="B8C9D9" w:sz="1"/>
              <w:right w:val="single" w:color="B8C9D9" w:sz="1"/>
            </w:tcBorders>
            <w:tcMar>
              <w:top w:type="dxa" w:w="100"/>
              <w:left w:type="dxa" w:w="140"/>
              <w:bottom w:type="dxa" w:w="100"/>
              <w:right w:type="dxa" w:w="140"/>
            </w:tcMar>
            <w:vAlign w:val="center"/>
          </w:tcPr>
          <w:p>
            <w:pPr>
              <w:spacing w:before="40" w:after="40"/>
            </w:pPr>
            <w:r>
              <w:rPr>
                <w:rFonts w:ascii="Arial" w:cs="Arial" w:eastAsia="Arial" w:hAnsi="Arial"/>
                <w:color w:val="1A1A2E"/>
                <w:sz w:val="18"/>
                <w:szCs w:val="18"/>
              </w:rPr>
              <w:t xml:space="preserve">Selected Microsoft for final phase; topological qubits as a pathway to million-qubit systems</w:t>
            </w:r>
          </w:p>
        </w:tc>
      </w:tr>
      <w:tr>
        <w:tc>
          <w:tcPr>
            <w:tcW w:type="dxa" w:w="2200"/>
            <w:tcBorders>
              <w:top w:val="single" w:color="B8C9D9" w:sz="1"/>
              <w:left w:val="single" w:color="B8C9D9" w:sz="1"/>
              <w:bottom w:val="single" w:color="B8C9D9" w:sz="1"/>
              <w:right w:val="single" w:color="B8C9D9" w:sz="1"/>
            </w:tcBorders>
            <w:tcMar>
              <w:top w:type="dxa" w:w="100"/>
              <w:left w:type="dxa" w:w="140"/>
              <w:bottom w:type="dxa" w:w="100"/>
              <w:right w:type="dxa" w:w="140"/>
            </w:tcMar>
            <w:vAlign w:val="center"/>
          </w:tcPr>
          <w:p>
            <w:pPr>
              <w:spacing w:before="40" w:after="40"/>
            </w:pPr>
            <w:r>
              <w:rPr>
                <w:rFonts w:ascii="Arial" w:cs="Arial" w:eastAsia="Arial" w:hAnsi="Arial"/>
                <w:b/>
                <w:bCs/>
                <w:color w:val="1A1A2E"/>
                <w:sz w:val="19"/>
                <w:szCs w:val="19"/>
              </w:rPr>
              <w:t xml:space="preserve">Lean / Mathlib</w:t>
            </w:r>
          </w:p>
        </w:tc>
        <w:tc>
          <w:tcPr>
            <w:tcW w:type="dxa" w:w="4160"/>
            <w:tcBorders>
              <w:top w:val="single" w:color="B8C9D9" w:sz="1"/>
              <w:left w:val="single" w:color="B8C9D9" w:sz="1"/>
              <w:bottom w:val="single" w:color="B8C9D9" w:sz="1"/>
              <w:right w:val="single" w:color="B8C9D9" w:sz="1"/>
            </w:tcBorders>
            <w:tcMar>
              <w:top w:type="dxa" w:w="100"/>
              <w:left w:type="dxa" w:w="140"/>
              <w:bottom w:type="dxa" w:w="100"/>
              <w:right w:type="dxa" w:w="140"/>
            </w:tcMar>
            <w:vAlign w:val="center"/>
          </w:tcPr>
          <w:p>
            <w:pPr>
              <w:spacing w:before="40" w:after="40"/>
            </w:pPr>
            <w:r>
              <w:rPr>
                <w:rFonts w:ascii="Arial" w:cs="Arial" w:eastAsia="Arial" w:hAnsi="Arial"/>
                <w:color w:val="1A1A2E"/>
                <w:sz w:val="18"/>
                <w:szCs w:val="18"/>
              </w:rPr>
              <w:t xml:space="preserve">Formal verification ecosystem; growing library of formalized mathematics</w:t>
            </w:r>
          </w:p>
        </w:tc>
        <w:tc>
          <w:tcPr>
            <w:tcW w:type="dxa" w:w="3000"/>
            <w:tcBorders>
              <w:top w:val="single" w:color="B8C9D9" w:sz="1"/>
              <w:left w:val="single" w:color="B8C9D9" w:sz="1"/>
              <w:bottom w:val="single" w:color="B8C9D9" w:sz="1"/>
              <w:right w:val="single" w:color="B8C9D9" w:sz="1"/>
            </w:tcBorders>
            <w:tcMar>
              <w:top w:type="dxa" w:w="100"/>
              <w:left w:type="dxa" w:w="140"/>
              <w:bottom w:type="dxa" w:w="100"/>
              <w:right w:type="dxa" w:w="140"/>
            </w:tcMar>
            <w:vAlign w:val="center"/>
          </w:tcPr>
          <w:p>
            <w:pPr>
              <w:spacing w:before="40" w:after="40"/>
            </w:pPr>
            <w:r>
              <w:rPr>
                <w:rFonts w:ascii="Arial" w:cs="Arial" w:eastAsia="Arial" w:hAnsi="Arial"/>
                <w:color w:val="1A1A2E"/>
                <w:sz w:val="18"/>
                <w:szCs w:val="18"/>
              </w:rPr>
              <w:t xml:space="preserve">Closing bridge axioms B and C requires Mathlib’s real analysis and integration API</w:t>
            </w:r>
          </w:p>
        </w:tc>
      </w:tr>
    </w:tbl>
    <w:p>
      <w:pPr>
        <w:pStyle w:val="Heading1"/>
        <w:spacing w:before="400" w:after="200"/>
      </w:pPr>
      <w:r>
        <w:rPr>
          <w:rFonts w:ascii="Arial" w:cs="Arial" w:eastAsia="Arial" w:hAnsi="Arial"/>
          <w:b/>
          <w:bCs/>
          <w:color w:val="2E4057"/>
          <w:sz w:val="32"/>
          <w:szCs w:val="32"/>
        </w:rPr>
        <w:t xml:space="preserve">8. Next Steps</w:t>
      </w:r>
    </w:p>
    <w:p>
      <w:pPr>
        <w:spacing w:before="120" w:after="120" w:line="300"/>
        <w:jc w:val="both"/>
      </w:pPr>
      <w:r>
        <w:rPr>
          <w:rFonts w:ascii="Georgia" w:cs="Georgia" w:eastAsia="Georgia" w:hAnsi="Georgia"/>
          <w:color w:val="1A1A2E"/>
          <w:sz w:val="22"/>
          <w:szCs w:val="22"/>
        </w:rPr>
        <w:t xml:space="preserve">The framework’s immediate development priorities are driven by the closure strategy for the bridge axioms, each of which opens a specific collaboration pathway:</w:t>
      </w:r>
    </w:p>
    <w:p>
      <w:pPr>
        <w:spacing w:before="120" w:after="120" w:line="300"/>
        <w:jc w:val="both"/>
      </w:pPr>
      <w:r>
        <w:rPr>
          <w:rFonts w:ascii="Georgia" w:cs="Georgia" w:eastAsia="Georgia" w:hAnsi="Georgia"/>
          <w:b/>
          <w:bCs/>
          <w:color w:val="2E4057"/>
          <w:sz w:val="22"/>
          <w:szCs w:val="22"/>
        </w:rPr>
        <w:t xml:space="preserve">Axiom C (Numerical Stability): </w:t>
      </w:r>
      <w:r>
        <w:rPr>
          <w:rFonts w:ascii="Georgia" w:cs="Georgia" w:eastAsia="Georgia" w:hAnsi="Georgia"/>
          <w:color w:val="1A1A2E"/>
          <w:sz w:val="22"/>
          <w:szCs w:val="22"/>
        </w:rPr>
        <w:t xml:space="preserve">The most self-contained closure target. Requires a formal IEEE 754 floating-point error model and Riemann sum convergence bounds. No topology or HoTT needed. This work is relevant to both the quantum sensor characterization problem (Microsoft, Nokia) and the stellarator field-line tracing problem (Proxima, Thea, PPPL). A natural collaboration target with the Lean verified numerics community.</w:t>
      </w:r>
    </w:p>
    <w:p>
      <w:pPr>
        <w:spacing w:before="120" w:after="120" w:line="300"/>
        <w:jc w:val="both"/>
      </w:pPr>
      <w:r>
        <w:rPr>
          <w:rFonts w:ascii="Georgia" w:cs="Georgia" w:eastAsia="Georgia" w:hAnsi="Georgia"/>
          <w:b/>
          <w:bCs/>
          <w:color w:val="2E4057"/>
          <w:sz w:val="22"/>
          <w:szCs w:val="22"/>
        </w:rPr>
        <w:t xml:space="preserve">Axiom A (Normalization Map): </w:t>
      </w:r>
      <w:r>
        <w:rPr>
          <w:rFonts w:ascii="Georgia" w:cs="Georgia" w:eastAsia="Georgia" w:hAnsi="Georgia"/>
          <w:color w:val="1A1A2E"/>
          <w:sz w:val="22"/>
          <w:szCs w:val="22"/>
        </w:rPr>
        <w:t xml:space="preserve">Requires formalizing the circle’s universal property in Lean 4 or interfacing with Cubical Agda. A collaboration opportunity with the HoTT formalization community (Voevodsky’s legacy at IAS, the Agda-HoTT library maintainers).</w:t>
      </w:r>
    </w:p>
    <w:p>
      <w:pPr>
        <w:spacing w:before="120" w:after="120" w:line="300"/>
        <w:jc w:val="both"/>
      </w:pPr>
      <w:r>
        <w:rPr>
          <w:rFonts w:ascii="Georgia" w:cs="Georgia" w:eastAsia="Georgia" w:hAnsi="Georgia"/>
          <w:b/>
          <w:bCs/>
          <w:color w:val="2E4057"/>
          <w:sz w:val="22"/>
          <w:szCs w:val="22"/>
        </w:rPr>
        <w:t xml:space="preserve">The ℤ₂ measurement protocol: </w:t>
      </w:r>
      <w:r>
        <w:rPr>
          <w:rFonts w:ascii="Georgia" w:cs="Georgia" w:eastAsia="Georgia" w:hAnsi="Georgia"/>
          <w:color w:val="1A1A2E"/>
          <w:sz w:val="22"/>
          <w:szCs w:val="22"/>
        </w:rPr>
        <w:t xml:space="preserve">Extending the framework to formalize the actual tunneling conductance measurement that reads the Majorana parity. This connects the abstract kitaev_parity function to a concrete experimental observable. Relevant to Microsoft’s Milestone 2 and Nokia’s qubit demonstration.</w:t>
      </w:r>
    </w:p>
    <w:p>
      <w:pPr>
        <w:spacing w:before="120" w:after="120" w:line="300"/>
        <w:jc w:val="both"/>
      </w:pPr>
      <w:r>
        <w:rPr>
          <w:rFonts w:ascii="Georgia" w:cs="Georgia" w:eastAsia="Georgia" w:hAnsi="Georgia"/>
          <w:b/>
          <w:bCs/>
          <w:color w:val="2E4057"/>
          <w:sz w:val="22"/>
          <w:szCs w:val="22"/>
        </w:rPr>
        <w:t xml:space="preserve">Stellarator coil objective function: </w:t>
      </w:r>
      <w:r>
        <w:rPr>
          <w:rFonts w:ascii="Georgia" w:cs="Georgia" w:eastAsia="Georgia" w:hAnsi="Georgia"/>
          <w:color w:val="1A1A2E"/>
          <w:sz w:val="22"/>
          <w:szCs w:val="22"/>
        </w:rPr>
        <w:t xml:space="preserve">Translating the GapBound maximization criterion into a form compatible with PPPL’s StellFoundry optimization pipeline. The spectral gap between the lowest Beltrami eigenmode and the first non-Beltrami mode is a well-defined, computable quantity that the framework’s type system can constrain.</w:t>
      </w:r>
    </w:p>
    <w:p>
      <w:pPr>
        <w:pStyle w:val="Heading1"/>
        <w:spacing w:before="400" w:after="200"/>
      </w:pPr>
      <w:r>
        <w:rPr>
          <w:rFonts w:ascii="Arial" w:cs="Arial" w:eastAsia="Arial" w:hAnsi="Arial"/>
          <w:b/>
          <w:bCs/>
          <w:color w:val="2E4057"/>
          <w:sz w:val="32"/>
          <w:szCs w:val="32"/>
        </w:rPr>
        <w:t xml:space="preserve">9. Closing</w:t>
      </w:r>
    </w:p>
    <w:p>
      <w:pPr>
        <w:spacing w:before="120" w:after="120" w:line="300"/>
        <w:jc w:val="both"/>
      </w:pPr>
      <w:r>
        <w:rPr>
          <w:rFonts w:ascii="Georgia" w:cs="Georgia" w:eastAsia="Georgia" w:hAnsi="Georgia"/>
          <w:color w:val="1A1A2E"/>
          <w:sz w:val="22"/>
          <w:szCs w:val="22"/>
        </w:rPr>
        <w:t xml:space="preserve">This framework exists because the mathematics is beautiful, the engineering is consequential, and the responsibility is real. The technologies it addresses—topological quantum computing and fusion energy—will, if developed carefully, provide tools for addressing the deepest problems facing future generations: disease, energy scarcity, and the computational limits of scientific understanding.</w:t>
      </w:r>
    </w:p>
    <w:p>
      <w:pPr>
        <w:spacing w:before="120" w:after="120" w:line="300"/>
        <w:jc w:val="both"/>
      </w:pPr>
      <w:r>
        <w:rPr>
          <w:rFonts w:ascii="Georgia" w:cs="Georgia" w:eastAsia="Georgia" w:hAnsi="Georgia"/>
          <w:color w:val="1A1A2E"/>
          <w:sz w:val="22"/>
          <w:szCs w:val="22"/>
        </w:rPr>
        <w:t xml:space="preserve">Developing them carelessly—racing to deployment without formal verification, hoarding insights behind classification barriers, or promising capabilities that the gap magnitude does not support—would be a betrayal of the opportunity.</w:t>
      </w:r>
    </w:p>
    <w:p>
      <w:pPr>
        <w:spacing w:before="120" w:after="120" w:line="300"/>
        <w:jc w:val="both"/>
      </w:pPr>
      <w:r>
        <w:rPr>
          <w:rFonts w:ascii="Georgia" w:cs="Georgia" w:eastAsia="Georgia" w:hAnsi="Georgia"/>
          <w:color w:val="1A1A2E"/>
          <w:sz w:val="22"/>
          <w:szCs w:val="22"/>
        </w:rPr>
        <w:t xml:space="preserve">The type checker does not care about deadlines, funding cycles, or competitive pressure. It cares about whether the proof is correct. That is the standard this framework holds itself to, and the standard it offers to anyone who wants to build on it.</w:t>
      </w:r>
    </w:p>
    <w:p>
      <w:pPr>
        <w:pBdr>
          <w:left w:val="single" w:color="3A6B8C" w:sz="4" w:space="8"/>
        </w:pBdr>
        <w:spacing w:before="160" w:after="160" w:line="300"/>
        <w:ind w:left="400" w:right="400"/>
      </w:pPr>
      <w:r>
        <w:rPr>
          <w:rFonts w:ascii="Georgia" w:cs="Georgia" w:eastAsia="Georgia" w:hAnsi="Georgia"/>
          <w:i/>
          <w:iCs/>
          <w:color w:val="2E4057"/>
          <w:sz w:val="21"/>
          <w:szCs w:val="21"/>
        </w:rPr>
        <w:t xml:space="preserve">The integer is derived, not assumed. The fusion result follows from the same algebra. The singularity is a type error. Build carefully.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2E4057"/>
        <w:sz w:val="16"/>
        <w:szCs w:val="16"/>
      </w:rPr>
      <w:t xml:space="preserve">Page </w:t>
    </w:r>
    <w:r>
      <w:rPr>
        <w:rFonts w:ascii="Arial" w:cs="Arial" w:eastAsia="Arial" w:hAnsi="Arial"/>
        <w:color w:val="2E405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9D9" w:sz="1" w:space="4"/>
      </w:pBdr>
      <w:jc w:val="right"/>
    </w:pPr>
    <w:r>
      <w:rPr>
        <w:rFonts w:ascii="Arial" w:cs="Arial" w:eastAsia="Arial" w:hAnsi="Arial"/>
        <w:i/>
        <w:iCs/>
        <w:color w:val="3A6B8C"/>
        <w:sz w:val="16"/>
        <w:szCs w:val="16"/>
      </w:rPr>
      <w:t xml:space="preserve">The Geometry of State — Responsible Development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E4057"/>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3A6B8C"/>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2E405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2026-03-12T17:02:50.133Z</dcterms:created>
  <dcterms:modified xsi:type="dcterms:W3CDTF">2026-03-12T17:02:50.134Z</dcterms:modified>
</cp:coreProperties>
</file>

<file path=docProps/custom.xml><?xml version="1.0" encoding="utf-8"?>
<Properties xmlns="http://schemas.openxmlformats.org/officeDocument/2006/custom-properties" xmlns:vt="http://schemas.openxmlformats.org/officeDocument/2006/docPropsVTypes"/>
</file>