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124433D7" w:rsidR="00E85C73" w:rsidRDefault="00E85C73" w:rsidP="00955BD9">
      <w:pPr>
        <w:pStyle w:val="Heading1"/>
      </w:pPr>
      <w:bookmarkStart w:id="0" w:name="_Toc509907263"/>
      <w:bookmarkStart w:id="1" w:name="_Toc473020538"/>
      <w:bookmarkStart w:id="2" w:name="_Toc481569848"/>
      <w:bookmarkStart w:id="3" w:name="_Toc481590169"/>
      <w:bookmarkStart w:id="4" w:name="_Toc481593731"/>
      <w:bookmarkStart w:id="5" w:name="_Toc481595067"/>
      <w:bookmarkStart w:id="6" w:name="_Toc481668975"/>
      <w:bookmarkStart w:id="7" w:name="_Toc481673137"/>
      <w:bookmarkStart w:id="8" w:name="_Toc481673834"/>
      <w:bookmarkStart w:id="9" w:name="_Toc485810586"/>
      <w:bookmarkStart w:id="10" w:name="_Toc485811591"/>
      <w:bookmarkStart w:id="11" w:name="_Toc486318195"/>
      <w:bookmarkStart w:id="12" w:name="_Toc494448423"/>
      <w:r>
        <w:t>Changes in v1.</w:t>
      </w:r>
      <w:r w:rsidR="00401B52">
        <w:t>0</w:t>
      </w:r>
      <w:bookmarkStart w:id="13" w:name="_GoBack"/>
      <w:bookmarkEnd w:id="13"/>
      <w:r w:rsidR="00A02657">
        <w:t>5</w:t>
      </w:r>
      <w:bookmarkEnd w:id="0"/>
    </w:p>
    <w:p w14:paraId="0CB58D8D" w14:textId="498EFED2" w:rsidR="00E85C73" w:rsidRDefault="00BD18A6" w:rsidP="009A43F1">
      <w:pPr>
        <w:pStyle w:val="Heading2"/>
        <w:pBdr>
          <w:bottom w:val="single" w:sz="4" w:space="2" w:color="002060"/>
        </w:pBdr>
      </w:pPr>
      <w:bookmarkStart w:id="14" w:name="_Toc509907264"/>
      <w:r>
        <w:t>About this Document</w:t>
      </w:r>
      <w:bookmarkEnd w:id="14"/>
    </w:p>
    <w:p w14:paraId="0DD28C25" w14:textId="358F7CFB" w:rsidR="0010746C" w:rsidRPr="0010746C" w:rsidRDefault="0010746C" w:rsidP="0010746C">
      <w:pPr>
        <w:pStyle w:val="Heading3"/>
      </w:pPr>
      <w:bookmarkStart w:id="15" w:name="_Toc509907265"/>
      <w:r>
        <w:t>Purpose</w:t>
      </w:r>
      <w:bookmarkEnd w:id="15"/>
    </w:p>
    <w:p w14:paraId="5A96B6E3" w14:textId="7F2CE1B1" w:rsidR="00DB0E7A" w:rsidRDefault="00DB0E7A" w:rsidP="00DB0E7A">
      <w:bookmarkStart w:id="16" w:name="_Toc509907268"/>
      <w:r>
        <w:t>This document provides a brief overview of the changes made between V1.</w:t>
      </w:r>
      <w:r w:rsidR="00A02657">
        <w:t>4</w:t>
      </w:r>
      <w:r>
        <w:t xml:space="preserve"> and V1.</w:t>
      </w:r>
      <w:r w:rsidR="00A02657">
        <w:t>5</w:t>
      </w:r>
      <w:r>
        <w:t xml:space="preserve"> of hub2, along with where further details of each change can be found within the updated functional specification, in addition to a listing of completed bug fixes and outstanding known issues.</w:t>
      </w:r>
    </w:p>
    <w:p w14:paraId="4DCB5DDB" w14:textId="5B6D759E" w:rsidR="00E85C73" w:rsidRDefault="00E85C73" w:rsidP="00E85C73">
      <w:pPr>
        <w:pStyle w:val="Heading2"/>
      </w:pPr>
      <w:r>
        <w:t>Fixed Issues</w:t>
      </w:r>
      <w:bookmarkEnd w:id="16"/>
    </w:p>
    <w:p w14:paraId="7A400279" w14:textId="34741651" w:rsidR="00E85C73" w:rsidRDefault="00E85C73" w:rsidP="00E85C73">
      <w:r>
        <w:t xml:space="preserve">The following are a list of issues reported in previously releases that have been fixed </w:t>
      </w:r>
      <w:r w:rsidR="007205E2">
        <w:t>in v1.</w:t>
      </w:r>
      <w:r w:rsidR="00A02657">
        <w:t>5</w:t>
      </w:r>
      <w:r w:rsidR="00F340A3">
        <w:t xml:space="preserve"> </w:t>
      </w:r>
      <w:r>
        <w:t>of hub2.</w:t>
      </w:r>
    </w:p>
    <w:p w14:paraId="6E27792A" w14:textId="77777777"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09907269"/>
      <w:r>
        <w:t>Fixed Issues</w:t>
      </w:r>
      <w:bookmarkEnd w:id="17"/>
      <w:bookmarkEnd w:id="18"/>
      <w:bookmarkEnd w:id="19"/>
      <w:bookmarkEnd w:id="20"/>
      <w:bookmarkEnd w:id="21"/>
      <w:bookmarkEnd w:id="22"/>
      <w:bookmarkEnd w:id="23"/>
    </w:p>
    <w:tbl>
      <w:tblPr>
        <w:tblStyle w:val="GridTable4-Accent6"/>
        <w:tblW w:w="10485" w:type="dxa"/>
        <w:tblLook w:val="04A0" w:firstRow="1" w:lastRow="0" w:firstColumn="1" w:lastColumn="0" w:noHBand="0" w:noVBand="1"/>
      </w:tblPr>
      <w:tblGrid>
        <w:gridCol w:w="1332"/>
        <w:gridCol w:w="2682"/>
        <w:gridCol w:w="6471"/>
      </w:tblGrid>
      <w:tr w:rsidR="00E85C73" w14:paraId="4F2F3528" w14:textId="77777777" w:rsidTr="00FF51B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32" w:type="dxa"/>
          </w:tcPr>
          <w:p w14:paraId="7B6027E1" w14:textId="77777777" w:rsidR="00E85C73" w:rsidRPr="00C85634" w:rsidRDefault="00E85C73" w:rsidP="00E85C73">
            <w:r>
              <w:t>Case</w:t>
            </w:r>
          </w:p>
        </w:tc>
        <w:tc>
          <w:tcPr>
            <w:tcW w:w="2682" w:type="dxa"/>
          </w:tcPr>
          <w:p w14:paraId="32E6EB09" w14:textId="3B10EA64" w:rsidR="00E85C73" w:rsidRPr="00C85634" w:rsidRDefault="00E85C73" w:rsidP="00E85C73">
            <w:pPr>
              <w:cnfStyle w:val="100000000000" w:firstRow="1" w:lastRow="0" w:firstColumn="0" w:lastColumn="0" w:oddVBand="0" w:evenVBand="0" w:oddHBand="0" w:evenHBand="0" w:firstRowFirstColumn="0" w:firstRowLastColumn="0" w:lastRowFirstColumn="0" w:lastRowLastColumn="0"/>
            </w:pPr>
            <w:r>
              <w:t>Title</w:t>
            </w:r>
            <w:r w:rsidR="00C27B0F">
              <w:t xml:space="preserve"> [sic]</w:t>
            </w:r>
          </w:p>
        </w:tc>
        <w:tc>
          <w:tcPr>
            <w:tcW w:w="6471" w:type="dxa"/>
          </w:tcPr>
          <w:p w14:paraId="5FD37B54" w14:textId="136AD7BE" w:rsidR="00E85C73" w:rsidRDefault="00E85C73" w:rsidP="00E85C73">
            <w:pPr>
              <w:cnfStyle w:val="100000000000" w:firstRow="1" w:lastRow="0" w:firstColumn="0" w:lastColumn="0" w:oddVBand="0" w:evenVBand="0" w:oddHBand="0" w:evenHBand="0" w:firstRowFirstColumn="0" w:firstRowLastColumn="0" w:lastRowFirstColumn="0" w:lastRowLastColumn="0"/>
            </w:pPr>
            <w:r>
              <w:t>Details</w:t>
            </w:r>
          </w:p>
        </w:tc>
      </w:tr>
      <w:tr w:rsidR="00A02657" w14:paraId="651F555E" w14:textId="77777777" w:rsidTr="00FF51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2" w:type="dxa"/>
          </w:tcPr>
          <w:p w14:paraId="61173218" w14:textId="6488F8CA" w:rsidR="00A02657" w:rsidRDefault="00A02657" w:rsidP="00A02657">
            <w:pPr>
              <w:jc w:val="left"/>
            </w:pPr>
            <w:r>
              <w:t>48720</w:t>
            </w:r>
          </w:p>
        </w:tc>
        <w:tc>
          <w:tcPr>
            <w:tcW w:w="2682" w:type="dxa"/>
          </w:tcPr>
          <w:p w14:paraId="51E9B881" w14:textId="75BD55A4" w:rsidR="00A02657" w:rsidRDefault="00A02657" w:rsidP="00A02657">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Sign Off Panel title should read “Not Signed Off” when there is no signoff date</w:t>
            </w:r>
          </w:p>
        </w:tc>
        <w:tc>
          <w:tcPr>
            <w:tcW w:w="6471" w:type="dxa"/>
          </w:tcPr>
          <w:p w14:paraId="0E581B63" w14:textId="61060A1C" w:rsidR="00A02657" w:rsidRDefault="00A02657" w:rsidP="00A02657">
            <w:pPr>
              <w:jc w:val="left"/>
              <w:cnfStyle w:val="000000100000" w:firstRow="0" w:lastRow="0" w:firstColumn="0" w:lastColumn="0" w:oddVBand="0" w:evenVBand="0" w:oddHBand="1" w:evenHBand="0" w:firstRowFirstColumn="0" w:firstRowLastColumn="0" w:lastRowFirstColumn="0" w:lastRowLastColumn="0"/>
            </w:pPr>
            <w:r>
              <w:t xml:space="preserve">The label for the Sign Off Panels on the View page have been changed to </w:t>
            </w:r>
            <w:r w:rsidR="00163992">
              <w:t>“Not Signed Off” where appropriate.</w:t>
            </w:r>
            <w:r>
              <w:t xml:space="preserve"> </w:t>
            </w:r>
          </w:p>
        </w:tc>
      </w:tr>
      <w:tr w:rsidR="00A02657" w14:paraId="3D8835A7" w14:textId="77777777" w:rsidTr="00FF51B7">
        <w:trPr>
          <w:cantSplit/>
        </w:trPr>
        <w:tc>
          <w:tcPr>
            <w:cnfStyle w:val="001000000000" w:firstRow="0" w:lastRow="0" w:firstColumn="1" w:lastColumn="0" w:oddVBand="0" w:evenVBand="0" w:oddHBand="0" w:evenHBand="0" w:firstRowFirstColumn="0" w:firstRowLastColumn="0" w:lastRowFirstColumn="0" w:lastRowLastColumn="0"/>
            <w:tcW w:w="1332" w:type="dxa"/>
          </w:tcPr>
          <w:p w14:paraId="0313C156" w14:textId="3FBEC2EB" w:rsidR="00A02657" w:rsidRDefault="00A02657" w:rsidP="00A02657">
            <w:pPr>
              <w:jc w:val="left"/>
            </w:pPr>
            <w:r>
              <w:t>48889</w:t>
            </w:r>
          </w:p>
        </w:tc>
        <w:tc>
          <w:tcPr>
            <w:tcW w:w="2682" w:type="dxa"/>
          </w:tcPr>
          <w:p w14:paraId="27ECA46F" w14:textId="144876AF" w:rsidR="00A02657" w:rsidRDefault="00A02657" w:rsidP="00A02657">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Table Bookmarks – Too long for DOTX Templates</w:t>
            </w:r>
          </w:p>
        </w:tc>
        <w:tc>
          <w:tcPr>
            <w:tcW w:w="6471" w:type="dxa"/>
          </w:tcPr>
          <w:p w14:paraId="3C6D05E7" w14:textId="262E4C19" w:rsidR="00A02657" w:rsidRDefault="00A02657" w:rsidP="00A02657">
            <w:pPr>
              <w:jc w:val="left"/>
              <w:cnfStyle w:val="000000000000" w:firstRow="0" w:lastRow="0" w:firstColumn="0" w:lastColumn="0" w:oddVBand="0" w:evenVBand="0" w:oddHBand="0" w:evenHBand="0" w:firstRowFirstColumn="0" w:firstRowLastColumn="0" w:lastRowFirstColumn="0" w:lastRowLastColumn="0"/>
            </w:pPr>
            <w:r>
              <w:t>When creating a DOTX template there is a limit on the size of bookmarks</w:t>
            </w:r>
            <w:r w:rsidR="00163992">
              <w:t>. This caused an issue</w:t>
            </w:r>
            <w:r w:rsidR="00C904B4">
              <w:t xml:space="preserve"> when using table bookmarks with Mechanical Joints, so the bookmark identifiers have been updated to accept the shorter “MechJoints” as well.</w:t>
            </w:r>
            <w:r>
              <w:t xml:space="preserve"> </w:t>
            </w:r>
          </w:p>
        </w:tc>
      </w:tr>
      <w:tr w:rsidR="00A02657" w14:paraId="0B121793" w14:textId="184E51AB" w:rsidTr="00FF51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2" w:type="dxa"/>
          </w:tcPr>
          <w:p w14:paraId="645A3F62" w14:textId="592A2CAD" w:rsidR="00A02657" w:rsidRDefault="00A02657" w:rsidP="00A02657">
            <w:pPr>
              <w:jc w:val="left"/>
            </w:pPr>
            <w:r>
              <w:t>48970</w:t>
            </w:r>
          </w:p>
        </w:tc>
        <w:tc>
          <w:tcPr>
            <w:tcW w:w="2682" w:type="dxa"/>
          </w:tcPr>
          <w:p w14:paraId="753E797A" w14:textId="4200E1A2" w:rsidR="00A02657" w:rsidRDefault="00A02657" w:rsidP="00A02657">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Additional Edit &amp; History View Buttons on View Pages</w:t>
            </w:r>
          </w:p>
        </w:tc>
        <w:tc>
          <w:tcPr>
            <w:tcW w:w="6471" w:type="dxa"/>
          </w:tcPr>
          <w:p w14:paraId="78C72637" w14:textId="57A3624D" w:rsidR="00A02657" w:rsidRDefault="000C0218" w:rsidP="00A02657">
            <w:pPr>
              <w:jc w:val="left"/>
              <w:cnfStyle w:val="000000100000" w:firstRow="0" w:lastRow="0" w:firstColumn="0" w:lastColumn="0" w:oddVBand="0" w:evenVBand="0" w:oddHBand="1" w:evenHBand="0" w:firstRowFirstColumn="0" w:firstRowLastColumn="0" w:lastRowFirstColumn="0" w:lastRowLastColumn="0"/>
            </w:pPr>
            <w:r>
              <w:t>On pages which are short enough so as not to require scrolling, the additional Edit &amp; History buttons have been removed.</w:t>
            </w:r>
            <w:r w:rsidR="00A02657">
              <w:t xml:space="preserve"> </w:t>
            </w:r>
          </w:p>
        </w:tc>
      </w:tr>
      <w:tr w:rsidR="00A02657" w14:paraId="635ABC74" w14:textId="77777777" w:rsidTr="00FF51B7">
        <w:trPr>
          <w:cantSplit/>
        </w:trPr>
        <w:tc>
          <w:tcPr>
            <w:cnfStyle w:val="001000000000" w:firstRow="0" w:lastRow="0" w:firstColumn="1" w:lastColumn="0" w:oddVBand="0" w:evenVBand="0" w:oddHBand="0" w:evenHBand="0" w:firstRowFirstColumn="0" w:firstRowLastColumn="0" w:lastRowFirstColumn="0" w:lastRowLastColumn="0"/>
            <w:tcW w:w="1332" w:type="dxa"/>
          </w:tcPr>
          <w:p w14:paraId="08B05DC2" w14:textId="31FF0B3A" w:rsidR="00A02657" w:rsidRDefault="00A02657" w:rsidP="00A02657">
            <w:pPr>
              <w:jc w:val="left"/>
            </w:pPr>
            <w:r>
              <w:t>48752</w:t>
            </w:r>
          </w:p>
        </w:tc>
        <w:tc>
          <w:tcPr>
            <w:tcW w:w="2682" w:type="dxa"/>
          </w:tcPr>
          <w:p w14:paraId="710999F7" w14:textId="205E6F16" w:rsidR="00A02657" w:rsidRDefault="00A02657" w:rsidP="00A02657">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Report – Groups are not saved if there are no reports against them.</w:t>
            </w:r>
          </w:p>
        </w:tc>
        <w:tc>
          <w:tcPr>
            <w:tcW w:w="6471" w:type="dxa"/>
          </w:tcPr>
          <w:p w14:paraId="1864854E" w14:textId="4E16CC8F" w:rsidR="00A02657" w:rsidRDefault="00A02657" w:rsidP="00A02657">
            <w:pPr>
              <w:jc w:val="left"/>
              <w:cnfStyle w:val="000000000000" w:firstRow="0" w:lastRow="0" w:firstColumn="0" w:lastColumn="0" w:oddVBand="0" w:evenVBand="0" w:oddHBand="0" w:evenHBand="0" w:firstRowFirstColumn="0" w:firstRowLastColumn="0" w:lastRowFirstColumn="0" w:lastRowLastColumn="0"/>
              <w:rPr>
                <w:lang w:val="en-US"/>
              </w:rPr>
            </w:pPr>
            <w:r>
              <w:t xml:space="preserve">When editing reports on the Report Edit page if a group was left blank then it was deleted since there would be no reports to show under this section on the Report View page.   This functionality remains the same </w:t>
            </w:r>
            <w:r w:rsidR="000C0218">
              <w:t>but feedback is now provided to the User.</w:t>
            </w:r>
          </w:p>
        </w:tc>
      </w:tr>
      <w:tr w:rsidR="00A02657" w14:paraId="705A5CD2" w14:textId="77777777" w:rsidTr="00FF51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2" w:type="dxa"/>
          </w:tcPr>
          <w:p w14:paraId="4C848004" w14:textId="5BB276D2" w:rsidR="00A02657" w:rsidRDefault="00A02657" w:rsidP="00A02657">
            <w:pPr>
              <w:jc w:val="left"/>
            </w:pPr>
            <w:r>
              <w:t>48485</w:t>
            </w:r>
          </w:p>
        </w:tc>
        <w:tc>
          <w:tcPr>
            <w:tcW w:w="2682" w:type="dxa"/>
          </w:tcPr>
          <w:p w14:paraId="122FF133" w14:textId="68852D34" w:rsidR="00A02657" w:rsidRDefault="00A02657" w:rsidP="00A02657">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Completions Grid – Back Button navigated Back outside of the Completions Grid</w:t>
            </w:r>
          </w:p>
        </w:tc>
        <w:tc>
          <w:tcPr>
            <w:tcW w:w="6471" w:type="dxa"/>
          </w:tcPr>
          <w:p w14:paraId="3F13231C" w14:textId="77777777" w:rsidR="00A02657" w:rsidRDefault="00A02657" w:rsidP="00A02657">
            <w:pPr>
              <w:jc w:val="left"/>
              <w:cnfStyle w:val="000000100000" w:firstRow="0" w:lastRow="0" w:firstColumn="0" w:lastColumn="0" w:oddVBand="0" w:evenVBand="0" w:oddHBand="1" w:evenHBand="0" w:firstRowFirstColumn="0" w:firstRowLastColumn="0" w:lastRowFirstColumn="0" w:lastRowLastColumn="0"/>
            </w:pPr>
            <w:r>
              <w:t>The Back Button for the Completions Grid navigated the user back to the previous page they were on before entering the Completions Grid rather than allowing them to go back to previous page on the Completions grid i.e. Go Back from Sub System to Systems.</w:t>
            </w:r>
          </w:p>
          <w:p w14:paraId="5444D98A" w14:textId="582418B4" w:rsidR="00A02657" w:rsidRDefault="00A02657" w:rsidP="00A02657">
            <w:pPr>
              <w:jc w:val="left"/>
              <w:cnfStyle w:val="000000100000" w:firstRow="0" w:lastRow="0" w:firstColumn="0" w:lastColumn="0" w:oddVBand="0" w:evenVBand="0" w:oddHBand="1" w:evenHBand="0" w:firstRowFirstColumn="0" w:firstRowLastColumn="0" w:lastRowFirstColumn="0" w:lastRowLastColumn="0"/>
              <w:rPr>
                <w:lang w:val="en-US"/>
              </w:rPr>
            </w:pPr>
            <w:r>
              <w:t>This has now been fixed.</w:t>
            </w:r>
          </w:p>
        </w:tc>
      </w:tr>
    </w:tbl>
    <w:p w14:paraId="7C8B70F4" w14:textId="7BD4920B" w:rsidR="00A02657" w:rsidRPr="00A02657" w:rsidRDefault="00F340A3">
      <w:pPr>
        <w:pStyle w:val="Heading2"/>
      </w:pPr>
      <w:bookmarkStart w:id="24" w:name="_Toc509907270"/>
      <w:r>
        <w:t xml:space="preserve">Known </w:t>
      </w:r>
      <w:r w:rsidR="00144332">
        <w:t>Issues</w:t>
      </w:r>
      <w:bookmarkEnd w:id="24"/>
    </w:p>
    <w:p w14:paraId="4412CFB5" w14:textId="77777777" w:rsidR="00A02657" w:rsidRDefault="00F340A3" w:rsidP="00FF51B7">
      <w:r>
        <w:t xml:space="preserve">A full list of </w:t>
      </w:r>
      <w:r>
        <w:rPr>
          <w:rFonts w:ascii="Tahoma" w:hAnsi="Tahoma" w:cs="Tahoma"/>
        </w:rPr>
        <w:t>“</w:t>
      </w:r>
      <w:r>
        <w:t>Known Issues</w:t>
      </w:r>
      <w:r>
        <w:rPr>
          <w:rFonts w:ascii="Tahoma" w:hAnsi="Tahoma" w:cs="Tahoma"/>
        </w:rPr>
        <w:t>”</w:t>
      </w:r>
      <w:r>
        <w:t xml:space="preserve"> can be found at </w:t>
      </w:r>
      <w:hyperlink r:id="rId8" w:history="1">
        <w:r>
          <w:rPr>
            <w:rStyle w:val="Hyperlink"/>
          </w:rPr>
          <w:t>https://qedi-gotechnology.github.io/</w:t>
        </w:r>
      </w:hyperlink>
    </w:p>
    <w:p w14:paraId="75E7AAFD" w14:textId="31E6222C" w:rsidR="00E85C73" w:rsidRDefault="00144332">
      <w:pPr>
        <w:pStyle w:val="Heading2"/>
      </w:pPr>
      <w:bookmarkStart w:id="25" w:name="_Toc509907271"/>
      <w:r>
        <w:t>Features</w:t>
      </w:r>
      <w:bookmarkEnd w:id="25"/>
    </w:p>
    <w:p w14:paraId="0EA05167" w14:textId="62CF871E" w:rsidR="00AC0260" w:rsidRDefault="00CA6C3C" w:rsidP="00CA6C3C">
      <w:r>
        <w:t>The following function</w:t>
      </w:r>
      <w:r w:rsidR="00A95F04">
        <w:t>ality has been added in v1.</w:t>
      </w:r>
      <w:r w:rsidR="00A02657">
        <w:t>5</w:t>
      </w:r>
      <w:r>
        <w:t xml:space="preserve">.  </w:t>
      </w:r>
    </w:p>
    <w:p w14:paraId="4931D39D" w14:textId="4E7F64DC" w:rsidR="00AC0260" w:rsidRDefault="00CA6C3C" w:rsidP="00CA6C3C">
      <w:r>
        <w:t xml:space="preserve">Items listed under </w:t>
      </w:r>
      <w:r w:rsidRPr="00AC0260">
        <w:rPr>
          <w:b/>
        </w:rPr>
        <w:t>Technical</w:t>
      </w:r>
      <w:r>
        <w:t xml:space="preserve"> should have no impact on functionality and therefore </w:t>
      </w:r>
      <w:r w:rsidR="00F340A3">
        <w:t>are not described in this document.</w:t>
      </w:r>
    </w:p>
    <w:p w14:paraId="376D83B4" w14:textId="77777777" w:rsidR="00A02657" w:rsidRPr="00CA6C3C" w:rsidRDefault="00A02657" w:rsidP="00A02657">
      <w:r>
        <w:t xml:space="preserve">The items under </w:t>
      </w:r>
      <w:r w:rsidRPr="00AC0260">
        <w:rPr>
          <w:b/>
        </w:rPr>
        <w:t>Functional</w:t>
      </w:r>
      <w:r>
        <w:t xml:space="preserve"> change or add functionality to hub2, a brief description of this change is given with details on where to find further information in the Functional Specification for this version. </w:t>
      </w:r>
    </w:p>
    <w:p w14:paraId="1FB5502D" w14:textId="479ED41B" w:rsidR="001934E3" w:rsidRDefault="001934E3" w:rsidP="00087916">
      <w:pPr>
        <w:rPr>
          <w:b/>
        </w:rPr>
      </w:pPr>
      <w:r>
        <w:rPr>
          <w:b/>
        </w:rPr>
        <w:t>Technical</w:t>
      </w:r>
    </w:p>
    <w:p w14:paraId="4FC93189" w14:textId="77777777" w:rsidR="00A02657" w:rsidRDefault="00A02657" w:rsidP="00A02657">
      <w:pPr>
        <w:pStyle w:val="ListParagraph"/>
        <w:numPr>
          <w:ilvl w:val="0"/>
          <w:numId w:val="18"/>
        </w:numPr>
      </w:pPr>
      <w:r>
        <w:t>Cosmos Shard Key Change for History</w:t>
      </w:r>
    </w:p>
    <w:p w14:paraId="5F27F14A" w14:textId="3CFC64D1" w:rsidR="00087916" w:rsidRPr="00087916" w:rsidRDefault="00087916" w:rsidP="00087916">
      <w:pPr>
        <w:rPr>
          <w:b/>
        </w:rPr>
      </w:pPr>
      <w:r>
        <w:rPr>
          <w:b/>
        </w:rPr>
        <w:t>Functional</w:t>
      </w:r>
    </w:p>
    <w:p w14:paraId="58A2D387" w14:textId="308B5881" w:rsidR="00A02657" w:rsidRDefault="00A02657">
      <w:pPr>
        <w:pStyle w:val="ListParagraph"/>
        <w:numPr>
          <w:ilvl w:val="0"/>
          <w:numId w:val="6"/>
        </w:numPr>
      </w:pPr>
      <w:r>
        <w:t>Import Optimisation</w:t>
      </w:r>
    </w:p>
    <w:p w14:paraId="490120BD" w14:textId="03185C8A" w:rsidR="00A02657" w:rsidRDefault="00A02657" w:rsidP="00A02657">
      <w:pPr>
        <w:pStyle w:val="ListParagraph"/>
        <w:numPr>
          <w:ilvl w:val="0"/>
          <w:numId w:val="6"/>
        </w:numPr>
      </w:pPr>
      <w:r>
        <w:t>Import/Exports against Custom Fields</w:t>
      </w:r>
    </w:p>
    <w:p w14:paraId="4B51E0F4" w14:textId="77777777" w:rsidR="00A02657" w:rsidRDefault="00A02657" w:rsidP="00A02657">
      <w:pPr>
        <w:pStyle w:val="ListParagraph"/>
        <w:numPr>
          <w:ilvl w:val="0"/>
          <w:numId w:val="6"/>
        </w:numPr>
      </w:pPr>
      <w:r>
        <w:t>Tag ITR Assignment</w:t>
      </w:r>
    </w:p>
    <w:p w14:paraId="1F2FD8DE" w14:textId="77777777" w:rsidR="00A02657" w:rsidRDefault="00A02657" w:rsidP="00A02657">
      <w:pPr>
        <w:pStyle w:val="ListParagraph"/>
        <w:numPr>
          <w:ilvl w:val="0"/>
          <w:numId w:val="6"/>
        </w:numPr>
      </w:pPr>
      <w:r>
        <w:t>Planned Dates Added to Walk Downs</w:t>
      </w:r>
    </w:p>
    <w:p w14:paraId="099F8987" w14:textId="77777777" w:rsidR="00A02657" w:rsidRDefault="00A02657" w:rsidP="00A02657">
      <w:pPr>
        <w:pStyle w:val="ListParagraph"/>
        <w:numPr>
          <w:ilvl w:val="0"/>
          <w:numId w:val="6"/>
        </w:numPr>
      </w:pPr>
      <w:r>
        <w:t>Additional Piping Fields</w:t>
      </w:r>
    </w:p>
    <w:p w14:paraId="486BC175" w14:textId="77777777" w:rsidR="00A02657" w:rsidRDefault="00A02657" w:rsidP="00A02657">
      <w:pPr>
        <w:pStyle w:val="ListParagraph"/>
        <w:numPr>
          <w:ilvl w:val="0"/>
          <w:numId w:val="6"/>
        </w:numPr>
      </w:pPr>
      <w:r>
        <w:t>Tagged Item Child Item Exports</w:t>
      </w:r>
    </w:p>
    <w:p w14:paraId="68E96EEE" w14:textId="77777777" w:rsidR="00A02657" w:rsidRDefault="00A02657" w:rsidP="00A02657">
      <w:pPr>
        <w:pStyle w:val="ListParagraph"/>
        <w:numPr>
          <w:ilvl w:val="0"/>
          <w:numId w:val="6"/>
        </w:numPr>
      </w:pPr>
      <w:r>
        <w:t>Additional Check on Validation Imports</w:t>
      </w:r>
    </w:p>
    <w:p w14:paraId="5E51A0F6" w14:textId="77777777" w:rsidR="00A02657" w:rsidRDefault="00A02657" w:rsidP="00A02657">
      <w:pPr>
        <w:pStyle w:val="ListParagraph"/>
        <w:numPr>
          <w:ilvl w:val="0"/>
          <w:numId w:val="6"/>
        </w:numPr>
      </w:pPr>
      <w:r>
        <w:t>Improved Completions Grid</w:t>
      </w:r>
    </w:p>
    <w:p w14:paraId="7C98EAE9" w14:textId="77777777" w:rsidR="00A02657" w:rsidRDefault="00A02657" w:rsidP="00A02657">
      <w:pPr>
        <w:pStyle w:val="ListParagraph"/>
        <w:numPr>
          <w:ilvl w:val="0"/>
          <w:numId w:val="6"/>
        </w:numPr>
      </w:pPr>
      <w:r>
        <w:t>Handover – Includes &amp; Excludes Fields</w:t>
      </w:r>
    </w:p>
    <w:p w14:paraId="1178DBEB" w14:textId="77777777" w:rsidR="00A02657" w:rsidRDefault="00A02657" w:rsidP="00A02657">
      <w:pPr>
        <w:pStyle w:val="ListParagraph"/>
        <w:numPr>
          <w:ilvl w:val="0"/>
          <w:numId w:val="6"/>
        </w:numPr>
      </w:pPr>
      <w:r>
        <w:t>Back Button Removed</w:t>
      </w:r>
    </w:p>
    <w:p w14:paraId="08955A9D" w14:textId="77777777" w:rsidR="00A02657" w:rsidRDefault="00A02657" w:rsidP="00A02657">
      <w:pPr>
        <w:pStyle w:val="Heading3"/>
        <w:numPr>
          <w:ilvl w:val="2"/>
          <w:numId w:val="2"/>
        </w:numPr>
      </w:pPr>
      <w:r>
        <w:t>Import Optimisation</w:t>
      </w:r>
    </w:p>
    <w:p w14:paraId="64C1EE28" w14:textId="4884F86A" w:rsidR="00A02657" w:rsidRDefault="00A02657" w:rsidP="00A02657">
      <w:r>
        <w:t>The processing time for an import has been dramatically decreased while changing none of the existing functionality of the Import. User may continue to use the Import as before and should notice a significant improvement in the time taken for them to get the results.</w:t>
      </w:r>
    </w:p>
    <w:p w14:paraId="07EC6036" w14:textId="067CEB5D" w:rsidR="00DB0E7A" w:rsidRDefault="00DB0E7A" w:rsidP="007F13E5"/>
    <w:p w14:paraId="296E3315" w14:textId="77777777" w:rsidR="00A02657" w:rsidRDefault="00A02657" w:rsidP="00A02657">
      <w:pPr>
        <w:pStyle w:val="Heading3"/>
        <w:numPr>
          <w:ilvl w:val="2"/>
          <w:numId w:val="2"/>
        </w:numPr>
      </w:pPr>
      <w:r>
        <w:t>Import/Export against Custom Fields</w:t>
      </w:r>
    </w:p>
    <w:p w14:paraId="03AA87AC" w14:textId="77777777" w:rsidR="00A02657" w:rsidRPr="004E1ADF" w:rsidRDefault="00A02657" w:rsidP="00A02657">
      <w:r>
        <w:rPr>
          <w:b/>
        </w:rPr>
        <w:t>Full Details in Section 42.2.4 – Exporting Custom Values &amp; Section 42.2.5 – Importing Custom Values</w:t>
      </w:r>
    </w:p>
    <w:p w14:paraId="40239033" w14:textId="5BA02D6E" w:rsidR="00A02657" w:rsidRDefault="00A02657" w:rsidP="00A02657">
      <w:r>
        <w:t xml:space="preserve">The Imports and Exports for all Tagged Items have been extended to </w:t>
      </w:r>
      <w:r w:rsidR="000C0218">
        <w:t>include updates to Custom Values.</w:t>
      </w:r>
    </w:p>
    <w:p w14:paraId="107EB3B7" w14:textId="77777777" w:rsidR="00A02657" w:rsidRDefault="00A02657" w:rsidP="00A02657">
      <w:pPr>
        <w:pStyle w:val="Heading3"/>
        <w:numPr>
          <w:ilvl w:val="2"/>
          <w:numId w:val="2"/>
        </w:numPr>
      </w:pPr>
      <w:r>
        <w:t>Tag ITR Assignment</w:t>
      </w:r>
    </w:p>
    <w:p w14:paraId="67C11E0A" w14:textId="77777777" w:rsidR="00A02657" w:rsidRDefault="00A02657" w:rsidP="00A02657">
      <w:r>
        <w:rPr>
          <w:b/>
        </w:rPr>
        <w:t>Full Details in Section 35 (Assignment) and Section 37.2.3.3.b (Notification Setting)</w:t>
      </w:r>
    </w:p>
    <w:p w14:paraId="76AA4610" w14:textId="2AFBC368" w:rsidR="00A02657" w:rsidRPr="00FF06E9" w:rsidRDefault="000C0218" w:rsidP="00A02657">
      <w:r>
        <w:t xml:space="preserve">It’s now possible to assign </w:t>
      </w:r>
      <w:r w:rsidR="00A02657">
        <w:t xml:space="preserve">Tag ITRs </w:t>
      </w:r>
      <w:r>
        <w:t>via the</w:t>
      </w:r>
      <w:r w:rsidR="00A02657">
        <w:t xml:space="preserve"> “Assigned To”</w:t>
      </w:r>
      <w:r>
        <w:t xml:space="preserve"> field</w:t>
      </w:r>
      <w:r w:rsidR="00A02657">
        <w:t>. When a Tag ITR is assigned to an Authorised Person with an associated user, that user receives a notification by email informing them of the assignment. Notifications can be disabled via a setting at Level C.</w:t>
      </w:r>
    </w:p>
    <w:p w14:paraId="015DF2AE" w14:textId="05CA7169" w:rsidR="00DB0E7A" w:rsidRDefault="00A02657" w:rsidP="00FF51B7">
      <w:pPr>
        <w:jc w:val="center"/>
      </w:pPr>
      <w:r w:rsidRPr="00A02657">
        <w:rPr>
          <w:noProof/>
        </w:rPr>
        <w:drawing>
          <wp:inline distT="0" distB="0" distL="0" distR="0" wp14:anchorId="426D7893" wp14:editId="623F2802">
            <wp:extent cx="5905500" cy="3675597"/>
            <wp:effectExtent l="0" t="0" r="0" b="1270"/>
            <wp:docPr id="3" name="Picture 3" descr="Figure 1. Tag ITR Edit page with the new Assigned To Fiel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7038" cy="3676554"/>
                    </a:xfrm>
                    <a:prstGeom prst="rect">
                      <a:avLst/>
                    </a:prstGeom>
                  </pic:spPr>
                </pic:pic>
              </a:graphicData>
            </a:graphic>
          </wp:inline>
        </w:drawing>
      </w:r>
    </w:p>
    <w:p w14:paraId="293B9DE0" w14:textId="5D0629CF" w:rsidR="00DB0E7A" w:rsidRDefault="00A02657" w:rsidP="00FF51B7">
      <w:pPr>
        <w:pStyle w:val="Figure"/>
      </w:pPr>
      <w:r>
        <w:t>Tag ITR Edit page with the new Assigned To Field Highlighted</w:t>
      </w:r>
    </w:p>
    <w:p w14:paraId="533F7809" w14:textId="77777777" w:rsidR="00A02657" w:rsidRDefault="00A02657" w:rsidP="00A02657">
      <w:pPr>
        <w:pStyle w:val="Heading3"/>
        <w:numPr>
          <w:ilvl w:val="2"/>
          <w:numId w:val="2"/>
        </w:numPr>
      </w:pPr>
      <w:r>
        <w:t>Planned Date added to Walk Downs</w:t>
      </w:r>
    </w:p>
    <w:p w14:paraId="44ECD1B4" w14:textId="77777777" w:rsidR="00A02657" w:rsidRDefault="00A02657" w:rsidP="00A02657">
      <w:pPr>
        <w:rPr>
          <w:b/>
        </w:rPr>
      </w:pPr>
      <w:r>
        <w:rPr>
          <w:b/>
        </w:rPr>
        <w:t xml:space="preserve">Full </w:t>
      </w:r>
      <w:r w:rsidRPr="00A82D97">
        <w:rPr>
          <w:b/>
        </w:rPr>
        <w:t>Details</w:t>
      </w:r>
      <w:r>
        <w:rPr>
          <w:b/>
        </w:rPr>
        <w:t xml:space="preserve"> in Sections: 23.2.3.3, 23.2.4.1</w:t>
      </w:r>
    </w:p>
    <w:p w14:paraId="4C35B776" w14:textId="77777777" w:rsidR="00A02657" w:rsidRDefault="00A02657" w:rsidP="00A02657">
      <w:r>
        <w:rPr>
          <w:b/>
        </w:rPr>
        <w:t>Entity Description in: Section 23.3.3.2 – Walk Down</w:t>
      </w:r>
    </w:p>
    <w:p w14:paraId="43CC183D" w14:textId="77777777" w:rsidR="00A02657" w:rsidRDefault="00A02657" w:rsidP="00A02657">
      <w:r>
        <w:t>A new Planned Date field has been added to Walk Downs. This field can be edited on the Handovers Edit screen, and viewed on the Handover View screen.</w:t>
      </w:r>
    </w:p>
    <w:p w14:paraId="507EE3F5" w14:textId="00981F2A" w:rsidR="00A02657" w:rsidRDefault="00A02657">
      <w:r w:rsidRPr="00A02657">
        <w:rPr>
          <w:noProof/>
        </w:rPr>
        <w:drawing>
          <wp:inline distT="0" distB="0" distL="0" distR="0" wp14:anchorId="5A1915A4" wp14:editId="02CAB2E4">
            <wp:extent cx="6661150" cy="1838325"/>
            <wp:effectExtent l="0" t="0" r="6350" b="9525"/>
            <wp:docPr id="4" name="Picture 4" descr="Figure 2. Handover Walk Down Edit Section with Planned Dat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1838325"/>
                    </a:xfrm>
                    <a:prstGeom prst="rect">
                      <a:avLst/>
                    </a:prstGeom>
                  </pic:spPr>
                </pic:pic>
              </a:graphicData>
            </a:graphic>
          </wp:inline>
        </w:drawing>
      </w:r>
    </w:p>
    <w:p w14:paraId="66F03F55" w14:textId="6C97B52D" w:rsidR="00A02657" w:rsidRDefault="00A02657" w:rsidP="00FF51B7">
      <w:pPr>
        <w:pStyle w:val="Figure"/>
      </w:pPr>
      <w:r>
        <w:t xml:space="preserve">Handover Walk Down Edit Section with Planned Date </w:t>
      </w:r>
      <w:r w:rsidR="00470ED4">
        <w:t>Highlighted</w:t>
      </w:r>
    </w:p>
    <w:p w14:paraId="71BA474E" w14:textId="77777777" w:rsidR="00470ED4" w:rsidRDefault="00470ED4" w:rsidP="00470ED4">
      <w:pPr>
        <w:pStyle w:val="Heading3"/>
        <w:numPr>
          <w:ilvl w:val="2"/>
          <w:numId w:val="2"/>
        </w:numPr>
      </w:pPr>
      <w:r>
        <w:t>Additional Piping Fields</w:t>
      </w:r>
    </w:p>
    <w:p w14:paraId="124E7386" w14:textId="77777777" w:rsidR="00470ED4" w:rsidRDefault="00470ED4" w:rsidP="00470ED4">
      <w:pPr>
        <w:pStyle w:val="Heading4"/>
        <w:numPr>
          <w:ilvl w:val="3"/>
          <w:numId w:val="2"/>
        </w:numPr>
      </w:pPr>
      <w:r>
        <w:t>Add Lines to Tag</w:t>
      </w:r>
    </w:p>
    <w:p w14:paraId="66B29CA4" w14:textId="77777777" w:rsidR="00470ED4" w:rsidRDefault="00470ED4" w:rsidP="00470ED4">
      <w:pPr>
        <w:rPr>
          <w:b/>
        </w:rPr>
      </w:pPr>
      <w:r>
        <w:rPr>
          <w:b/>
        </w:rPr>
        <w:t xml:space="preserve">Full </w:t>
      </w:r>
      <w:r w:rsidRPr="00A82D97">
        <w:rPr>
          <w:b/>
        </w:rPr>
        <w:t>Details</w:t>
      </w:r>
      <w:r>
        <w:rPr>
          <w:b/>
        </w:rPr>
        <w:t xml:space="preserve"> in Sections: 17.2.1.2.b, 17.2.2.1, 39.1.8.11.ss</w:t>
      </w:r>
    </w:p>
    <w:p w14:paraId="6D302BEC" w14:textId="77777777" w:rsidR="00470ED4" w:rsidRPr="00083645" w:rsidRDefault="00470ED4" w:rsidP="00470ED4">
      <w:r>
        <w:rPr>
          <w:b/>
        </w:rPr>
        <w:t>Entity Description in: Section 27.3.2 – Tag Line</w:t>
      </w:r>
    </w:p>
    <w:p w14:paraId="6C11EF99" w14:textId="79F13767" w:rsidR="00470ED4" w:rsidRDefault="000C0218" w:rsidP="00470ED4">
      <w:r>
        <w:t>Tags</w:t>
      </w:r>
      <w:r w:rsidR="00470ED4">
        <w:t xml:space="preserve"> h</w:t>
      </w:r>
      <w:r>
        <w:t>ave</w:t>
      </w:r>
      <w:r w:rsidR="00470ED4">
        <w:t xml:space="preserve"> been extended </w:t>
      </w:r>
      <w:r>
        <w:t>to allow association with Lines. These can be added and edited on the Tag Edit page and the Tag import and export. It’s also possible to display the information</w:t>
      </w:r>
      <w:r w:rsidR="00470ED4">
        <w:t xml:space="preserve"> as Table Bookmarks for both the Digital Documents and the DOTX Templates.</w:t>
      </w:r>
    </w:p>
    <w:p w14:paraId="41D2AEE2" w14:textId="24FDB047" w:rsidR="00470ED4" w:rsidRDefault="00470ED4" w:rsidP="00470ED4">
      <w:r w:rsidRPr="00470ED4">
        <w:rPr>
          <w:noProof/>
        </w:rPr>
        <w:drawing>
          <wp:inline distT="0" distB="0" distL="0" distR="0" wp14:anchorId="61227D41" wp14:editId="1221E6DA">
            <wp:extent cx="6661150" cy="2522855"/>
            <wp:effectExtent l="19050" t="19050" r="25400" b="10795"/>
            <wp:docPr id="6" name="Picture 6" descr="Figure 3. Tag Edit page with the Lines Gri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2522855"/>
                    </a:xfrm>
                    <a:prstGeom prst="rect">
                      <a:avLst/>
                    </a:prstGeom>
                    <a:noFill/>
                    <a:ln>
                      <a:solidFill>
                        <a:schemeClr val="accent1"/>
                      </a:solidFill>
                    </a:ln>
                  </pic:spPr>
                </pic:pic>
              </a:graphicData>
            </a:graphic>
          </wp:inline>
        </w:drawing>
      </w:r>
    </w:p>
    <w:p w14:paraId="3360561B" w14:textId="026E2CD4" w:rsidR="00470ED4" w:rsidRDefault="006B5133" w:rsidP="00FF51B7">
      <w:pPr>
        <w:pStyle w:val="Figure"/>
      </w:pPr>
      <w:r>
        <w:t>Tag Edit page with the Lines Grid Highlighted</w:t>
      </w:r>
    </w:p>
    <w:p w14:paraId="1DB20075" w14:textId="77777777" w:rsidR="005A236E" w:rsidRDefault="005A236E">
      <w:pPr>
        <w:spacing w:after="0" w:line="240" w:lineRule="auto"/>
        <w:jc w:val="left"/>
        <w:rPr>
          <w:rFonts w:eastAsia="Times New Roman"/>
          <w:b/>
          <w:bCs/>
          <w:color w:val="002D62" w:themeColor="text1"/>
          <w:szCs w:val="28"/>
        </w:rPr>
      </w:pPr>
      <w:r>
        <w:br w:type="page"/>
      </w:r>
    </w:p>
    <w:p w14:paraId="0721ABF5" w14:textId="2A807916" w:rsidR="00470ED4" w:rsidRDefault="00470ED4" w:rsidP="00470ED4">
      <w:pPr>
        <w:pStyle w:val="Heading4"/>
        <w:numPr>
          <w:ilvl w:val="3"/>
          <w:numId w:val="2"/>
        </w:numPr>
      </w:pPr>
      <w:r>
        <w:t>Test Pack Lines, Spools &amp; Mechanical Joints Imports</w:t>
      </w:r>
    </w:p>
    <w:p w14:paraId="31CE94B8" w14:textId="77777777" w:rsidR="00470ED4" w:rsidRPr="00A82D97" w:rsidRDefault="00470ED4" w:rsidP="00470ED4">
      <w:r>
        <w:rPr>
          <w:b/>
        </w:rPr>
        <w:t>Full Details in Sections: 39.1.13.1.xx – Test Pack Line; 39.1.13.1.yy – Test Pack Mechanical Joint; 39.1.13.1.zz – Test Pack Spool</w:t>
      </w:r>
    </w:p>
    <w:p w14:paraId="5D2C31F5" w14:textId="77777777" w:rsidR="00470ED4" w:rsidRDefault="00470ED4" w:rsidP="00470ED4">
      <w:r>
        <w:t>The ability to associate Lines, Spools and Mechanical Joints to a Test Pack via import has now been added.</w:t>
      </w:r>
    </w:p>
    <w:p w14:paraId="130E7A28" w14:textId="22C73094" w:rsidR="00470ED4" w:rsidRDefault="006B5133">
      <w:r w:rsidRPr="006B5133">
        <w:rPr>
          <w:noProof/>
        </w:rPr>
        <w:drawing>
          <wp:inline distT="0" distB="0" distL="0" distR="0" wp14:anchorId="4E9F6B04" wp14:editId="17207035">
            <wp:extent cx="6661150" cy="3827780"/>
            <wp:effectExtent l="19050" t="19050" r="25400" b="20320"/>
            <wp:docPr id="9" name="Picture 9" descr="Figure 4. Test Pack Edit Page with the Line, Spool and Mechanical Joint s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3827780"/>
                    </a:xfrm>
                    <a:prstGeom prst="rect">
                      <a:avLst/>
                    </a:prstGeom>
                    <a:ln>
                      <a:solidFill>
                        <a:schemeClr val="accent1"/>
                      </a:solidFill>
                    </a:ln>
                  </pic:spPr>
                </pic:pic>
              </a:graphicData>
            </a:graphic>
          </wp:inline>
        </w:drawing>
      </w:r>
    </w:p>
    <w:p w14:paraId="46B4DFCD" w14:textId="2A58143F" w:rsidR="00470ED4" w:rsidRDefault="006B5133" w:rsidP="00FF51B7">
      <w:pPr>
        <w:pStyle w:val="Figure"/>
      </w:pPr>
      <w:r>
        <w:t>Test Pack Edit Page with the Line, Spool and Mechanical Joint sections highlighted.</w:t>
      </w:r>
    </w:p>
    <w:p w14:paraId="11D4BEBC" w14:textId="77777777" w:rsidR="006B5133" w:rsidRDefault="006B5133" w:rsidP="006B5133">
      <w:pPr>
        <w:pStyle w:val="Heading3"/>
        <w:numPr>
          <w:ilvl w:val="2"/>
          <w:numId w:val="2"/>
        </w:numPr>
      </w:pPr>
      <w:r>
        <w:t>Tagged Item Child Item Exports</w:t>
      </w:r>
    </w:p>
    <w:p w14:paraId="29A5F7D5" w14:textId="77777777" w:rsidR="006B5133" w:rsidRDefault="006B5133" w:rsidP="006B5133">
      <w:pPr>
        <w:rPr>
          <w:b/>
        </w:rPr>
      </w:pPr>
      <w:r>
        <w:rPr>
          <w:b/>
        </w:rPr>
        <w:t xml:space="preserve">Full Details in </w:t>
      </w:r>
      <w:r w:rsidRPr="003C1FB5">
        <w:rPr>
          <w:b/>
        </w:rPr>
        <w:t>Sections 17.2.1.2.b, 18.2.1.2.b and 27.2.2.2.e (Tagged Item Child Item Exports)</w:t>
      </w:r>
    </w:p>
    <w:p w14:paraId="610EB93C" w14:textId="2984E9EA" w:rsidR="000C0218" w:rsidRDefault="006B5133" w:rsidP="006B5133">
      <w:r w:rsidRPr="003C1FB5">
        <w:t>The options available in the Export menu for Tagged Item types have been expanded to allow the following child items to be exported from the s</w:t>
      </w:r>
      <w:r>
        <w:t>earch pages</w:t>
      </w:r>
      <w:r w:rsidR="000C0218">
        <w:t>:</w:t>
      </w:r>
    </w:p>
    <w:p w14:paraId="7D8C516F" w14:textId="77777777" w:rsidR="000C0218" w:rsidRDefault="000C0218" w:rsidP="00FF51B7">
      <w:pPr>
        <w:pStyle w:val="ListParagraph"/>
        <w:numPr>
          <w:ilvl w:val="0"/>
          <w:numId w:val="6"/>
        </w:numPr>
      </w:pPr>
      <w:r>
        <w:t xml:space="preserve"> </w:t>
      </w:r>
      <w:r w:rsidR="006B5133">
        <w:t>Tag ITRs</w:t>
      </w:r>
    </w:p>
    <w:p w14:paraId="15DCE38C" w14:textId="331260CD" w:rsidR="000C0218" w:rsidRDefault="006B5133" w:rsidP="00FF51B7">
      <w:pPr>
        <w:pStyle w:val="ListParagraph"/>
        <w:numPr>
          <w:ilvl w:val="0"/>
          <w:numId w:val="6"/>
        </w:numPr>
      </w:pPr>
      <w:r>
        <w:t xml:space="preserve">Tag PWLs </w:t>
      </w:r>
    </w:p>
    <w:p w14:paraId="7E2A9D78" w14:textId="77777777" w:rsidR="000C0218" w:rsidRDefault="006B5133" w:rsidP="00FF51B7">
      <w:pPr>
        <w:pStyle w:val="ListParagraph"/>
        <w:numPr>
          <w:ilvl w:val="0"/>
          <w:numId w:val="6"/>
        </w:numPr>
      </w:pPr>
      <w:r w:rsidRPr="003C1FB5">
        <w:t xml:space="preserve">Tag QPacks. </w:t>
      </w:r>
    </w:p>
    <w:p w14:paraId="04126A92" w14:textId="67BA9205" w:rsidR="000C0218" w:rsidRDefault="000C0218">
      <w:r>
        <w:t>This is in addition to the existing Tag Drawings export option.</w:t>
      </w:r>
    </w:p>
    <w:p w14:paraId="26BE41C9" w14:textId="133A440D" w:rsidR="000C0218" w:rsidRDefault="000C0218">
      <w:r>
        <w:t>Similarly, t</w:t>
      </w:r>
      <w:r w:rsidR="006B5133" w:rsidRPr="003C1FB5">
        <w:t xml:space="preserve">he Test Pack search page </w:t>
      </w:r>
      <w:r>
        <w:t>has been extended to include the following Export options:</w:t>
      </w:r>
    </w:p>
    <w:p w14:paraId="171DA5D5" w14:textId="3D515AF3" w:rsidR="000C0218" w:rsidRDefault="006B5133" w:rsidP="00FF51B7">
      <w:pPr>
        <w:pStyle w:val="ListParagraph"/>
        <w:numPr>
          <w:ilvl w:val="0"/>
          <w:numId w:val="6"/>
        </w:numPr>
      </w:pPr>
      <w:r>
        <w:t xml:space="preserve">Test Pack </w:t>
      </w:r>
      <w:r w:rsidRPr="003C1FB5">
        <w:t xml:space="preserve">Lines </w:t>
      </w:r>
    </w:p>
    <w:p w14:paraId="4BEF414D" w14:textId="751AE6E7" w:rsidR="000C0218" w:rsidRDefault="006B5133" w:rsidP="00FF51B7">
      <w:pPr>
        <w:pStyle w:val="ListParagraph"/>
        <w:numPr>
          <w:ilvl w:val="0"/>
          <w:numId w:val="6"/>
        </w:numPr>
      </w:pPr>
      <w:r>
        <w:t xml:space="preserve">Test Pack </w:t>
      </w:r>
      <w:r w:rsidRPr="003C1FB5">
        <w:t xml:space="preserve">Spools </w:t>
      </w:r>
    </w:p>
    <w:p w14:paraId="5F216F6F" w14:textId="0B70B1EA" w:rsidR="006B5133" w:rsidRDefault="006B5133" w:rsidP="00FF51B7">
      <w:pPr>
        <w:pStyle w:val="ListParagraph"/>
        <w:numPr>
          <w:ilvl w:val="0"/>
          <w:numId w:val="6"/>
        </w:numPr>
      </w:pPr>
      <w:r>
        <w:t xml:space="preserve">Test Pack </w:t>
      </w:r>
      <w:r w:rsidRPr="003C1FB5">
        <w:t>Mechanical Joints</w:t>
      </w:r>
    </w:p>
    <w:p w14:paraId="596F0CC1" w14:textId="27FC72B1" w:rsidR="006B5133" w:rsidRDefault="001714D1" w:rsidP="00FF51B7">
      <w:pPr>
        <w:jc w:val="center"/>
      </w:pPr>
      <w:r w:rsidRPr="006B5133">
        <w:rPr>
          <w:noProof/>
        </w:rPr>
        <w:drawing>
          <wp:inline distT="0" distB="0" distL="0" distR="0" wp14:anchorId="7BDA3831" wp14:editId="199CC3CC">
            <wp:extent cx="2343150" cy="1571453"/>
            <wp:effectExtent l="19050" t="19050" r="19050" b="10160"/>
            <wp:docPr id="14" name="Picture 14" descr="Figure 5. Export section from Tag Screen with the Export Tag ITR and Export Tag PWL Functionalit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3150" cy="1571453"/>
                    </a:xfrm>
                    <a:prstGeom prst="rect">
                      <a:avLst/>
                    </a:prstGeom>
                    <a:ln>
                      <a:solidFill>
                        <a:schemeClr val="accent1"/>
                      </a:solidFill>
                    </a:ln>
                  </pic:spPr>
                </pic:pic>
              </a:graphicData>
            </a:graphic>
          </wp:inline>
        </w:drawing>
      </w:r>
    </w:p>
    <w:p w14:paraId="0668B6A0" w14:textId="66FD8C4E" w:rsidR="006B5133" w:rsidRPr="00163992" w:rsidRDefault="006B5133" w:rsidP="00FF51B7">
      <w:pPr>
        <w:pStyle w:val="Figure"/>
      </w:pPr>
      <w:r>
        <w:t>Export section from Tag Screen with the Export Tag ITR and Export Tag PWL Functionality Highlighted</w:t>
      </w:r>
    </w:p>
    <w:p w14:paraId="46BE115B" w14:textId="77777777" w:rsidR="001F2BD4" w:rsidRDefault="001F2BD4" w:rsidP="001F2BD4">
      <w:pPr>
        <w:pStyle w:val="Heading3"/>
        <w:numPr>
          <w:ilvl w:val="2"/>
          <w:numId w:val="2"/>
        </w:numPr>
      </w:pPr>
      <w:bookmarkStart w:id="26" w:name="_Toc509907273"/>
      <w:r w:rsidRPr="00271B94">
        <w:t>Additional Check on Validation Imports</w:t>
      </w:r>
    </w:p>
    <w:p w14:paraId="04ACB6F0" w14:textId="77777777" w:rsidR="001F2BD4" w:rsidRPr="00A722F7" w:rsidRDefault="001F2BD4" w:rsidP="001F2BD4">
      <w:pPr>
        <w:rPr>
          <w:b/>
        </w:rPr>
      </w:pPr>
      <w:r>
        <w:rPr>
          <w:b/>
        </w:rPr>
        <w:t xml:space="preserve">Full Details in </w:t>
      </w:r>
      <w:r w:rsidRPr="003C1FB5">
        <w:rPr>
          <w:b/>
        </w:rPr>
        <w:t xml:space="preserve">Sections </w:t>
      </w:r>
      <w:r>
        <w:rPr>
          <w:b/>
        </w:rPr>
        <w:t xml:space="preserve">39.1.8.6 – Import - Concurrent Field Checks </w:t>
      </w:r>
    </w:p>
    <w:p w14:paraId="70F2D7B9" w14:textId="56AE147E" w:rsidR="001F2BD4" w:rsidRDefault="00FC7000" w:rsidP="001F2BD4">
      <w:r>
        <w:t xml:space="preserve">Validation Imports now include checks on fields that must be completed concurrently (for example Accepted By and Accepted Date). </w:t>
      </w:r>
      <w:r w:rsidR="001F2BD4">
        <w:t xml:space="preserve">These checks were previously only </w:t>
      </w:r>
      <w:r w:rsidR="00E66518">
        <w:t>performed</w:t>
      </w:r>
      <w:r w:rsidR="001F2BD4">
        <w:t xml:space="preserve"> on Simulate </w:t>
      </w:r>
      <w:r w:rsidR="00E66518">
        <w:t>and</w:t>
      </w:r>
      <w:r w:rsidR="001F2BD4">
        <w:t xml:space="preserve"> Full Import</w:t>
      </w:r>
      <w:r w:rsidR="00E66518">
        <w:t>s</w:t>
      </w:r>
      <w:r w:rsidR="001F2BD4">
        <w:t>.</w:t>
      </w:r>
    </w:p>
    <w:p w14:paraId="2F4AB970" w14:textId="77777777" w:rsidR="001F2BD4" w:rsidRDefault="001F2BD4" w:rsidP="001F2BD4">
      <w:pPr>
        <w:pStyle w:val="Heading3"/>
        <w:numPr>
          <w:ilvl w:val="2"/>
          <w:numId w:val="2"/>
        </w:numPr>
      </w:pPr>
      <w:r>
        <w:t>Improved Completions Grid</w:t>
      </w:r>
    </w:p>
    <w:p w14:paraId="60B8C072" w14:textId="77777777" w:rsidR="001F2BD4" w:rsidRPr="00F857AD" w:rsidRDefault="001F2BD4" w:rsidP="001F2BD4">
      <w:pPr>
        <w:rPr>
          <w:b/>
        </w:rPr>
      </w:pPr>
      <w:r>
        <w:rPr>
          <w:b/>
        </w:rPr>
        <w:t xml:space="preserve">Full Details in Section 41.2.2 – Completions Grid: Details Page </w:t>
      </w:r>
    </w:p>
    <w:p w14:paraId="14755FB4" w14:textId="2CADC6E3" w:rsidR="00E66518" w:rsidRDefault="00E66518" w:rsidP="001F2BD4">
      <w:r>
        <w:t xml:space="preserve">The Completions Grid features several new features: </w:t>
      </w:r>
    </w:p>
    <w:p w14:paraId="1E71BBA5" w14:textId="21B3C09E" w:rsidR="00E66518" w:rsidRDefault="001F2BD4" w:rsidP="00FF51B7">
      <w:pPr>
        <w:pStyle w:val="ListParagraph"/>
        <w:numPr>
          <w:ilvl w:val="0"/>
          <w:numId w:val="6"/>
        </w:numPr>
      </w:pPr>
      <w:r>
        <w:t xml:space="preserve">Tabs have been </w:t>
      </w:r>
      <w:r w:rsidR="00E66518">
        <w:t>added which provide</w:t>
      </w:r>
      <w:r>
        <w:t xml:space="preserve"> a detailed breakdown on the Punch List Items and MOCs associated with the selected System or Sub System.  </w:t>
      </w:r>
    </w:p>
    <w:p w14:paraId="2ABBCF8C" w14:textId="07F13230" w:rsidR="001F2BD4" w:rsidRDefault="001F2BD4" w:rsidP="00FF51B7">
      <w:pPr>
        <w:pStyle w:val="ListParagraph"/>
        <w:numPr>
          <w:ilvl w:val="0"/>
          <w:numId w:val="6"/>
        </w:numPr>
      </w:pPr>
      <w:r>
        <w:t>The data in the details</w:t>
      </w:r>
      <w:r w:rsidR="00E66518">
        <w:t xml:space="preserve"> section</w:t>
      </w:r>
      <w:r>
        <w:t xml:space="preserve"> can now be filtered by ITR Class, Punch List Category or MOC Type</w:t>
      </w:r>
      <w:r w:rsidR="00E66518">
        <w:t>, where applicable.</w:t>
      </w:r>
    </w:p>
    <w:p w14:paraId="5E1CE162" w14:textId="1804BB80" w:rsidR="00E66518" w:rsidRDefault="00E66518" w:rsidP="00FF51B7">
      <w:pPr>
        <w:pStyle w:val="ListParagraph"/>
        <w:numPr>
          <w:ilvl w:val="0"/>
          <w:numId w:val="6"/>
        </w:numPr>
      </w:pPr>
      <w:r>
        <w:t xml:space="preserve">Navigation via the back button has been improved, to behave consistently throughout the navigational hierarchy. </w:t>
      </w:r>
    </w:p>
    <w:p w14:paraId="02160A8D" w14:textId="720E3ED0" w:rsidR="001F2BD4" w:rsidRDefault="001F2BD4" w:rsidP="001F2BD4"/>
    <w:p w14:paraId="70B240D6" w14:textId="4C77713D" w:rsidR="001F2BD4" w:rsidRDefault="001F2BD4" w:rsidP="001F2BD4">
      <w:r w:rsidRPr="001F2BD4">
        <w:rPr>
          <w:noProof/>
        </w:rPr>
        <w:drawing>
          <wp:inline distT="0" distB="0" distL="0" distR="0" wp14:anchorId="1CE4DD85" wp14:editId="748B7E0A">
            <wp:extent cx="6661150" cy="2383155"/>
            <wp:effectExtent l="0" t="0" r="6350" b="0"/>
            <wp:docPr id="16" name="Picture 16" descr="Figure 6. Completions Grid Details page on the Punch Lis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2383155"/>
                    </a:xfrm>
                    <a:prstGeom prst="rect">
                      <a:avLst/>
                    </a:prstGeom>
                  </pic:spPr>
                </pic:pic>
              </a:graphicData>
            </a:graphic>
          </wp:inline>
        </w:drawing>
      </w:r>
    </w:p>
    <w:p w14:paraId="1D40090E" w14:textId="42783B7B" w:rsidR="001F2BD4" w:rsidRDefault="001F2BD4" w:rsidP="00FF51B7">
      <w:pPr>
        <w:pStyle w:val="Figure"/>
      </w:pPr>
      <w:r>
        <w:t>Completions Grid Details page on the Punch List Tab</w:t>
      </w:r>
    </w:p>
    <w:p w14:paraId="229F6AC9" w14:textId="77777777" w:rsidR="001F2BD4" w:rsidRDefault="001F2BD4" w:rsidP="001F2BD4">
      <w:pPr>
        <w:pStyle w:val="Heading3"/>
        <w:numPr>
          <w:ilvl w:val="2"/>
          <w:numId w:val="2"/>
        </w:numPr>
      </w:pPr>
      <w:r>
        <w:t>Handover – Includes &amp; Excludes Fields</w:t>
      </w:r>
    </w:p>
    <w:p w14:paraId="58D07743" w14:textId="77777777" w:rsidR="001F2BD4" w:rsidRPr="0017155E" w:rsidRDefault="001F2BD4" w:rsidP="001F2BD4">
      <w:pPr>
        <w:rPr>
          <w:b/>
        </w:rPr>
      </w:pPr>
      <w:r>
        <w:rPr>
          <w:b/>
        </w:rPr>
        <w:t>Full Details in Section 23.2.3.2 – Handover View Page, Section 23.3.1.2 – Handover Entity &amp; Section 38.4.1.2 – Handover Type Entity</w:t>
      </w:r>
    </w:p>
    <w:p w14:paraId="507C38CE" w14:textId="033F8A02" w:rsidR="001F2BD4" w:rsidRDefault="00E66518" w:rsidP="001F2BD4">
      <w:r>
        <w:t xml:space="preserve">Handovers now feature free text fields for “Includes” and “Excludes”. </w:t>
      </w:r>
      <w:r w:rsidR="001F2BD4">
        <w:t>These fields can be turned on and off based on the Handover Type settings</w:t>
      </w:r>
      <w:r>
        <w:t xml:space="preserve"> as required</w:t>
      </w:r>
      <w:r w:rsidR="001F2BD4">
        <w:t xml:space="preserve">.  </w:t>
      </w:r>
    </w:p>
    <w:p w14:paraId="7502441B" w14:textId="4141464E" w:rsidR="001F2BD4" w:rsidRDefault="001F2BD4" w:rsidP="001F2BD4">
      <w:r w:rsidRPr="001F2BD4">
        <w:rPr>
          <w:noProof/>
        </w:rPr>
        <w:drawing>
          <wp:inline distT="0" distB="0" distL="0" distR="0" wp14:anchorId="78BE0E2D" wp14:editId="16698DF9">
            <wp:extent cx="6661150" cy="3782060"/>
            <wp:effectExtent l="19050" t="19050" r="25400" b="27940"/>
            <wp:docPr id="15" name="Picture 15" descr="Figure 7. Handover Edit page with the Includes and Excludes Field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3782060"/>
                    </a:xfrm>
                    <a:prstGeom prst="rect">
                      <a:avLst/>
                    </a:prstGeom>
                    <a:ln>
                      <a:solidFill>
                        <a:schemeClr val="accent1"/>
                      </a:solidFill>
                    </a:ln>
                  </pic:spPr>
                </pic:pic>
              </a:graphicData>
            </a:graphic>
          </wp:inline>
        </w:drawing>
      </w:r>
    </w:p>
    <w:p w14:paraId="0032ED2B" w14:textId="6A9FF719" w:rsidR="001F2BD4" w:rsidRDefault="001F2BD4" w:rsidP="00FF51B7">
      <w:pPr>
        <w:pStyle w:val="Figure"/>
      </w:pPr>
      <w:r>
        <w:t>Handover Edit page with the Includes and Excludes Fields Highlighted</w:t>
      </w:r>
    </w:p>
    <w:p w14:paraId="489C0D27" w14:textId="77777777" w:rsidR="001F2BD4" w:rsidRDefault="001F2BD4" w:rsidP="001F2BD4">
      <w:pPr>
        <w:pStyle w:val="Heading3"/>
        <w:numPr>
          <w:ilvl w:val="2"/>
          <w:numId w:val="2"/>
        </w:numPr>
      </w:pPr>
      <w:r>
        <w:t>Back Button Removed</w:t>
      </w:r>
    </w:p>
    <w:p w14:paraId="25B1749A" w14:textId="77777777" w:rsidR="001F2BD4" w:rsidRPr="008A26F9" w:rsidRDefault="001F2BD4" w:rsidP="001F2BD4">
      <w:r>
        <w:t>The Back Button has been removed from most of the pages as it gave inconsistent results when navigating between pages.  The back button does however remain in use on the Completions Grid to allow the user to go back to pages on the Completions Grid.</w:t>
      </w:r>
    </w:p>
    <w:bookmarkEnd w:id="1"/>
    <w:bookmarkEnd w:id="2"/>
    <w:bookmarkEnd w:id="3"/>
    <w:bookmarkEnd w:id="4"/>
    <w:bookmarkEnd w:id="5"/>
    <w:bookmarkEnd w:id="6"/>
    <w:bookmarkEnd w:id="7"/>
    <w:bookmarkEnd w:id="8"/>
    <w:bookmarkEnd w:id="9"/>
    <w:bookmarkEnd w:id="10"/>
    <w:bookmarkEnd w:id="11"/>
    <w:bookmarkEnd w:id="12"/>
    <w:bookmarkEnd w:id="26"/>
    <w:p w14:paraId="6998BDA7" w14:textId="7B333E18" w:rsidR="00AA2EED" w:rsidRPr="00AA2EED" w:rsidRDefault="00AA2EED" w:rsidP="00FF51B7">
      <w:pPr>
        <w:jc w:val="center"/>
      </w:pPr>
    </w:p>
    <w:sectPr w:rsidR="00AA2EED" w:rsidRPr="00AA2EED" w:rsidSect="004B30B1">
      <w:pgSz w:w="11906" w:h="16838"/>
      <w:pgMar w:top="1560" w:right="707" w:bottom="1276" w:left="709" w:header="709"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B5F69" w14:textId="77777777" w:rsidR="00513E1C" w:rsidRDefault="00513E1C" w:rsidP="00DE3F25">
      <w:pPr>
        <w:spacing w:after="0" w:line="240" w:lineRule="auto"/>
      </w:pPr>
      <w:r>
        <w:separator/>
      </w:r>
    </w:p>
  </w:endnote>
  <w:endnote w:type="continuationSeparator" w:id="0">
    <w:p w14:paraId="21F06919" w14:textId="77777777" w:rsidR="00513E1C" w:rsidRDefault="00513E1C" w:rsidP="00DE3F25">
      <w:pPr>
        <w:spacing w:after="0" w:line="240" w:lineRule="auto"/>
      </w:pPr>
      <w:r>
        <w:continuationSeparator/>
      </w:r>
    </w:p>
  </w:endnote>
  <w:endnote w:type="continuationNotice" w:id="1">
    <w:p w14:paraId="5F7C6A83" w14:textId="77777777" w:rsidR="00513E1C" w:rsidRDefault="00513E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84984" w14:textId="77777777" w:rsidR="00513E1C" w:rsidRDefault="00513E1C" w:rsidP="00DE3F25">
      <w:pPr>
        <w:spacing w:after="0" w:line="240" w:lineRule="auto"/>
      </w:pPr>
      <w:r>
        <w:separator/>
      </w:r>
    </w:p>
  </w:footnote>
  <w:footnote w:type="continuationSeparator" w:id="0">
    <w:p w14:paraId="515ADADE" w14:textId="77777777" w:rsidR="00513E1C" w:rsidRDefault="00513E1C" w:rsidP="00DE3F25">
      <w:pPr>
        <w:spacing w:after="0" w:line="240" w:lineRule="auto"/>
      </w:pPr>
      <w:r>
        <w:continuationSeparator/>
      </w:r>
    </w:p>
  </w:footnote>
  <w:footnote w:type="continuationNotice" w:id="1">
    <w:p w14:paraId="6B59AB90" w14:textId="77777777" w:rsidR="00513E1C" w:rsidRDefault="00513E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96B9F"/>
    <w:multiLevelType w:val="hybridMultilevel"/>
    <w:tmpl w:val="156AE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0777F3"/>
    <w:multiLevelType w:val="multilevel"/>
    <w:tmpl w:val="18F0F3D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4"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2"/>
  </w:num>
  <w:num w:numId="2">
    <w:abstractNumId w:val="13"/>
  </w:num>
  <w:num w:numId="3">
    <w:abstractNumId w:val="13"/>
  </w:num>
  <w:num w:numId="4">
    <w:abstractNumId w:val="18"/>
  </w:num>
  <w:num w:numId="5">
    <w:abstractNumId w:val="3"/>
  </w:num>
  <w:num w:numId="6">
    <w:abstractNumId w:val="9"/>
  </w:num>
  <w:num w:numId="7">
    <w:abstractNumId w:val="12"/>
  </w:num>
  <w:num w:numId="8">
    <w:abstractNumId w:val="5"/>
  </w:num>
  <w:num w:numId="9">
    <w:abstractNumId w:val="17"/>
  </w:num>
  <w:num w:numId="10">
    <w:abstractNumId w:val="0"/>
  </w:num>
  <w:num w:numId="11">
    <w:abstractNumId w:val="1"/>
  </w:num>
  <w:num w:numId="12">
    <w:abstractNumId w:val="7"/>
  </w:num>
  <w:num w:numId="13">
    <w:abstractNumId w:val="21"/>
  </w:num>
  <w:num w:numId="14">
    <w:abstractNumId w:val="2"/>
  </w:num>
  <w:num w:numId="15">
    <w:abstractNumId w:val="10"/>
  </w:num>
  <w:num w:numId="16">
    <w:abstractNumId w:val="4"/>
  </w:num>
  <w:num w:numId="17">
    <w:abstractNumId w:val="14"/>
  </w:num>
  <w:num w:numId="18">
    <w:abstractNumId w:val="8"/>
  </w:num>
  <w:num w:numId="19">
    <w:abstractNumId w:val="16"/>
  </w:num>
  <w:num w:numId="20">
    <w:abstractNumId w:val="19"/>
  </w:num>
  <w:num w:numId="21">
    <w:abstractNumId w:val="15"/>
  </w:num>
  <w:num w:numId="22">
    <w:abstractNumId w:val="11"/>
  </w:num>
  <w:num w:numId="23">
    <w:abstractNumId w:val="20"/>
  </w:num>
  <w:num w:numId="2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AFB"/>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4346"/>
    <w:rsid w:val="000849F6"/>
    <w:rsid w:val="00085409"/>
    <w:rsid w:val="000857A1"/>
    <w:rsid w:val="00085F41"/>
    <w:rsid w:val="00086254"/>
    <w:rsid w:val="00086700"/>
    <w:rsid w:val="00087916"/>
    <w:rsid w:val="00087B0B"/>
    <w:rsid w:val="00090553"/>
    <w:rsid w:val="0009055E"/>
    <w:rsid w:val="00090EC9"/>
    <w:rsid w:val="0009137C"/>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D83"/>
    <w:rsid w:val="000B3F99"/>
    <w:rsid w:val="000B4A33"/>
    <w:rsid w:val="000B4B88"/>
    <w:rsid w:val="000B4DD6"/>
    <w:rsid w:val="000B5491"/>
    <w:rsid w:val="000B5556"/>
    <w:rsid w:val="000B55BB"/>
    <w:rsid w:val="000B59A9"/>
    <w:rsid w:val="000B5B8B"/>
    <w:rsid w:val="000B6344"/>
    <w:rsid w:val="000B7444"/>
    <w:rsid w:val="000B7466"/>
    <w:rsid w:val="000C0218"/>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8AB"/>
    <w:rsid w:val="00102CE5"/>
    <w:rsid w:val="00103C89"/>
    <w:rsid w:val="001053BE"/>
    <w:rsid w:val="001058FD"/>
    <w:rsid w:val="00106DAD"/>
    <w:rsid w:val="00106FF5"/>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992"/>
    <w:rsid w:val="00163C24"/>
    <w:rsid w:val="001641CE"/>
    <w:rsid w:val="0016499F"/>
    <w:rsid w:val="00164A7A"/>
    <w:rsid w:val="001650C3"/>
    <w:rsid w:val="001660A9"/>
    <w:rsid w:val="001661D7"/>
    <w:rsid w:val="00166F87"/>
    <w:rsid w:val="00167738"/>
    <w:rsid w:val="001677D0"/>
    <w:rsid w:val="0017042D"/>
    <w:rsid w:val="00170594"/>
    <w:rsid w:val="00170A14"/>
    <w:rsid w:val="001714D1"/>
    <w:rsid w:val="00171608"/>
    <w:rsid w:val="0017168D"/>
    <w:rsid w:val="00172A4B"/>
    <w:rsid w:val="00172B8E"/>
    <w:rsid w:val="00173226"/>
    <w:rsid w:val="001733E9"/>
    <w:rsid w:val="0017544D"/>
    <w:rsid w:val="00175CE5"/>
    <w:rsid w:val="00175EE0"/>
    <w:rsid w:val="00175F3C"/>
    <w:rsid w:val="0017615F"/>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A58"/>
    <w:rsid w:val="00190E74"/>
    <w:rsid w:val="00191861"/>
    <w:rsid w:val="00191A9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2BD4"/>
    <w:rsid w:val="001F3FB9"/>
    <w:rsid w:val="001F407B"/>
    <w:rsid w:val="001F4348"/>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2139"/>
    <w:rsid w:val="00272387"/>
    <w:rsid w:val="0027241E"/>
    <w:rsid w:val="00273949"/>
    <w:rsid w:val="00273990"/>
    <w:rsid w:val="002740F0"/>
    <w:rsid w:val="0027482F"/>
    <w:rsid w:val="00274DB7"/>
    <w:rsid w:val="0027549C"/>
    <w:rsid w:val="00275F5B"/>
    <w:rsid w:val="0027678E"/>
    <w:rsid w:val="00276EF4"/>
    <w:rsid w:val="00277B86"/>
    <w:rsid w:val="00280C35"/>
    <w:rsid w:val="002815B3"/>
    <w:rsid w:val="00281BEA"/>
    <w:rsid w:val="00281E9E"/>
    <w:rsid w:val="00281FDD"/>
    <w:rsid w:val="002827C6"/>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B78D5"/>
    <w:rsid w:val="002C162E"/>
    <w:rsid w:val="002C2379"/>
    <w:rsid w:val="002C29B6"/>
    <w:rsid w:val="002C2DB0"/>
    <w:rsid w:val="002C3239"/>
    <w:rsid w:val="002C360D"/>
    <w:rsid w:val="002C3755"/>
    <w:rsid w:val="002C379E"/>
    <w:rsid w:val="002C3909"/>
    <w:rsid w:val="002C399B"/>
    <w:rsid w:val="002C433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6A6D"/>
    <w:rsid w:val="002F6B07"/>
    <w:rsid w:val="002F6B7F"/>
    <w:rsid w:val="002F6DF7"/>
    <w:rsid w:val="0030041D"/>
    <w:rsid w:val="00300B99"/>
    <w:rsid w:val="00300C0A"/>
    <w:rsid w:val="00301314"/>
    <w:rsid w:val="003015B8"/>
    <w:rsid w:val="003026A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8004D"/>
    <w:rsid w:val="00380795"/>
    <w:rsid w:val="0038125E"/>
    <w:rsid w:val="00381661"/>
    <w:rsid w:val="0038278C"/>
    <w:rsid w:val="00383A7F"/>
    <w:rsid w:val="00383C41"/>
    <w:rsid w:val="003851FF"/>
    <w:rsid w:val="00385522"/>
    <w:rsid w:val="003855E9"/>
    <w:rsid w:val="00385635"/>
    <w:rsid w:val="00385B66"/>
    <w:rsid w:val="003860FE"/>
    <w:rsid w:val="0038695D"/>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399B"/>
    <w:rsid w:val="003B40B4"/>
    <w:rsid w:val="003B48FD"/>
    <w:rsid w:val="003B4DEE"/>
    <w:rsid w:val="003B4FFF"/>
    <w:rsid w:val="003B561E"/>
    <w:rsid w:val="003B61DD"/>
    <w:rsid w:val="003B7DE3"/>
    <w:rsid w:val="003B7EDF"/>
    <w:rsid w:val="003C027D"/>
    <w:rsid w:val="003C0C33"/>
    <w:rsid w:val="003C17B8"/>
    <w:rsid w:val="003C1EAD"/>
    <w:rsid w:val="003C2807"/>
    <w:rsid w:val="003C3E12"/>
    <w:rsid w:val="003C4277"/>
    <w:rsid w:val="003C44DA"/>
    <w:rsid w:val="003C48C7"/>
    <w:rsid w:val="003C4AA6"/>
    <w:rsid w:val="003C651D"/>
    <w:rsid w:val="003C6DDE"/>
    <w:rsid w:val="003C6E5C"/>
    <w:rsid w:val="003C7DB0"/>
    <w:rsid w:val="003D032D"/>
    <w:rsid w:val="003D06E8"/>
    <w:rsid w:val="003D0F84"/>
    <w:rsid w:val="003D105E"/>
    <w:rsid w:val="003D286C"/>
    <w:rsid w:val="003D3EA7"/>
    <w:rsid w:val="003D451C"/>
    <w:rsid w:val="003D4D4B"/>
    <w:rsid w:val="003D544F"/>
    <w:rsid w:val="003D5DBE"/>
    <w:rsid w:val="003D6FF2"/>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1B52"/>
    <w:rsid w:val="00401DAD"/>
    <w:rsid w:val="00402B88"/>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EC5"/>
    <w:rsid w:val="00466FDA"/>
    <w:rsid w:val="0046747B"/>
    <w:rsid w:val="0046754C"/>
    <w:rsid w:val="004675B8"/>
    <w:rsid w:val="004677E9"/>
    <w:rsid w:val="004706B1"/>
    <w:rsid w:val="00470ED4"/>
    <w:rsid w:val="00470F8E"/>
    <w:rsid w:val="0047144C"/>
    <w:rsid w:val="0047152F"/>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1758"/>
    <w:rsid w:val="004A17CE"/>
    <w:rsid w:val="004A1968"/>
    <w:rsid w:val="004A328F"/>
    <w:rsid w:val="004A4963"/>
    <w:rsid w:val="004A4B84"/>
    <w:rsid w:val="004A4E0C"/>
    <w:rsid w:val="004A5575"/>
    <w:rsid w:val="004A641D"/>
    <w:rsid w:val="004A695E"/>
    <w:rsid w:val="004A6C5B"/>
    <w:rsid w:val="004A6E6D"/>
    <w:rsid w:val="004A74C3"/>
    <w:rsid w:val="004A78AE"/>
    <w:rsid w:val="004A7F86"/>
    <w:rsid w:val="004B0AAC"/>
    <w:rsid w:val="004B0B63"/>
    <w:rsid w:val="004B11A0"/>
    <w:rsid w:val="004B18E2"/>
    <w:rsid w:val="004B1B27"/>
    <w:rsid w:val="004B1BA5"/>
    <w:rsid w:val="004B1CFF"/>
    <w:rsid w:val="004B2F82"/>
    <w:rsid w:val="004B309E"/>
    <w:rsid w:val="004B30B1"/>
    <w:rsid w:val="004B378C"/>
    <w:rsid w:val="004B400F"/>
    <w:rsid w:val="004B4306"/>
    <w:rsid w:val="004B471F"/>
    <w:rsid w:val="004B56C2"/>
    <w:rsid w:val="004B6A72"/>
    <w:rsid w:val="004B712D"/>
    <w:rsid w:val="004C0116"/>
    <w:rsid w:val="004C0636"/>
    <w:rsid w:val="004C270B"/>
    <w:rsid w:val="004C2908"/>
    <w:rsid w:val="004C33AD"/>
    <w:rsid w:val="004C44E3"/>
    <w:rsid w:val="004C4ACC"/>
    <w:rsid w:val="004C56C7"/>
    <w:rsid w:val="004C5937"/>
    <w:rsid w:val="004C6257"/>
    <w:rsid w:val="004C6B4D"/>
    <w:rsid w:val="004C6E3A"/>
    <w:rsid w:val="004C75B7"/>
    <w:rsid w:val="004D09C1"/>
    <w:rsid w:val="004D26AD"/>
    <w:rsid w:val="004D30D3"/>
    <w:rsid w:val="004D3924"/>
    <w:rsid w:val="004D3B36"/>
    <w:rsid w:val="004D409D"/>
    <w:rsid w:val="004D48D9"/>
    <w:rsid w:val="004D4AC6"/>
    <w:rsid w:val="004D786B"/>
    <w:rsid w:val="004D7AF8"/>
    <w:rsid w:val="004E05C7"/>
    <w:rsid w:val="004E2432"/>
    <w:rsid w:val="004E3C7E"/>
    <w:rsid w:val="004E3F2A"/>
    <w:rsid w:val="004E4967"/>
    <w:rsid w:val="004E615C"/>
    <w:rsid w:val="004E6A6C"/>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3E1C"/>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7018"/>
    <w:rsid w:val="00587A42"/>
    <w:rsid w:val="0059042B"/>
    <w:rsid w:val="00592449"/>
    <w:rsid w:val="00592FE5"/>
    <w:rsid w:val="00593495"/>
    <w:rsid w:val="00593B96"/>
    <w:rsid w:val="005944E3"/>
    <w:rsid w:val="00594ABC"/>
    <w:rsid w:val="0059512D"/>
    <w:rsid w:val="00595FB6"/>
    <w:rsid w:val="00597511"/>
    <w:rsid w:val="005A1099"/>
    <w:rsid w:val="005A236E"/>
    <w:rsid w:val="005A2668"/>
    <w:rsid w:val="005A37DC"/>
    <w:rsid w:val="005A47AB"/>
    <w:rsid w:val="005A4D6C"/>
    <w:rsid w:val="005A4E0B"/>
    <w:rsid w:val="005A535C"/>
    <w:rsid w:val="005A6FCC"/>
    <w:rsid w:val="005A729B"/>
    <w:rsid w:val="005A776B"/>
    <w:rsid w:val="005A7CE9"/>
    <w:rsid w:val="005B1949"/>
    <w:rsid w:val="005B25A8"/>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D7E10"/>
    <w:rsid w:val="005E07BF"/>
    <w:rsid w:val="005E11CC"/>
    <w:rsid w:val="005E131D"/>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643"/>
    <w:rsid w:val="006018E3"/>
    <w:rsid w:val="00601977"/>
    <w:rsid w:val="00601C76"/>
    <w:rsid w:val="00601EBF"/>
    <w:rsid w:val="00603E2D"/>
    <w:rsid w:val="00603F61"/>
    <w:rsid w:val="00604FC2"/>
    <w:rsid w:val="006056CB"/>
    <w:rsid w:val="00605B0A"/>
    <w:rsid w:val="0060607C"/>
    <w:rsid w:val="0060613A"/>
    <w:rsid w:val="006069CD"/>
    <w:rsid w:val="0061002C"/>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C4"/>
    <w:rsid w:val="006453E1"/>
    <w:rsid w:val="0064793B"/>
    <w:rsid w:val="00647D8F"/>
    <w:rsid w:val="00650ABD"/>
    <w:rsid w:val="00650B1B"/>
    <w:rsid w:val="00651463"/>
    <w:rsid w:val="0065167B"/>
    <w:rsid w:val="00652A4B"/>
    <w:rsid w:val="0065367B"/>
    <w:rsid w:val="00653F00"/>
    <w:rsid w:val="0065487C"/>
    <w:rsid w:val="006552BB"/>
    <w:rsid w:val="006557D6"/>
    <w:rsid w:val="00655C12"/>
    <w:rsid w:val="00657168"/>
    <w:rsid w:val="006572C6"/>
    <w:rsid w:val="0065763E"/>
    <w:rsid w:val="00657B71"/>
    <w:rsid w:val="00660370"/>
    <w:rsid w:val="00661255"/>
    <w:rsid w:val="006618F4"/>
    <w:rsid w:val="00662F61"/>
    <w:rsid w:val="00663135"/>
    <w:rsid w:val="0066384B"/>
    <w:rsid w:val="00664382"/>
    <w:rsid w:val="006643BE"/>
    <w:rsid w:val="006664B9"/>
    <w:rsid w:val="006671D0"/>
    <w:rsid w:val="006671FB"/>
    <w:rsid w:val="00667B1C"/>
    <w:rsid w:val="00667B69"/>
    <w:rsid w:val="006704D8"/>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133"/>
    <w:rsid w:val="006B5804"/>
    <w:rsid w:val="006B603C"/>
    <w:rsid w:val="006B6186"/>
    <w:rsid w:val="006B62FE"/>
    <w:rsid w:val="006B66B7"/>
    <w:rsid w:val="006B68D9"/>
    <w:rsid w:val="006B692C"/>
    <w:rsid w:val="006B7093"/>
    <w:rsid w:val="006B798E"/>
    <w:rsid w:val="006C0C8F"/>
    <w:rsid w:val="006C1414"/>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669C"/>
    <w:rsid w:val="006D6A73"/>
    <w:rsid w:val="006D6F88"/>
    <w:rsid w:val="006D71B4"/>
    <w:rsid w:val="006D7A14"/>
    <w:rsid w:val="006E0970"/>
    <w:rsid w:val="006E16EA"/>
    <w:rsid w:val="006E1B1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6364"/>
    <w:rsid w:val="00776B6E"/>
    <w:rsid w:val="00776ECB"/>
    <w:rsid w:val="00776ED9"/>
    <w:rsid w:val="0077724B"/>
    <w:rsid w:val="007776DD"/>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A9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12CF"/>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760E"/>
    <w:rsid w:val="00817876"/>
    <w:rsid w:val="00817BFA"/>
    <w:rsid w:val="00817CC6"/>
    <w:rsid w:val="00820281"/>
    <w:rsid w:val="00820AE6"/>
    <w:rsid w:val="00820C57"/>
    <w:rsid w:val="00820D3B"/>
    <w:rsid w:val="00821A8A"/>
    <w:rsid w:val="00821FEE"/>
    <w:rsid w:val="00822F05"/>
    <w:rsid w:val="00824AAE"/>
    <w:rsid w:val="00825949"/>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B86"/>
    <w:rsid w:val="008A2E3A"/>
    <w:rsid w:val="008A3D11"/>
    <w:rsid w:val="008A40BE"/>
    <w:rsid w:val="008A4353"/>
    <w:rsid w:val="008A4C6A"/>
    <w:rsid w:val="008A5737"/>
    <w:rsid w:val="008A5F21"/>
    <w:rsid w:val="008A61CB"/>
    <w:rsid w:val="008A6435"/>
    <w:rsid w:val="008A69DE"/>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2931"/>
    <w:rsid w:val="008F380F"/>
    <w:rsid w:val="008F3906"/>
    <w:rsid w:val="008F3E74"/>
    <w:rsid w:val="008F446F"/>
    <w:rsid w:val="008F469B"/>
    <w:rsid w:val="008F587C"/>
    <w:rsid w:val="008F5D15"/>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400"/>
    <w:rsid w:val="009D12C1"/>
    <w:rsid w:val="009D17FE"/>
    <w:rsid w:val="009D1C99"/>
    <w:rsid w:val="009D24F0"/>
    <w:rsid w:val="009D3A84"/>
    <w:rsid w:val="009D51F8"/>
    <w:rsid w:val="009D530C"/>
    <w:rsid w:val="009D5572"/>
    <w:rsid w:val="009D5683"/>
    <w:rsid w:val="009D6723"/>
    <w:rsid w:val="009D7841"/>
    <w:rsid w:val="009E09F3"/>
    <w:rsid w:val="009E0B92"/>
    <w:rsid w:val="009E18B8"/>
    <w:rsid w:val="009E1CC6"/>
    <w:rsid w:val="009E27D0"/>
    <w:rsid w:val="009E28F4"/>
    <w:rsid w:val="009E3B7D"/>
    <w:rsid w:val="009E432D"/>
    <w:rsid w:val="009E439D"/>
    <w:rsid w:val="009E4637"/>
    <w:rsid w:val="009E5104"/>
    <w:rsid w:val="009E5276"/>
    <w:rsid w:val="009E5CFB"/>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2657"/>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10D9"/>
    <w:rsid w:val="00A2156E"/>
    <w:rsid w:val="00A22240"/>
    <w:rsid w:val="00A235D3"/>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301E"/>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51B3"/>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54"/>
    <w:rsid w:val="00B21FD1"/>
    <w:rsid w:val="00B22197"/>
    <w:rsid w:val="00B232CB"/>
    <w:rsid w:val="00B237FA"/>
    <w:rsid w:val="00B239E8"/>
    <w:rsid w:val="00B23BE9"/>
    <w:rsid w:val="00B23E2E"/>
    <w:rsid w:val="00B23E3E"/>
    <w:rsid w:val="00B242C8"/>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05A7"/>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8A6"/>
    <w:rsid w:val="00BD213A"/>
    <w:rsid w:val="00BD39D4"/>
    <w:rsid w:val="00BD407E"/>
    <w:rsid w:val="00BD44B0"/>
    <w:rsid w:val="00BD46A6"/>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BE7"/>
    <w:rsid w:val="00C0026F"/>
    <w:rsid w:val="00C005B0"/>
    <w:rsid w:val="00C0063B"/>
    <w:rsid w:val="00C01918"/>
    <w:rsid w:val="00C02801"/>
    <w:rsid w:val="00C02B33"/>
    <w:rsid w:val="00C02F93"/>
    <w:rsid w:val="00C031FA"/>
    <w:rsid w:val="00C032CA"/>
    <w:rsid w:val="00C0369E"/>
    <w:rsid w:val="00C0379B"/>
    <w:rsid w:val="00C03D64"/>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70EF"/>
    <w:rsid w:val="00C776C2"/>
    <w:rsid w:val="00C804F0"/>
    <w:rsid w:val="00C811ED"/>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4B4"/>
    <w:rsid w:val="00C90A76"/>
    <w:rsid w:val="00C91FDF"/>
    <w:rsid w:val="00C9209E"/>
    <w:rsid w:val="00C9248E"/>
    <w:rsid w:val="00C92F2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50F4"/>
    <w:rsid w:val="00CD5F13"/>
    <w:rsid w:val="00CE029D"/>
    <w:rsid w:val="00CE02E3"/>
    <w:rsid w:val="00CE24BA"/>
    <w:rsid w:val="00CE3701"/>
    <w:rsid w:val="00CE3A17"/>
    <w:rsid w:val="00CE3FE2"/>
    <w:rsid w:val="00CE45BF"/>
    <w:rsid w:val="00CE4F2F"/>
    <w:rsid w:val="00CE5290"/>
    <w:rsid w:val="00CE54A7"/>
    <w:rsid w:val="00CE5887"/>
    <w:rsid w:val="00CE5E26"/>
    <w:rsid w:val="00CE6ABB"/>
    <w:rsid w:val="00CE6F1E"/>
    <w:rsid w:val="00CE7824"/>
    <w:rsid w:val="00CE7B97"/>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E41"/>
    <w:rsid w:val="00D836CE"/>
    <w:rsid w:val="00D84482"/>
    <w:rsid w:val="00D846E1"/>
    <w:rsid w:val="00D85B8D"/>
    <w:rsid w:val="00D85F69"/>
    <w:rsid w:val="00D900AF"/>
    <w:rsid w:val="00D90961"/>
    <w:rsid w:val="00D91174"/>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EDC"/>
    <w:rsid w:val="00DA298D"/>
    <w:rsid w:val="00DA54AC"/>
    <w:rsid w:val="00DA564C"/>
    <w:rsid w:val="00DA5D90"/>
    <w:rsid w:val="00DA5EB3"/>
    <w:rsid w:val="00DA7094"/>
    <w:rsid w:val="00DA71E7"/>
    <w:rsid w:val="00DA7537"/>
    <w:rsid w:val="00DB0877"/>
    <w:rsid w:val="00DB0E7A"/>
    <w:rsid w:val="00DB132C"/>
    <w:rsid w:val="00DB1981"/>
    <w:rsid w:val="00DB19BF"/>
    <w:rsid w:val="00DB27A7"/>
    <w:rsid w:val="00DB352C"/>
    <w:rsid w:val="00DB3D92"/>
    <w:rsid w:val="00DB456A"/>
    <w:rsid w:val="00DB49E5"/>
    <w:rsid w:val="00DB5751"/>
    <w:rsid w:val="00DB59DF"/>
    <w:rsid w:val="00DB5D77"/>
    <w:rsid w:val="00DB5E94"/>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8FB"/>
    <w:rsid w:val="00E23E3F"/>
    <w:rsid w:val="00E242D9"/>
    <w:rsid w:val="00E25542"/>
    <w:rsid w:val="00E25FD8"/>
    <w:rsid w:val="00E2610B"/>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FE2"/>
    <w:rsid w:val="00E40AA2"/>
    <w:rsid w:val="00E42698"/>
    <w:rsid w:val="00E427DC"/>
    <w:rsid w:val="00E42C8C"/>
    <w:rsid w:val="00E437D1"/>
    <w:rsid w:val="00E439D5"/>
    <w:rsid w:val="00E43E6B"/>
    <w:rsid w:val="00E44AF5"/>
    <w:rsid w:val="00E45476"/>
    <w:rsid w:val="00E456E7"/>
    <w:rsid w:val="00E45CC9"/>
    <w:rsid w:val="00E4625C"/>
    <w:rsid w:val="00E46391"/>
    <w:rsid w:val="00E46CFE"/>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18"/>
    <w:rsid w:val="00E6659D"/>
    <w:rsid w:val="00E66C16"/>
    <w:rsid w:val="00E66F54"/>
    <w:rsid w:val="00E673FD"/>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7EB"/>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7A12"/>
    <w:rsid w:val="00EE02BF"/>
    <w:rsid w:val="00EE1312"/>
    <w:rsid w:val="00EE18A8"/>
    <w:rsid w:val="00EE19A9"/>
    <w:rsid w:val="00EE1CDF"/>
    <w:rsid w:val="00EE27BD"/>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0A3"/>
    <w:rsid w:val="00F3452E"/>
    <w:rsid w:val="00F345F3"/>
    <w:rsid w:val="00F34988"/>
    <w:rsid w:val="00F35FF4"/>
    <w:rsid w:val="00F361F1"/>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EB4"/>
    <w:rsid w:val="00F843FF"/>
    <w:rsid w:val="00F8518B"/>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000"/>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37AA"/>
    <w:rsid w:val="00FF4E7F"/>
    <w:rsid w:val="00FF51B7"/>
    <w:rsid w:val="00FF563E"/>
    <w:rsid w:val="00FF5CB4"/>
    <w:rsid w:val="00FF5FBB"/>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5"/>
    <w:qFormat/>
    <w:rsid w:val="00E51EF5"/>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955BD9"/>
    <w:pPr>
      <w:keepNext/>
      <w:numPr>
        <w:numId w:val="3"/>
      </w:numPr>
      <w:shd w:val="clear" w:color="auto" w:fill="002D62"/>
      <w:tabs>
        <w:tab w:val="left" w:pos="1843"/>
      </w:tabs>
      <w:spacing w:before="48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A53EF0"/>
    <w:pPr>
      <w:numPr>
        <w:ilvl w:val="1"/>
      </w:numPr>
      <w:pBdr>
        <w:top w:val="single" w:sz="4" w:space="1" w:color="002060"/>
        <w:bottom w:val="single" w:sz="4" w:space="1"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609"/>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A53EF0"/>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styleId="UnresolvedMention">
    <w:name w:val="Unresolved Mention"/>
    <w:basedOn w:val="DefaultParagraphFont"/>
    <w:uiPriority w:val="99"/>
    <w:semiHidden/>
    <w:unhideWhenUsed/>
    <w:rsid w:val="00F340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edi-gotechnology.github.i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DB7AF7C-41E9-4F10-B2A0-9DAA16E6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7058</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2018-06-04T07:53:00Z</dcterms:created>
  <dcterms:modified xsi:type="dcterms:W3CDTF">2020-02-07T16:58:00Z</dcterms:modified>
  <cp:category/>
</cp:coreProperties>
</file>