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5229062B" w:rsidR="00A45BBC" w:rsidRPr="00191C54" w:rsidRDefault="00A12721" w:rsidP="00A45BBC">
                            <w:pPr>
                              <w:spacing w:line="240" w:lineRule="auto"/>
                              <w:rPr>
                                <w:rFonts w:cs="Segoe UI"/>
                                <w:b/>
                                <w:color w:val="233845" w:themeColor="text2"/>
                                <w:sz w:val="32"/>
                              </w:rPr>
                            </w:pPr>
                            <w:r>
                              <w:rPr>
                                <w:rFonts w:cs="Segoe UI"/>
                                <w:b/>
                                <w:color w:val="233845" w:themeColor="text2"/>
                                <w:sz w:val="32"/>
                              </w:rPr>
                              <w:t>GoTechnology</w:t>
                            </w:r>
                            <w:r w:rsidRPr="00A12721">
                              <w:rPr>
                                <w:rFonts w:cs="Segoe UI"/>
                                <w:b/>
                                <w:color w:val="233845" w:themeColor="text2"/>
                                <w:sz w:val="32"/>
                                <w:vertAlign w:val="superscript"/>
                              </w:rPr>
                              <w:t>®</w:t>
                            </w:r>
                          </w:p>
                          <w:p w14:paraId="059A4275" w14:textId="6155B0FF" w:rsidR="00A45BBC" w:rsidRPr="006223EA" w:rsidRDefault="00B4205E" w:rsidP="00A45BBC">
                            <w:pPr>
                              <w:spacing w:after="0" w:line="240" w:lineRule="auto"/>
                              <w:rPr>
                                <w:rFonts w:cs="Segoe UI"/>
                                <w:color w:val="233845" w:themeColor="text2"/>
                                <w:sz w:val="24"/>
                              </w:rPr>
                            </w:pPr>
                            <w:r>
                              <w:rPr>
                                <w:rFonts w:cs="Segoe UI"/>
                                <w:color w:val="233845" w:themeColor="text2"/>
                                <w:sz w:val="24"/>
                              </w:rPr>
                              <w:t>hub2 – Patch Note</w:t>
                            </w:r>
                            <w:r w:rsidR="000C3499">
                              <w:rPr>
                                <w:rFonts w:cs="Segoe UI"/>
                                <w:color w:val="233845" w:themeColor="text2"/>
                                <w:sz w:val="24"/>
                              </w:rPr>
                              <w:t>s</w:t>
                            </w:r>
                            <w:r>
                              <w:rPr>
                                <w:rFonts w:cs="Segoe UI"/>
                                <w:color w:val="233845" w:themeColor="text2"/>
                                <w:sz w:val="24"/>
                              </w:rPr>
                              <w:t xml:space="preserve"> v1.</w:t>
                            </w:r>
                            <w:r w:rsidR="00EE0D4A">
                              <w:rPr>
                                <w:rFonts w:cs="Segoe UI"/>
                                <w:color w:val="233845" w:themeColor="text2"/>
                                <w:sz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5229062B" w:rsidR="00A45BBC" w:rsidRPr="00191C54" w:rsidRDefault="00A12721" w:rsidP="00A45BBC">
                      <w:pPr>
                        <w:spacing w:line="240" w:lineRule="auto"/>
                        <w:rPr>
                          <w:rFonts w:cs="Segoe UI"/>
                          <w:b/>
                          <w:color w:val="233845" w:themeColor="text2"/>
                          <w:sz w:val="32"/>
                        </w:rPr>
                      </w:pPr>
                      <w:r>
                        <w:rPr>
                          <w:rFonts w:cs="Segoe UI"/>
                          <w:b/>
                          <w:color w:val="233845" w:themeColor="text2"/>
                          <w:sz w:val="32"/>
                        </w:rPr>
                        <w:t>GoTechnology</w:t>
                      </w:r>
                      <w:r w:rsidRPr="00A12721">
                        <w:rPr>
                          <w:rFonts w:cs="Segoe UI"/>
                          <w:b/>
                          <w:color w:val="233845" w:themeColor="text2"/>
                          <w:sz w:val="32"/>
                          <w:vertAlign w:val="superscript"/>
                        </w:rPr>
                        <w:t>®</w:t>
                      </w:r>
                    </w:p>
                    <w:p w14:paraId="059A4275" w14:textId="6155B0FF" w:rsidR="00A45BBC" w:rsidRPr="006223EA" w:rsidRDefault="00B4205E" w:rsidP="00A45BBC">
                      <w:pPr>
                        <w:spacing w:after="0" w:line="240" w:lineRule="auto"/>
                        <w:rPr>
                          <w:rFonts w:cs="Segoe UI"/>
                          <w:color w:val="233845" w:themeColor="text2"/>
                          <w:sz w:val="24"/>
                        </w:rPr>
                      </w:pPr>
                      <w:r>
                        <w:rPr>
                          <w:rFonts w:cs="Segoe UI"/>
                          <w:color w:val="233845" w:themeColor="text2"/>
                          <w:sz w:val="24"/>
                        </w:rPr>
                        <w:t>hub2 – Patch Note</w:t>
                      </w:r>
                      <w:r w:rsidR="000C3499">
                        <w:rPr>
                          <w:rFonts w:cs="Segoe UI"/>
                          <w:color w:val="233845" w:themeColor="text2"/>
                          <w:sz w:val="24"/>
                        </w:rPr>
                        <w:t>s</w:t>
                      </w:r>
                      <w:r>
                        <w:rPr>
                          <w:rFonts w:cs="Segoe UI"/>
                          <w:color w:val="233845" w:themeColor="text2"/>
                          <w:sz w:val="24"/>
                        </w:rPr>
                        <w:t xml:space="preserve"> v1.</w:t>
                      </w:r>
                      <w:r w:rsidR="00EE0D4A">
                        <w:rPr>
                          <w:rFonts w:cs="Segoe UI"/>
                          <w:color w:val="233845" w:themeColor="text2"/>
                          <w:sz w:val="24"/>
                        </w:rPr>
                        <w:t>9</w:t>
                      </w:r>
                    </w:p>
                  </w:txbxContent>
                </v:textbox>
                <w10:wrap anchorx="margin"/>
              </v:shape>
            </w:pict>
          </mc:Fallback>
        </mc:AlternateContent>
      </w:r>
      <w:r>
        <w:br w:type="page"/>
      </w:r>
    </w:p>
    <w:p w14:paraId="0CB58D8D" w14:textId="49575EE6" w:rsidR="00E85C73" w:rsidRDefault="00BD18A6" w:rsidP="00F420B2">
      <w:pPr>
        <w:pStyle w:val="Heading1"/>
      </w:pPr>
      <w:bookmarkStart w:id="14" w:name="_Toc517953894"/>
      <w:bookmarkEnd w:id="1"/>
      <w:r>
        <w:lastRenderedPageBreak/>
        <w:t>About this Document</w:t>
      </w:r>
      <w:bookmarkEnd w:id="14"/>
    </w:p>
    <w:p w14:paraId="0DD28C25" w14:textId="63E7AC99" w:rsidR="0010746C" w:rsidRDefault="0010746C" w:rsidP="00886982">
      <w:pPr>
        <w:pStyle w:val="Heading2"/>
      </w:pPr>
      <w:bookmarkStart w:id="15" w:name="_Toc517953895"/>
      <w:r>
        <w:t>Purpose</w:t>
      </w:r>
      <w:bookmarkEnd w:id="15"/>
    </w:p>
    <w:p w14:paraId="5722B2B4" w14:textId="77777777" w:rsidR="00EE0D4A" w:rsidRPr="0064515E" w:rsidRDefault="00EE0D4A" w:rsidP="00EE0D4A">
      <w:r>
        <w:t>This document provides a brief overview of the changes made between V1.8 and V1.9 of hub2, along with where further details of each change can be found within the updated functional specification, in addition to a listing of completed bug fixes and known issues.</w:t>
      </w:r>
    </w:p>
    <w:p w14:paraId="6F1CF80A" w14:textId="77777777" w:rsidR="00F420B2" w:rsidRDefault="00F420B2" w:rsidP="0064515E"/>
    <w:p w14:paraId="4DCB5DDB" w14:textId="6466F4EB" w:rsidR="00E85C73" w:rsidRDefault="00E85C73" w:rsidP="00F420B2">
      <w:pPr>
        <w:pStyle w:val="Heading1"/>
      </w:pPr>
      <w:bookmarkStart w:id="16" w:name="_Toc517953898"/>
      <w:r>
        <w:t>Fixed Issues</w:t>
      </w:r>
      <w:bookmarkEnd w:id="16"/>
    </w:p>
    <w:p w14:paraId="6E27792A" w14:textId="4A5E6264" w:rsidR="00E85C73" w:rsidRDefault="00E85C73" w:rsidP="00F420B2">
      <w:r>
        <w:t xml:space="preserve">The following </w:t>
      </w:r>
      <w:r w:rsidR="008018B6">
        <w:t>issues have been fixed in version 1.</w:t>
      </w:r>
      <w:r w:rsidR="008C6CFE">
        <w:t>9</w:t>
      </w:r>
      <w:r w:rsidR="008018B6">
        <w:t xml:space="preserve"> of hub2</w:t>
      </w:r>
    </w:p>
    <w:tbl>
      <w:tblPr>
        <w:tblStyle w:val="MiscTable"/>
        <w:tblW w:w="10031" w:type="dxa"/>
        <w:tblLook w:val="0420" w:firstRow="1" w:lastRow="0" w:firstColumn="0" w:lastColumn="0" w:noHBand="0" w:noVBand="1"/>
      </w:tblPr>
      <w:tblGrid>
        <w:gridCol w:w="983"/>
        <w:gridCol w:w="2976"/>
        <w:gridCol w:w="6072"/>
      </w:tblGrid>
      <w:tr w:rsidR="00886982" w:rsidRPr="004476C8" w14:paraId="75BED357" w14:textId="77777777" w:rsidTr="004476C8">
        <w:trPr>
          <w:cnfStyle w:val="100000000000" w:firstRow="1" w:lastRow="0" w:firstColumn="0" w:lastColumn="0" w:oddVBand="0" w:evenVBand="0" w:oddHBand="0" w:evenHBand="0" w:firstRowFirstColumn="0" w:firstRowLastColumn="0" w:lastRowFirstColumn="0" w:lastRowLastColumn="0"/>
        </w:trPr>
        <w:tc>
          <w:tcPr>
            <w:tcW w:w="983" w:type="dxa"/>
          </w:tcPr>
          <w:p w14:paraId="1EA66700" w14:textId="4ED8F7E7" w:rsidR="00886982" w:rsidRPr="004476C8" w:rsidRDefault="00886982" w:rsidP="00886982">
            <w:pPr>
              <w:pStyle w:val="BodyText"/>
              <w:rPr>
                <w:color w:val="FFFFFF" w:themeColor="background1"/>
              </w:rPr>
            </w:pPr>
            <w:r w:rsidRPr="004476C8">
              <w:rPr>
                <w:color w:val="FFFFFF" w:themeColor="background1"/>
              </w:rPr>
              <w:t>Case</w:t>
            </w:r>
          </w:p>
        </w:tc>
        <w:tc>
          <w:tcPr>
            <w:tcW w:w="2976" w:type="dxa"/>
          </w:tcPr>
          <w:p w14:paraId="70CA37B9" w14:textId="74AB3EE4" w:rsidR="00886982" w:rsidRPr="004476C8" w:rsidRDefault="00886982" w:rsidP="00886982">
            <w:pPr>
              <w:pStyle w:val="BodyText"/>
              <w:rPr>
                <w:color w:val="FFFFFF" w:themeColor="background1"/>
              </w:rPr>
            </w:pPr>
            <w:r w:rsidRPr="004476C8">
              <w:rPr>
                <w:color w:val="FFFFFF" w:themeColor="background1"/>
              </w:rPr>
              <w:t>Title [sic]</w:t>
            </w:r>
          </w:p>
        </w:tc>
        <w:tc>
          <w:tcPr>
            <w:tcW w:w="6072" w:type="dxa"/>
          </w:tcPr>
          <w:p w14:paraId="18C8B469" w14:textId="6898B932" w:rsidR="00886982" w:rsidRPr="004476C8" w:rsidRDefault="00886982" w:rsidP="00886982">
            <w:pPr>
              <w:pStyle w:val="BodyText"/>
              <w:rPr>
                <w:color w:val="FFFFFF" w:themeColor="background1"/>
              </w:rPr>
            </w:pPr>
            <w:r w:rsidRPr="004476C8">
              <w:rPr>
                <w:color w:val="FFFFFF" w:themeColor="background1"/>
              </w:rPr>
              <w:t>Details</w:t>
            </w:r>
          </w:p>
        </w:tc>
      </w:tr>
      <w:tr w:rsidR="00EE0D4A" w:rsidRPr="004476C8" w14:paraId="7241AD6A" w14:textId="77777777" w:rsidTr="004476C8">
        <w:trPr>
          <w:cnfStyle w:val="000000100000" w:firstRow="0" w:lastRow="0" w:firstColumn="0" w:lastColumn="0" w:oddVBand="0" w:evenVBand="0" w:oddHBand="1" w:evenHBand="0" w:firstRowFirstColumn="0" w:firstRowLastColumn="0" w:lastRowFirstColumn="0" w:lastRowLastColumn="0"/>
        </w:trPr>
        <w:tc>
          <w:tcPr>
            <w:tcW w:w="983" w:type="dxa"/>
          </w:tcPr>
          <w:p w14:paraId="1FF59830" w14:textId="1C2E466C" w:rsidR="00EE0D4A" w:rsidRPr="004476C8" w:rsidRDefault="00EE0D4A" w:rsidP="00EE0D4A">
            <w:pPr>
              <w:pStyle w:val="BodyText"/>
            </w:pPr>
            <w:r>
              <w:t>50885</w:t>
            </w:r>
          </w:p>
        </w:tc>
        <w:tc>
          <w:tcPr>
            <w:tcW w:w="2976" w:type="dxa"/>
          </w:tcPr>
          <w:p w14:paraId="2BDC338B" w14:textId="46E9919A" w:rsidR="00EE0D4A" w:rsidRPr="004476C8" w:rsidRDefault="00EE0D4A" w:rsidP="00EE0D4A">
            <w:pPr>
              <w:pStyle w:val="BodyText"/>
            </w:pPr>
            <w:r>
              <w:t>Tag ITRs are not listed alphabetically on Tagged Item Search Results</w:t>
            </w:r>
          </w:p>
        </w:tc>
        <w:tc>
          <w:tcPr>
            <w:tcW w:w="6072" w:type="dxa"/>
          </w:tcPr>
          <w:p w14:paraId="39B227A0" w14:textId="18B6441E" w:rsidR="00EE0D4A" w:rsidRPr="004476C8" w:rsidRDefault="00EE0D4A" w:rsidP="00EE0D4A">
            <w:pPr>
              <w:pStyle w:val="BodyText"/>
            </w:pPr>
            <w:r>
              <w:t>The Tag ITRs Results are displayed as a list on the Tagged Item Search Results, these should have been displayed alphabetically by ITR Name but weren’t.  This has now been corrected.</w:t>
            </w:r>
          </w:p>
        </w:tc>
      </w:tr>
      <w:tr w:rsidR="00EE0D4A" w:rsidRPr="004476C8" w14:paraId="062B48D6" w14:textId="77777777" w:rsidTr="004476C8">
        <w:tc>
          <w:tcPr>
            <w:tcW w:w="983" w:type="dxa"/>
          </w:tcPr>
          <w:p w14:paraId="393106CF" w14:textId="235FECE5" w:rsidR="00EE0D4A" w:rsidRDefault="00EE0D4A" w:rsidP="00EE0D4A">
            <w:pPr>
              <w:pStyle w:val="BodyText"/>
            </w:pPr>
            <w:r>
              <w:t>49441</w:t>
            </w:r>
          </w:p>
        </w:tc>
        <w:tc>
          <w:tcPr>
            <w:tcW w:w="2976" w:type="dxa"/>
          </w:tcPr>
          <w:p w14:paraId="28DF082B" w14:textId="320FD74C" w:rsidR="00EE0D4A" w:rsidRDefault="00EE0D4A" w:rsidP="00EE0D4A">
            <w:pPr>
              <w:pStyle w:val="BodyText"/>
            </w:pPr>
            <w:r>
              <w:t xml:space="preserve">No History Logged when Hub User is edited on the </w:t>
            </w:r>
            <w:proofErr w:type="spellStart"/>
            <w:r>
              <w:t>Authorised</w:t>
            </w:r>
            <w:proofErr w:type="spellEnd"/>
            <w:r>
              <w:t xml:space="preserve"> Person Table</w:t>
            </w:r>
          </w:p>
        </w:tc>
        <w:tc>
          <w:tcPr>
            <w:tcW w:w="6072" w:type="dxa"/>
          </w:tcPr>
          <w:p w14:paraId="24C34ABD" w14:textId="77777777" w:rsidR="00EE0D4A" w:rsidRDefault="00EE0D4A" w:rsidP="00EE0D4A">
            <w:pPr>
              <w:jc w:val="left"/>
            </w:pPr>
            <w:r>
              <w:t>When the Hub User field was changed on the Authorised Person table this wasn’t recorded in the History section.</w:t>
            </w:r>
          </w:p>
          <w:p w14:paraId="0F4932B7" w14:textId="7316FD1D" w:rsidR="00EE0D4A" w:rsidRDefault="00EE0D4A" w:rsidP="00EE0D4A">
            <w:pPr>
              <w:jc w:val="left"/>
            </w:pPr>
            <w:r>
              <w:t>This has been fixed and now the change in user is correctly recorded</w:t>
            </w:r>
          </w:p>
        </w:tc>
      </w:tr>
      <w:tr w:rsidR="00EE0D4A" w:rsidRPr="004476C8" w14:paraId="08E4B7A9" w14:textId="77777777" w:rsidTr="004476C8">
        <w:trPr>
          <w:cnfStyle w:val="000000100000" w:firstRow="0" w:lastRow="0" w:firstColumn="0" w:lastColumn="0" w:oddVBand="0" w:evenVBand="0" w:oddHBand="1" w:evenHBand="0" w:firstRowFirstColumn="0" w:firstRowLastColumn="0" w:lastRowFirstColumn="0" w:lastRowLastColumn="0"/>
        </w:trPr>
        <w:tc>
          <w:tcPr>
            <w:tcW w:w="983" w:type="dxa"/>
          </w:tcPr>
          <w:p w14:paraId="6220A42E" w14:textId="53F9342D" w:rsidR="00EE0D4A" w:rsidRDefault="00EE0D4A" w:rsidP="00EE0D4A">
            <w:pPr>
              <w:pStyle w:val="BodyText"/>
            </w:pPr>
            <w:r>
              <w:t>46850</w:t>
            </w:r>
          </w:p>
        </w:tc>
        <w:tc>
          <w:tcPr>
            <w:tcW w:w="2976" w:type="dxa"/>
          </w:tcPr>
          <w:p w14:paraId="19476D3A" w14:textId="1A5378E4" w:rsidR="00EE0D4A" w:rsidRDefault="00EE0D4A" w:rsidP="00EE0D4A">
            <w:pPr>
              <w:pStyle w:val="BodyText"/>
            </w:pPr>
            <w:r>
              <w:t>Digital Document: Character Limit for Comments</w:t>
            </w:r>
          </w:p>
        </w:tc>
        <w:tc>
          <w:tcPr>
            <w:tcW w:w="6072" w:type="dxa"/>
          </w:tcPr>
          <w:p w14:paraId="0F5194CE" w14:textId="77777777" w:rsidR="00EE0D4A" w:rsidRDefault="00EE0D4A" w:rsidP="00EE0D4A">
            <w:pPr>
              <w:jc w:val="left"/>
            </w:pPr>
            <w:r>
              <w:t>The Digital Documents have a comment limit of 1000 characters but the largest the comment field can be is a few lines.   This normally doesn’t give enough space to write large comments.</w:t>
            </w:r>
          </w:p>
          <w:p w14:paraId="64360EDA" w14:textId="47C64B5F" w:rsidR="00EE0D4A" w:rsidRDefault="00EE0D4A" w:rsidP="00EE0D4A">
            <w:pPr>
              <w:jc w:val="left"/>
            </w:pPr>
            <w:r>
              <w:t xml:space="preserve">From v1.9 it’s now possible for the user to determine how large the comment box can be allowing much larger comments to be completed.  </w:t>
            </w:r>
          </w:p>
        </w:tc>
      </w:tr>
      <w:tr w:rsidR="00EE0D4A" w:rsidRPr="004476C8" w14:paraId="56983F2F" w14:textId="77777777" w:rsidTr="004476C8">
        <w:tc>
          <w:tcPr>
            <w:tcW w:w="983" w:type="dxa"/>
          </w:tcPr>
          <w:p w14:paraId="193CC414" w14:textId="1D465F9E" w:rsidR="00EE0D4A" w:rsidRDefault="00EE0D4A" w:rsidP="00EE0D4A">
            <w:pPr>
              <w:pStyle w:val="BodyText"/>
            </w:pPr>
            <w:r>
              <w:t>47880</w:t>
            </w:r>
          </w:p>
        </w:tc>
        <w:tc>
          <w:tcPr>
            <w:tcW w:w="2976" w:type="dxa"/>
          </w:tcPr>
          <w:p w14:paraId="4B3AF0EE" w14:textId="2FCEFDA7" w:rsidR="00EE0D4A" w:rsidRDefault="00EE0D4A" w:rsidP="00EE0D4A">
            <w:pPr>
              <w:pStyle w:val="BodyText"/>
            </w:pPr>
            <w:r>
              <w:t>On Mobile, buttons appear to be overlapping with other buttons</w:t>
            </w:r>
          </w:p>
        </w:tc>
        <w:tc>
          <w:tcPr>
            <w:tcW w:w="6072" w:type="dxa"/>
          </w:tcPr>
          <w:p w14:paraId="32E5AD8F" w14:textId="77777777" w:rsidR="00EE0D4A" w:rsidRDefault="00EE0D4A" w:rsidP="00EE0D4A">
            <w:pPr>
              <w:jc w:val="left"/>
            </w:pPr>
            <w:r>
              <w:t>When on mobile some of the buttons that are normally displayed side by side changed to be displayed one on top of the other to make more space.  When this happens, the buttons appeared to be overlapping.</w:t>
            </w:r>
          </w:p>
          <w:p w14:paraId="2F39C71C" w14:textId="30402223" w:rsidR="00EE0D4A" w:rsidRDefault="00EE0D4A" w:rsidP="00EE0D4A">
            <w:pPr>
              <w:jc w:val="left"/>
            </w:pPr>
            <w:r>
              <w:t>Now on smaller screens there is an increase margin between the top and bottom of buttons to prevent this.</w:t>
            </w:r>
          </w:p>
        </w:tc>
      </w:tr>
    </w:tbl>
    <w:p w14:paraId="3E971C2D" w14:textId="77777777" w:rsidR="00157395" w:rsidRPr="00157395" w:rsidRDefault="00157395" w:rsidP="00157395">
      <w:bookmarkStart w:id="17" w:name="_Toc517953900"/>
      <w:bookmarkStart w:id="18" w:name="_GoBack"/>
      <w:bookmarkEnd w:id="18"/>
    </w:p>
    <w:p w14:paraId="4C2BEAD3" w14:textId="6D89F57E" w:rsidR="00E85C73" w:rsidRDefault="00A83E28" w:rsidP="00F420B2">
      <w:pPr>
        <w:pStyle w:val="Heading1"/>
      </w:pPr>
      <w:r>
        <w:t>Known</w:t>
      </w:r>
      <w:r w:rsidR="00144332">
        <w:t xml:space="preserve"> Issues</w:t>
      </w:r>
      <w:bookmarkEnd w:id="17"/>
    </w:p>
    <w:p w14:paraId="69E78EC8" w14:textId="3E749056"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6237A7" w:rsidRPr="00F329F1">
          <w:rPr>
            <w:rStyle w:val="Hyperlink"/>
          </w:rPr>
          <w:t>https://gotechnology.github.io/</w:t>
        </w:r>
      </w:hyperlink>
      <w:r w:rsidR="00300D2F">
        <w:t xml:space="preserve"> </w:t>
      </w:r>
    </w:p>
    <w:p w14:paraId="791854F8" w14:textId="77777777" w:rsidR="00F420B2" w:rsidRDefault="00F420B2" w:rsidP="00A95F04"/>
    <w:p w14:paraId="25356527" w14:textId="77777777" w:rsidR="00F420B2" w:rsidRDefault="00F420B2">
      <w:pPr>
        <w:spacing w:after="0" w:line="240" w:lineRule="auto"/>
        <w:jc w:val="left"/>
        <w:rPr>
          <w:rFonts w:eastAsia="Times New Roman" w:cs="Segoe UI"/>
          <w:b/>
          <w:snapToGrid w:val="0"/>
          <w:sz w:val="28"/>
          <w:szCs w:val="32"/>
        </w:rPr>
      </w:pPr>
      <w:bookmarkStart w:id="19" w:name="_Toc517953901"/>
      <w:r>
        <w:br w:type="page"/>
      </w:r>
    </w:p>
    <w:p w14:paraId="75E7AAFD" w14:textId="3580B1E5" w:rsidR="00E85C73" w:rsidRDefault="00144332" w:rsidP="00F420B2">
      <w:pPr>
        <w:pStyle w:val="Heading1"/>
      </w:pPr>
      <w:r>
        <w:lastRenderedPageBreak/>
        <w:t>Features</w:t>
      </w:r>
      <w:bookmarkEnd w:id="19"/>
    </w:p>
    <w:p w14:paraId="07E6E8A9" w14:textId="77777777" w:rsidR="00EE0D4A" w:rsidRDefault="00EE0D4A" w:rsidP="00EE0D4A">
      <w:bookmarkStart w:id="20" w:name="_Toc517953902"/>
      <w:bookmarkEnd w:id="2"/>
      <w:bookmarkEnd w:id="3"/>
      <w:bookmarkEnd w:id="4"/>
      <w:bookmarkEnd w:id="5"/>
      <w:bookmarkEnd w:id="6"/>
      <w:bookmarkEnd w:id="7"/>
      <w:bookmarkEnd w:id="8"/>
      <w:bookmarkEnd w:id="9"/>
      <w:bookmarkEnd w:id="10"/>
      <w:bookmarkEnd w:id="11"/>
      <w:bookmarkEnd w:id="12"/>
      <w:bookmarkEnd w:id="13"/>
      <w:r>
        <w:t>The following functionality has been added in v1.9:</w:t>
      </w:r>
    </w:p>
    <w:p w14:paraId="40785DEE" w14:textId="77777777" w:rsidR="00EE0D4A" w:rsidRDefault="00EE0D4A" w:rsidP="00EE0D4A">
      <w:r>
        <w:t>Functional:</w:t>
      </w:r>
    </w:p>
    <w:p w14:paraId="64B858B0" w14:textId="77777777" w:rsidR="00EE0D4A" w:rsidRDefault="00EE0D4A" w:rsidP="00EE0D4A">
      <w:pPr>
        <w:pStyle w:val="ListParagraph"/>
        <w:numPr>
          <w:ilvl w:val="0"/>
          <w:numId w:val="36"/>
        </w:numPr>
      </w:pPr>
      <w:r>
        <w:t>Import Performance Improvements</w:t>
      </w:r>
    </w:p>
    <w:p w14:paraId="0F2F40FE" w14:textId="77777777" w:rsidR="00EE0D4A" w:rsidRDefault="00EE0D4A" w:rsidP="00EE0D4A">
      <w:pPr>
        <w:pStyle w:val="ListParagraph"/>
        <w:numPr>
          <w:ilvl w:val="0"/>
          <w:numId w:val="36"/>
        </w:numPr>
      </w:pPr>
      <w:r>
        <w:t>Custom Fields: Job Cards</w:t>
      </w:r>
    </w:p>
    <w:p w14:paraId="22DCF6B7" w14:textId="77777777" w:rsidR="00EE0D4A" w:rsidRDefault="00EE0D4A" w:rsidP="00EE0D4A">
      <w:pPr>
        <w:pStyle w:val="ListParagraph"/>
        <w:numPr>
          <w:ilvl w:val="0"/>
          <w:numId w:val="36"/>
        </w:numPr>
      </w:pPr>
      <w:r>
        <w:t>Improved Styling</w:t>
      </w:r>
    </w:p>
    <w:p w14:paraId="11F184ED" w14:textId="77777777" w:rsidR="00EE0D4A" w:rsidRDefault="00EE0D4A" w:rsidP="00EE0D4A">
      <w:pPr>
        <w:pStyle w:val="ListParagraph"/>
        <w:numPr>
          <w:ilvl w:val="0"/>
          <w:numId w:val="36"/>
        </w:numPr>
      </w:pPr>
      <w:r>
        <w:t>Additional Tag and Cable Fields</w:t>
      </w:r>
    </w:p>
    <w:p w14:paraId="798545A5" w14:textId="77777777" w:rsidR="00EE0D4A" w:rsidRDefault="00EE0D4A" w:rsidP="00EE0D4A">
      <w:pPr>
        <w:pStyle w:val="ListParagraph"/>
        <w:numPr>
          <w:ilvl w:val="0"/>
          <w:numId w:val="36"/>
        </w:numPr>
      </w:pPr>
      <w:r>
        <w:t>Digital Document: Signature, Date &amp; Comments</w:t>
      </w:r>
    </w:p>
    <w:p w14:paraId="08CDCB13" w14:textId="77777777" w:rsidR="00EE0D4A" w:rsidRDefault="00EE0D4A" w:rsidP="00EE0D4A">
      <w:pPr>
        <w:pStyle w:val="ListParagraph"/>
        <w:numPr>
          <w:ilvl w:val="0"/>
          <w:numId w:val="36"/>
        </w:numPr>
      </w:pPr>
      <w:r>
        <w:t>Digital Document: Set Comment Size</w:t>
      </w:r>
    </w:p>
    <w:p w14:paraId="59F43C64" w14:textId="77777777" w:rsidR="00EE0D4A" w:rsidRDefault="00EE0D4A" w:rsidP="00EE0D4A">
      <w:pPr>
        <w:pStyle w:val="ListParagraph"/>
        <w:numPr>
          <w:ilvl w:val="0"/>
          <w:numId w:val="36"/>
        </w:numPr>
      </w:pPr>
      <w:r>
        <w:t>Digital Document: Task Table Section Timeouts</w:t>
      </w:r>
      <w:r w:rsidDel="00CD5F4A">
        <w:t xml:space="preserve"> </w:t>
      </w:r>
    </w:p>
    <w:p w14:paraId="09BDB3C7" w14:textId="77777777" w:rsidR="00EE0D4A" w:rsidRDefault="00EE0D4A" w:rsidP="00EE0D4A">
      <w:pPr>
        <w:pStyle w:val="ListParagraph"/>
        <w:numPr>
          <w:ilvl w:val="0"/>
          <w:numId w:val="36"/>
        </w:numPr>
      </w:pPr>
      <w:r>
        <w:t>Custom Field Limit</w:t>
      </w:r>
    </w:p>
    <w:p w14:paraId="4DA69EE7" w14:textId="701E03CD" w:rsidR="00EE0D4A" w:rsidRDefault="00EE0D4A" w:rsidP="00EE0D4A">
      <w:pPr>
        <w:pStyle w:val="ListParagraph"/>
        <w:numPr>
          <w:ilvl w:val="0"/>
          <w:numId w:val="36"/>
        </w:numPr>
      </w:pPr>
      <w:r>
        <w:t>Child Exports: Included Sign Off Fields</w:t>
      </w:r>
    </w:p>
    <w:p w14:paraId="4A84B7B3" w14:textId="77777777" w:rsidR="00EE0D4A" w:rsidRDefault="00EE0D4A" w:rsidP="00EE0D4A"/>
    <w:p w14:paraId="0C2AD3F2" w14:textId="77777777" w:rsidR="00EE0D4A" w:rsidRDefault="00EE0D4A" w:rsidP="00EE0D4A">
      <w:pPr>
        <w:pStyle w:val="Heading2"/>
      </w:pPr>
      <w:bookmarkStart w:id="21" w:name="_Hlk520127587"/>
      <w:r>
        <w:t>Import Performance Improvements</w:t>
      </w:r>
    </w:p>
    <w:p w14:paraId="62119E17" w14:textId="77777777" w:rsidR="00EE0D4A" w:rsidRDefault="00EE0D4A" w:rsidP="00EE0D4A">
      <w:r>
        <w:t xml:space="preserve">The length of time hub2 takes to import large data sets has been significantly reduced due to improvements in the efficiency of the data handling process. Import Performance is a key focus for future releases, so we anticipate further improvements in future. </w:t>
      </w:r>
    </w:p>
    <w:p w14:paraId="58EAB484" w14:textId="77777777" w:rsidR="00EE0D4A" w:rsidRDefault="00EE0D4A" w:rsidP="00EE0D4A">
      <w:r>
        <w:t>The following chart shows the baseline time for adding or updating data via the Tag Import, based on the number of rows added or updated.</w:t>
      </w:r>
    </w:p>
    <w:p w14:paraId="3F1C15D4" w14:textId="77777777" w:rsidR="00EE0D4A" w:rsidRDefault="00EE0D4A" w:rsidP="00EE0D4A">
      <w:r>
        <w:rPr>
          <w:noProof/>
          <w:lang w:eastAsia="en-GB"/>
        </w:rPr>
        <w:drawing>
          <wp:inline distT="0" distB="0" distL="0" distR="0" wp14:anchorId="4D43D9B0" wp14:editId="3F0315D2">
            <wp:extent cx="6629400" cy="2286000"/>
            <wp:effectExtent l="0" t="0" r="0" b="0"/>
            <wp:docPr id="2" name="Chart 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7E32BE" w14:textId="77777777" w:rsidR="00EE0D4A" w:rsidRDefault="00EE0D4A" w:rsidP="00EE0D4A">
      <w:pPr>
        <w:pStyle w:val="Figure"/>
        <w:ind w:left="360"/>
      </w:pPr>
      <w:r>
        <w:t>Chart showing the time taken for adding data via the Tag Import, based on number of Tags added</w:t>
      </w:r>
    </w:p>
    <w:p w14:paraId="0B6D7CDE" w14:textId="77777777" w:rsidR="00EE0D4A" w:rsidRDefault="00EE0D4A" w:rsidP="00EE0D4A">
      <w:r>
        <w:rPr>
          <w:noProof/>
          <w:lang w:eastAsia="en-GB"/>
        </w:rPr>
        <w:lastRenderedPageBreak/>
        <w:drawing>
          <wp:inline distT="0" distB="0" distL="0" distR="0" wp14:anchorId="7468EDCE" wp14:editId="7877F3D7">
            <wp:extent cx="6696075" cy="2390775"/>
            <wp:effectExtent l="0" t="0" r="9525" b="9525"/>
            <wp:docPr id="3" name="Chart 3">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5BFBF6" w14:textId="77777777" w:rsidR="00EE0D4A" w:rsidRDefault="00EE0D4A" w:rsidP="00EE0D4A">
      <w:pPr>
        <w:pStyle w:val="Figure"/>
        <w:ind w:left="360"/>
      </w:pPr>
      <w:r>
        <w:t>Chart showing the time taken for updating data via the Tag Import, based on number of Tags updated</w:t>
      </w:r>
    </w:p>
    <w:p w14:paraId="1DDDBF65" w14:textId="77777777" w:rsidR="00EE0D4A" w:rsidRDefault="00EE0D4A" w:rsidP="00EE0D4A"/>
    <w:p w14:paraId="5F0453EB" w14:textId="77777777" w:rsidR="00EE0D4A" w:rsidRDefault="00EE0D4A" w:rsidP="00EE0D4A">
      <w:pPr>
        <w:pStyle w:val="Heading2"/>
      </w:pPr>
      <w:r>
        <w:t>Custom Fields: Job Cards</w:t>
      </w:r>
    </w:p>
    <w:p w14:paraId="44144120" w14:textId="77777777" w:rsidR="00EE0D4A" w:rsidRDefault="00EE0D4A" w:rsidP="00EE0D4A">
      <w:pPr>
        <w:rPr>
          <w:b/>
        </w:rPr>
      </w:pPr>
      <w:r>
        <w:rPr>
          <w:b/>
        </w:rPr>
        <w:t>For more detail see Section 42 (Custom Fields) of the hub2 Functional Specification.</w:t>
      </w:r>
    </w:p>
    <w:p w14:paraId="581351E6" w14:textId="77777777" w:rsidR="00EE0D4A" w:rsidRDefault="00EE0D4A" w:rsidP="00EE0D4A">
      <w:r>
        <w:rPr>
          <w:noProof/>
          <w:lang w:eastAsia="en-GB"/>
        </w:rPr>
        <w:drawing>
          <wp:inline distT="0" distB="0" distL="0" distR="0" wp14:anchorId="2CD270A0" wp14:editId="203764CC">
            <wp:extent cx="6661150" cy="2434590"/>
            <wp:effectExtent l="19050" t="19050" r="2540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extLst>
                        <a:ext uri="{28A0092B-C50C-407E-A947-70E740481C1C}">
                          <a14:useLocalDpi xmlns:a14="http://schemas.microsoft.com/office/drawing/2010/main" val="0"/>
                        </a:ext>
                      </a:extLst>
                    </a:blip>
                    <a:stretch>
                      <a:fillRect/>
                    </a:stretch>
                  </pic:blipFill>
                  <pic:spPr>
                    <a:xfrm>
                      <a:off x="0" y="0"/>
                      <a:ext cx="6661150" cy="2434590"/>
                    </a:xfrm>
                    <a:prstGeom prst="rect">
                      <a:avLst/>
                    </a:prstGeom>
                    <a:ln>
                      <a:solidFill>
                        <a:schemeClr val="accent1"/>
                      </a:solidFill>
                    </a:ln>
                  </pic:spPr>
                </pic:pic>
              </a:graphicData>
            </a:graphic>
          </wp:inline>
        </w:drawing>
      </w:r>
    </w:p>
    <w:p w14:paraId="7839C642" w14:textId="77777777" w:rsidR="00EE0D4A" w:rsidRPr="00382493" w:rsidRDefault="00EE0D4A" w:rsidP="00EE0D4A">
      <w:pPr>
        <w:pStyle w:val="Figure"/>
        <w:ind w:left="360"/>
      </w:pPr>
      <w:r>
        <w:t>Screenshot of the Job Card Edit Page with an example custom field ‘Reference’ Highlighted</w:t>
      </w:r>
    </w:p>
    <w:p w14:paraId="5B77CCC8" w14:textId="77777777" w:rsidR="00EE0D4A" w:rsidRDefault="00EE0D4A" w:rsidP="00EE0D4A"/>
    <w:p w14:paraId="1DF809C6" w14:textId="77777777" w:rsidR="00EE0D4A" w:rsidRDefault="00EE0D4A" w:rsidP="00EE0D4A">
      <w:r>
        <w:t>The Custom Fields feature has been extended to allow fields to be added to Job Cards. Job Card Custom Fields will be available on the View and Edit screens for Job Cards, as well as Imports and Exports. The fields will also be available on the Job Card Custom Detail Reports.</w:t>
      </w:r>
    </w:p>
    <w:p w14:paraId="4F9BA0BC" w14:textId="77777777" w:rsidR="00EE0D4A" w:rsidRDefault="00EE0D4A" w:rsidP="00EE0D4A">
      <w:pPr>
        <w:spacing w:after="0" w:line="240" w:lineRule="auto"/>
        <w:jc w:val="left"/>
      </w:pPr>
      <w:r>
        <w:br w:type="page"/>
      </w:r>
    </w:p>
    <w:p w14:paraId="207221CB" w14:textId="77777777" w:rsidR="00EE0D4A" w:rsidRDefault="00EE0D4A" w:rsidP="00EE0D4A">
      <w:pPr>
        <w:pStyle w:val="Heading2"/>
      </w:pPr>
      <w:r>
        <w:lastRenderedPageBreak/>
        <w:t>Additional Tag and Cable Fields</w:t>
      </w:r>
    </w:p>
    <w:p w14:paraId="558725E3" w14:textId="77777777" w:rsidR="00EE0D4A" w:rsidRDefault="00EE0D4A" w:rsidP="00EE0D4A">
      <w:pPr>
        <w:rPr>
          <w:b/>
        </w:rPr>
      </w:pPr>
      <w:r>
        <w:rPr>
          <w:b/>
        </w:rPr>
        <w:t>For more detail see Section 16.3.1.2 (Tagged Item Entity) of the hub2 Functional Specification.</w:t>
      </w:r>
    </w:p>
    <w:p w14:paraId="3CC557B2" w14:textId="77777777" w:rsidR="00EE0D4A" w:rsidRDefault="00EE0D4A" w:rsidP="00EE0D4A">
      <w:r w:rsidRPr="00D30FEB">
        <w:rPr>
          <w:noProof/>
          <w:lang w:eastAsia="en-GB"/>
        </w:rPr>
        <w:drawing>
          <wp:inline distT="0" distB="0" distL="0" distR="0" wp14:anchorId="0822A235" wp14:editId="33B5724B">
            <wp:extent cx="6661150" cy="1036955"/>
            <wp:effectExtent l="19050" t="19050" r="2540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1150" cy="1036955"/>
                    </a:xfrm>
                    <a:prstGeom prst="rect">
                      <a:avLst/>
                    </a:prstGeom>
                    <a:ln>
                      <a:solidFill>
                        <a:schemeClr val="accent1"/>
                      </a:solidFill>
                    </a:ln>
                  </pic:spPr>
                </pic:pic>
              </a:graphicData>
            </a:graphic>
          </wp:inline>
        </w:drawing>
      </w:r>
    </w:p>
    <w:p w14:paraId="79C22685" w14:textId="77777777" w:rsidR="00EE0D4A" w:rsidRPr="00382493" w:rsidRDefault="00EE0D4A" w:rsidP="00EE0D4A">
      <w:pPr>
        <w:pStyle w:val="Figure"/>
        <w:ind w:left="360"/>
      </w:pPr>
      <w:r>
        <w:t>Screenshot of the Cable Edit Page showing new fields</w:t>
      </w:r>
    </w:p>
    <w:p w14:paraId="284CBADF" w14:textId="77777777" w:rsidR="00EE0D4A" w:rsidRDefault="00EE0D4A" w:rsidP="00EE0D4A"/>
    <w:p w14:paraId="22A9CEE9" w14:textId="77777777" w:rsidR="00EE0D4A" w:rsidRDefault="00EE0D4A" w:rsidP="00EE0D4A">
      <w:r>
        <w:t>The following fields have been added to Tags and Cables</w:t>
      </w:r>
    </w:p>
    <w:p w14:paraId="67738893" w14:textId="77777777" w:rsidR="00EE0D4A" w:rsidRDefault="00EE0D4A" w:rsidP="00EE0D4A">
      <w:pPr>
        <w:pStyle w:val="ListParagraph"/>
        <w:numPr>
          <w:ilvl w:val="0"/>
          <w:numId w:val="37"/>
        </w:numPr>
      </w:pPr>
      <w:r>
        <w:t>Model Number</w:t>
      </w:r>
    </w:p>
    <w:p w14:paraId="564B57A0" w14:textId="77777777" w:rsidR="00EE0D4A" w:rsidRDefault="00EE0D4A" w:rsidP="00EE0D4A">
      <w:pPr>
        <w:pStyle w:val="ListParagraph"/>
        <w:numPr>
          <w:ilvl w:val="0"/>
          <w:numId w:val="37"/>
        </w:numPr>
      </w:pPr>
      <w:r>
        <w:t>Purchase Order Number</w:t>
      </w:r>
    </w:p>
    <w:p w14:paraId="236D885E" w14:textId="77777777" w:rsidR="00EE0D4A" w:rsidRDefault="00EE0D4A" w:rsidP="00EE0D4A">
      <w:pPr>
        <w:pStyle w:val="ListParagraph"/>
        <w:numPr>
          <w:ilvl w:val="0"/>
          <w:numId w:val="37"/>
        </w:numPr>
      </w:pPr>
      <w:r>
        <w:t>Data Sheet Number</w:t>
      </w:r>
    </w:p>
    <w:p w14:paraId="3C153F90" w14:textId="77777777" w:rsidR="00EE0D4A" w:rsidRDefault="00EE0D4A" w:rsidP="00EE0D4A">
      <w:r>
        <w:t>All of these are free text fields with a limit of 100 characters.</w:t>
      </w:r>
    </w:p>
    <w:p w14:paraId="163440BF" w14:textId="77777777" w:rsidR="00EE0D4A" w:rsidRDefault="00EE0D4A" w:rsidP="00EE0D4A"/>
    <w:p w14:paraId="6DA49329" w14:textId="77777777" w:rsidR="00EE0D4A" w:rsidRDefault="00EE0D4A" w:rsidP="00EE0D4A">
      <w:pPr>
        <w:pStyle w:val="Heading2"/>
      </w:pPr>
      <w:r>
        <w:t>Digital Document: Signature, Date &amp; Comments</w:t>
      </w:r>
    </w:p>
    <w:p w14:paraId="5DAE7970" w14:textId="77777777" w:rsidR="00EE0D4A" w:rsidRDefault="00EE0D4A" w:rsidP="00EE0D4A">
      <w:pPr>
        <w:rPr>
          <w:b/>
        </w:rPr>
      </w:pPr>
      <w:r>
        <w:rPr>
          <w:b/>
        </w:rPr>
        <w:t>For more detail see Section 34.4.1.1.c (Digital Document Task Section) of the hub2 Functional Specification.</w:t>
      </w:r>
    </w:p>
    <w:p w14:paraId="0975AD1C" w14:textId="77777777" w:rsidR="00EE0D4A" w:rsidRDefault="00EE0D4A" w:rsidP="00EE0D4A"/>
    <w:p w14:paraId="027EC279" w14:textId="77777777" w:rsidR="00EE0D4A" w:rsidRDefault="00EE0D4A" w:rsidP="00EE0D4A">
      <w:r w:rsidRPr="006E243B">
        <w:rPr>
          <w:noProof/>
          <w:lang w:eastAsia="en-GB"/>
        </w:rPr>
        <w:drawing>
          <wp:inline distT="0" distB="0" distL="0" distR="0" wp14:anchorId="52EE7313" wp14:editId="20C172DA">
            <wp:extent cx="6661150" cy="600075"/>
            <wp:effectExtent l="19050" t="19050" r="2540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7769"/>
                    <a:stretch/>
                  </pic:blipFill>
                  <pic:spPr bwMode="auto">
                    <a:xfrm>
                      <a:off x="0" y="0"/>
                      <a:ext cx="6661150" cy="600075"/>
                    </a:xfrm>
                    <a:prstGeom prst="rect">
                      <a:avLst/>
                    </a:prstGeom>
                    <a:ln w="9525" cap="flat" cmpd="sng" algn="ctr">
                      <a:solidFill>
                        <a:srgbClr val="002D6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3F75161" w14:textId="77777777" w:rsidR="00EE0D4A" w:rsidRPr="00382493" w:rsidRDefault="00EE0D4A" w:rsidP="00EE0D4A">
      <w:pPr>
        <w:pStyle w:val="Figure"/>
        <w:ind w:left="360"/>
      </w:pPr>
      <w:r>
        <w:t>Screenshot of the Signature, Date &amp; Comments Task Type</w:t>
      </w:r>
    </w:p>
    <w:p w14:paraId="51F9E3A3" w14:textId="77777777" w:rsidR="00EE0D4A" w:rsidRDefault="00EE0D4A" w:rsidP="00EE0D4A"/>
    <w:p w14:paraId="7A9EB62F" w14:textId="77777777" w:rsidR="00EE0D4A" w:rsidRDefault="00EE0D4A" w:rsidP="00EE0D4A">
      <w:r>
        <w:t>For Digital Documents a new Task Type has been added as Date, Signature and Comments.  This allows the user to enter a Signature (Authorised Person), Date and Comment for any Task.  If the Task is required all three fields must be completed for the Task to be considered complete.</w:t>
      </w:r>
    </w:p>
    <w:p w14:paraId="35C01E57" w14:textId="77777777" w:rsidR="00EE0D4A" w:rsidRDefault="00EE0D4A" w:rsidP="00EE0D4A"/>
    <w:p w14:paraId="2658AD6C" w14:textId="77777777" w:rsidR="00EE0D4A" w:rsidRDefault="00EE0D4A" w:rsidP="00EE0D4A">
      <w:pPr>
        <w:spacing w:after="0" w:line="240" w:lineRule="auto"/>
        <w:jc w:val="left"/>
        <w:rPr>
          <w:rFonts w:eastAsia="Times New Roman"/>
          <w:b/>
          <w:bCs/>
          <w:color w:val="002D62"/>
          <w:sz w:val="24"/>
          <w:szCs w:val="26"/>
        </w:rPr>
      </w:pPr>
      <w:r>
        <w:br w:type="page"/>
      </w:r>
    </w:p>
    <w:p w14:paraId="3301DC74" w14:textId="77777777" w:rsidR="00EE0D4A" w:rsidRDefault="00EE0D4A" w:rsidP="00EE0D4A">
      <w:pPr>
        <w:pStyle w:val="Heading2"/>
      </w:pPr>
      <w:r>
        <w:lastRenderedPageBreak/>
        <w:t>Digital Document: Set Comment Size</w:t>
      </w:r>
    </w:p>
    <w:p w14:paraId="69732E45" w14:textId="77777777" w:rsidR="00EE0D4A" w:rsidRDefault="00EE0D4A" w:rsidP="00EE0D4A">
      <w:pPr>
        <w:rPr>
          <w:b/>
        </w:rPr>
      </w:pPr>
      <w:r>
        <w:rPr>
          <w:b/>
        </w:rPr>
        <w:t>For more detail see Section 34.4.1.1.c (Digital Document Task Section) of the hub2 Functional Specification.</w:t>
      </w:r>
    </w:p>
    <w:p w14:paraId="02C30EFF" w14:textId="77777777" w:rsidR="00EE0D4A" w:rsidRDefault="00EE0D4A" w:rsidP="00EE0D4A">
      <w:r w:rsidRPr="00D43A66">
        <w:rPr>
          <w:noProof/>
          <w:lang w:eastAsia="en-GB"/>
        </w:rPr>
        <w:drawing>
          <wp:inline distT="0" distB="0" distL="0" distR="0" wp14:anchorId="385FCB98" wp14:editId="4E125B1D">
            <wp:extent cx="6661150" cy="2321560"/>
            <wp:effectExtent l="19050" t="19050" r="2540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1150" cy="2321560"/>
                    </a:xfrm>
                    <a:prstGeom prst="rect">
                      <a:avLst/>
                    </a:prstGeom>
                    <a:ln>
                      <a:solidFill>
                        <a:schemeClr val="accent1"/>
                      </a:solidFill>
                    </a:ln>
                  </pic:spPr>
                </pic:pic>
              </a:graphicData>
            </a:graphic>
          </wp:inline>
        </w:drawing>
      </w:r>
    </w:p>
    <w:p w14:paraId="1022FEC4" w14:textId="77777777" w:rsidR="00EE0D4A" w:rsidRDefault="00EE0D4A" w:rsidP="00EE0D4A">
      <w:pPr>
        <w:pStyle w:val="Figure"/>
        <w:ind w:left="360"/>
      </w:pPr>
      <w:r>
        <w:t>Screenshot of the Long Comment type with 12 lines</w:t>
      </w:r>
    </w:p>
    <w:p w14:paraId="29946C8A" w14:textId="77777777" w:rsidR="00EE0D4A" w:rsidRDefault="00EE0D4A" w:rsidP="00EE0D4A"/>
    <w:p w14:paraId="3E14B19D" w14:textId="77777777" w:rsidR="00EE0D4A" w:rsidRPr="003A5AD6" w:rsidRDefault="00EE0D4A" w:rsidP="00EE0D4A">
      <w:r w:rsidRPr="00CF594B">
        <w:rPr>
          <w:noProof/>
          <w:lang w:eastAsia="en-GB"/>
        </w:rPr>
        <w:drawing>
          <wp:inline distT="0" distB="0" distL="0" distR="0" wp14:anchorId="313E39A8" wp14:editId="3B36BEDE">
            <wp:extent cx="6661150" cy="4000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1150" cy="400050"/>
                    </a:xfrm>
                    <a:prstGeom prst="rect">
                      <a:avLst/>
                    </a:prstGeom>
                  </pic:spPr>
                </pic:pic>
              </a:graphicData>
            </a:graphic>
          </wp:inline>
        </w:drawing>
      </w:r>
    </w:p>
    <w:p w14:paraId="3AEEB8D0" w14:textId="77777777" w:rsidR="00EE0D4A" w:rsidRDefault="00EE0D4A" w:rsidP="00EE0D4A">
      <w:pPr>
        <w:pStyle w:val="Figure"/>
        <w:ind w:left="360"/>
      </w:pPr>
      <w:r>
        <w:t>Screenshot of the Inline Comment type</w:t>
      </w:r>
    </w:p>
    <w:p w14:paraId="7334E92A" w14:textId="77777777" w:rsidR="00EE0D4A" w:rsidRPr="00CD5F4A" w:rsidRDefault="00EE0D4A" w:rsidP="00EE0D4A"/>
    <w:p w14:paraId="4FE1D5C9" w14:textId="77777777" w:rsidR="00EE0D4A" w:rsidRDefault="00EE0D4A" w:rsidP="00EE0D4A">
      <w:r>
        <w:t>The amount of space available for comments on Digital Document Tasks is now configurable, allowing the space to more accurately reflect the requirement of the Task. When configuring a Digital Document Task, it is now possible to choose an Inline Comment which will be displayed alongside the Task detail, or a Long Comment which will be displayed below the task. When a Long Comment is selected, a further option allows the configuration of the number of lines to be available between 1 and 20 lines.</w:t>
      </w:r>
    </w:p>
    <w:p w14:paraId="25D35EA8" w14:textId="77777777" w:rsidR="00EE0D4A" w:rsidRDefault="00EE0D4A" w:rsidP="00EE0D4A"/>
    <w:p w14:paraId="38E31651" w14:textId="77777777" w:rsidR="00EE0D4A" w:rsidRDefault="00EE0D4A" w:rsidP="00EE0D4A">
      <w:pPr>
        <w:pStyle w:val="Heading2"/>
      </w:pPr>
      <w:r>
        <w:t>Digital Document: Task Table Section Timeouts</w:t>
      </w:r>
    </w:p>
    <w:p w14:paraId="7ADBFF9B" w14:textId="77777777" w:rsidR="00EE0D4A" w:rsidRDefault="00EE0D4A" w:rsidP="00EE0D4A">
      <w:r>
        <w:t>The process of designing a Digital Document may take an extended amount of time, during which it is possible that the current session may time out. To avoid data loss, the Digital Document Task Table section now automatically recovers any work which was in progress while re-authentication takes place. Previously, this work would have been lost.</w:t>
      </w:r>
    </w:p>
    <w:p w14:paraId="64E9E9DF" w14:textId="77777777" w:rsidR="00EE0D4A" w:rsidRDefault="00EE0D4A" w:rsidP="00EE0D4A"/>
    <w:p w14:paraId="7CBE06EB" w14:textId="77777777" w:rsidR="00EE0D4A" w:rsidRDefault="00EE0D4A" w:rsidP="00EE0D4A">
      <w:pPr>
        <w:pStyle w:val="Heading2"/>
      </w:pPr>
      <w:r>
        <w:t>Custom Field Limits</w:t>
      </w:r>
    </w:p>
    <w:p w14:paraId="211C6FB1" w14:textId="77777777" w:rsidR="00EE0D4A" w:rsidRPr="003A5AD6" w:rsidRDefault="00EE0D4A" w:rsidP="00EE0D4A">
      <w:r>
        <w:rPr>
          <w:b/>
        </w:rPr>
        <w:t>For more detail see Section 43.1 of the hub2 Functional Specification.</w:t>
      </w:r>
    </w:p>
    <w:p w14:paraId="5AF598C4" w14:textId="77777777" w:rsidR="00EE0D4A" w:rsidRDefault="00EE0D4A" w:rsidP="00EE0D4A">
      <w:r>
        <w:t xml:space="preserve">For performance reasons, there is now a limit of 20 on the number of Custom Fields which can be added to any single type. </w:t>
      </w:r>
    </w:p>
    <w:p w14:paraId="1AF26B46" w14:textId="77777777" w:rsidR="00EE0D4A" w:rsidRDefault="00EE0D4A" w:rsidP="00EE0D4A"/>
    <w:p w14:paraId="610A2EA0" w14:textId="77777777" w:rsidR="00EE0D4A" w:rsidRDefault="00EE0D4A" w:rsidP="00EE0D4A">
      <w:pPr>
        <w:pStyle w:val="Heading2"/>
      </w:pPr>
      <w:r>
        <w:t>Child Exports: Included Sign Off Fields</w:t>
      </w:r>
    </w:p>
    <w:p w14:paraId="5EAB93EE" w14:textId="77777777" w:rsidR="00EE0D4A" w:rsidRDefault="00EE0D4A" w:rsidP="00EE0D4A">
      <w:pPr>
        <w:jc w:val="center"/>
      </w:pPr>
      <w:r w:rsidRPr="005D683A">
        <w:rPr>
          <w:noProof/>
          <w:lang w:eastAsia="en-GB"/>
        </w:rPr>
        <w:drawing>
          <wp:inline distT="0" distB="0" distL="0" distR="0" wp14:anchorId="3E452683" wp14:editId="7DE33D96">
            <wp:extent cx="3739666" cy="2419350"/>
            <wp:effectExtent l="19050" t="19050" r="1333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8665" cy="2425172"/>
                    </a:xfrm>
                    <a:prstGeom prst="rect">
                      <a:avLst/>
                    </a:prstGeom>
                    <a:ln>
                      <a:solidFill>
                        <a:schemeClr val="accent1"/>
                      </a:solidFill>
                    </a:ln>
                  </pic:spPr>
                </pic:pic>
              </a:graphicData>
            </a:graphic>
          </wp:inline>
        </w:drawing>
      </w:r>
    </w:p>
    <w:p w14:paraId="7756E933" w14:textId="77777777" w:rsidR="00EE0D4A" w:rsidRDefault="00EE0D4A" w:rsidP="00EE0D4A">
      <w:pPr>
        <w:pStyle w:val="Figure"/>
        <w:ind w:left="360"/>
      </w:pPr>
      <w:r>
        <w:t>Navigating to Child Exports of Tags</w:t>
      </w:r>
    </w:p>
    <w:p w14:paraId="5C3D3E44" w14:textId="77777777" w:rsidR="00EE0D4A" w:rsidRDefault="00EE0D4A" w:rsidP="00EE0D4A"/>
    <w:p w14:paraId="348A908B" w14:textId="77777777" w:rsidR="00EE0D4A" w:rsidRPr="003A5AD6" w:rsidRDefault="00EE0D4A" w:rsidP="00EE0D4A">
      <w:r w:rsidRPr="005D683A">
        <w:rPr>
          <w:noProof/>
          <w:lang w:eastAsia="en-GB"/>
        </w:rPr>
        <w:drawing>
          <wp:inline distT="0" distB="0" distL="0" distR="0" wp14:anchorId="11BEA712" wp14:editId="5A1C0F84">
            <wp:extent cx="6661150" cy="591185"/>
            <wp:effectExtent l="19050" t="19050" r="2540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61150" cy="591185"/>
                    </a:xfrm>
                    <a:prstGeom prst="rect">
                      <a:avLst/>
                    </a:prstGeom>
                    <a:ln>
                      <a:solidFill>
                        <a:schemeClr val="accent1"/>
                      </a:solidFill>
                    </a:ln>
                  </pic:spPr>
                </pic:pic>
              </a:graphicData>
            </a:graphic>
          </wp:inline>
        </w:drawing>
      </w:r>
    </w:p>
    <w:p w14:paraId="42D7F62B" w14:textId="77777777" w:rsidR="00EE0D4A" w:rsidRDefault="00EE0D4A" w:rsidP="00EE0D4A">
      <w:pPr>
        <w:pStyle w:val="Figure"/>
        <w:ind w:left="360"/>
      </w:pPr>
      <w:r>
        <w:t>Sign Off fields included in Tag ITRs Export</w:t>
      </w:r>
    </w:p>
    <w:p w14:paraId="720BA902" w14:textId="77777777" w:rsidR="00EE0D4A" w:rsidRDefault="00EE0D4A" w:rsidP="00EE0D4A"/>
    <w:p w14:paraId="445FA651" w14:textId="77777777" w:rsidR="00EE0D4A" w:rsidRDefault="00EE0D4A" w:rsidP="00EE0D4A">
      <w:r>
        <w:t>Sign Off Fields are now included when exporting Tag ITRs and Tag PWLs from the Tagged Item pages (e.g. Tag, Test Pack, etc).</w:t>
      </w:r>
    </w:p>
    <w:bookmarkEnd w:id="20"/>
    <w:bookmarkEnd w:id="21"/>
    <w:p w14:paraId="247C3D2E" w14:textId="77777777" w:rsidR="00EE0D4A" w:rsidRDefault="00EE0D4A" w:rsidP="00EE0D4A"/>
    <w:p w14:paraId="4300C862" w14:textId="5F4AA881" w:rsidR="00974879" w:rsidRPr="0050597C" w:rsidRDefault="00974879" w:rsidP="00EE0D4A"/>
    <w:sectPr w:rsidR="00974879" w:rsidRPr="0050597C" w:rsidSect="00B4205E">
      <w:headerReference w:type="default" r:id="rId21"/>
      <w:footerReference w:type="default" r:id="rId22"/>
      <w:headerReference w:type="first" r:id="rId23"/>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F4E1" w14:textId="77777777" w:rsidR="0076332E" w:rsidRDefault="0076332E" w:rsidP="00DE3F25">
      <w:pPr>
        <w:spacing w:after="0" w:line="240" w:lineRule="auto"/>
      </w:pPr>
      <w:r>
        <w:separator/>
      </w:r>
    </w:p>
  </w:endnote>
  <w:endnote w:type="continuationSeparator" w:id="0">
    <w:p w14:paraId="1BB4605C" w14:textId="77777777" w:rsidR="0076332E" w:rsidRDefault="0076332E" w:rsidP="00DE3F25">
      <w:pPr>
        <w:spacing w:after="0" w:line="240" w:lineRule="auto"/>
      </w:pPr>
      <w:r>
        <w:continuationSeparator/>
      </w:r>
    </w:p>
  </w:endnote>
  <w:endnote w:type="continuationNotice" w:id="1">
    <w:p w14:paraId="6DBE54D6" w14:textId="77777777" w:rsidR="0076332E" w:rsidRDefault="00763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43889" w14:textId="77777777" w:rsidR="0076332E" w:rsidRDefault="0076332E" w:rsidP="00DE3F25">
      <w:pPr>
        <w:spacing w:after="0" w:line="240" w:lineRule="auto"/>
      </w:pPr>
      <w:bookmarkStart w:id="0" w:name="_Hlk520705609"/>
      <w:bookmarkEnd w:id="0"/>
      <w:r>
        <w:separator/>
      </w:r>
    </w:p>
  </w:footnote>
  <w:footnote w:type="continuationSeparator" w:id="0">
    <w:p w14:paraId="3DE01468" w14:textId="77777777" w:rsidR="0076332E" w:rsidRDefault="0076332E" w:rsidP="00DE3F25">
      <w:pPr>
        <w:spacing w:after="0" w:line="240" w:lineRule="auto"/>
      </w:pPr>
      <w:r>
        <w:continuationSeparator/>
      </w:r>
    </w:p>
  </w:footnote>
  <w:footnote w:type="continuationNotice" w:id="1">
    <w:p w14:paraId="1BB8172C" w14:textId="77777777" w:rsidR="0076332E" w:rsidRDefault="007633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C4E"/>
    <w:multiLevelType w:val="hybridMultilevel"/>
    <w:tmpl w:val="8D8A4A8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7F3"/>
    <w:multiLevelType w:val="multilevel"/>
    <w:tmpl w:val="6B480496"/>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3"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22"/>
  </w:num>
  <w:num w:numId="4">
    <w:abstractNumId w:val="28"/>
  </w:num>
  <w:num w:numId="5">
    <w:abstractNumId w:val="5"/>
  </w:num>
  <w:num w:numId="6">
    <w:abstractNumId w:val="16"/>
  </w:num>
  <w:num w:numId="7">
    <w:abstractNumId w:val="21"/>
  </w:num>
  <w:num w:numId="8">
    <w:abstractNumId w:val="9"/>
  </w:num>
  <w:num w:numId="9">
    <w:abstractNumId w:val="27"/>
  </w:num>
  <w:num w:numId="10">
    <w:abstractNumId w:val="0"/>
  </w:num>
  <w:num w:numId="11">
    <w:abstractNumId w:val="1"/>
  </w:num>
  <w:num w:numId="12">
    <w:abstractNumId w:val="10"/>
  </w:num>
  <w:num w:numId="13">
    <w:abstractNumId w:val="31"/>
  </w:num>
  <w:num w:numId="14">
    <w:abstractNumId w:val="2"/>
  </w:num>
  <w:num w:numId="15">
    <w:abstractNumId w:val="17"/>
  </w:num>
  <w:num w:numId="16">
    <w:abstractNumId w:val="8"/>
  </w:num>
  <w:num w:numId="17">
    <w:abstractNumId w:val="23"/>
  </w:num>
  <w:num w:numId="18">
    <w:abstractNumId w:val="13"/>
  </w:num>
  <w:num w:numId="19">
    <w:abstractNumId w:val="25"/>
  </w:num>
  <w:num w:numId="20">
    <w:abstractNumId w:val="29"/>
  </w:num>
  <w:num w:numId="21">
    <w:abstractNumId w:val="24"/>
  </w:num>
  <w:num w:numId="22">
    <w:abstractNumId w:val="18"/>
  </w:num>
  <w:num w:numId="23">
    <w:abstractNumId w:val="30"/>
  </w:num>
  <w:num w:numId="24">
    <w:abstractNumId w:val="35"/>
  </w:num>
  <w:num w:numId="25">
    <w:abstractNumId w:val="12"/>
  </w:num>
  <w:num w:numId="26">
    <w:abstractNumId w:val="19"/>
  </w:num>
  <w:num w:numId="27">
    <w:abstractNumId w:val="15"/>
  </w:num>
  <w:num w:numId="28">
    <w:abstractNumId w:val="6"/>
  </w:num>
  <w:num w:numId="29">
    <w:abstractNumId w:val="26"/>
  </w:num>
  <w:num w:numId="30">
    <w:abstractNumId w:val="3"/>
  </w:num>
  <w:num w:numId="31">
    <w:abstractNumId w:val="7"/>
  </w:num>
  <w:num w:numId="32">
    <w:abstractNumId w:val="20"/>
  </w:num>
  <w:num w:numId="33">
    <w:abstractNumId w:val="33"/>
  </w:num>
  <w:num w:numId="34">
    <w:abstractNumId w:val="32"/>
  </w:num>
  <w:num w:numId="35">
    <w:abstractNumId w:val="14"/>
  </w:num>
  <w:num w:numId="36">
    <w:abstractNumId w:val="11"/>
  </w:num>
  <w:num w:numId="37">
    <w:abstractNumId w:val="4"/>
  </w:num>
  <w:num w:numId="38">
    <w:abstractNumId w:val="3"/>
  </w:num>
  <w:num w:numId="39">
    <w:abstractNumId w:val="26"/>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num>
  <w:num w:numId="42">
    <w:abstractNumId w:val="5"/>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07EAD"/>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395"/>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1D49"/>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6C8"/>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6C0"/>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5E06"/>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37A7"/>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32E"/>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CFE"/>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1C65"/>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21"/>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0D4A"/>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4476C8"/>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4476C8"/>
    <w:pPr>
      <w:numPr>
        <w:numId w:val="3"/>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476C8"/>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4476C8"/>
    <w:pPr>
      <w:numPr>
        <w:numId w:val="5"/>
      </w:numPr>
      <w:spacing w:line="240" w:lineRule="auto"/>
      <w:jc w:val="center"/>
    </w:pPr>
    <w:rPr>
      <w:b/>
      <w:sz w:val="16"/>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4476C8"/>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623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http://emeaext.amec.com/sites/ts_qedi_3797/Technology%20Working%20Documents/hub2/Testing%20Documents/Test%20Data/Benchmark%20Test%20Data/Result/v.1.9.0/Import%20Performance%20Benchmark%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emeaext.amec.com/sites/ts_qedi_3797/Technology%20Working%20Documents/hub2/Testing%20Documents/Test%20Data/Benchmark%20Test%20Data/Result/v.1.9.0/Import%20Performance%20Benchmark%20Comparis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Duration - Add (Mins)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'Duration - Add'!$C$3</c:f>
              <c:strCache>
                <c:ptCount val="1"/>
                <c:pt idx="0">
                  <c:v>v.1.8.0 Average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'Duration - Add'!$C$4:$C$14</c:f>
              <c:numCache>
                <c:formatCode>0</c:formatCode>
                <c:ptCount val="11"/>
                <c:pt idx="0">
                  <c:v>22.343333333333334</c:v>
                </c:pt>
                <c:pt idx="1">
                  <c:v>29.613333333333333</c:v>
                </c:pt>
                <c:pt idx="2">
                  <c:v>27.33666666666667</c:v>
                </c:pt>
                <c:pt idx="3">
                  <c:v>34.456666666666671</c:v>
                </c:pt>
                <c:pt idx="4">
                  <c:v>35.296666666666674</c:v>
                </c:pt>
                <c:pt idx="5">
                  <c:v>40.216666666666669</c:v>
                </c:pt>
                <c:pt idx="6">
                  <c:v>43.366666666666667</c:v>
                </c:pt>
                <c:pt idx="7">
                  <c:v>45.796666666666674</c:v>
                </c:pt>
                <c:pt idx="8">
                  <c:v>47.916666666666664</c:v>
                </c:pt>
                <c:pt idx="9">
                  <c:v>50.096666666666664</c:v>
                </c:pt>
                <c:pt idx="10">
                  <c:v>45.204999999999998</c:v>
                </c:pt>
              </c:numCache>
            </c:numRef>
          </c:val>
          <c:smooth val="0"/>
          <c:extLst>
            <c:ext xmlns:c16="http://schemas.microsoft.com/office/drawing/2014/chart" uri="{C3380CC4-5D6E-409C-BE32-E72D297353CC}">
              <c16:uniqueId val="{00000000-8DA3-4CCD-AB30-A46B1F30C607}"/>
            </c:ext>
          </c:extLst>
        </c:ser>
        <c:ser>
          <c:idx val="1"/>
          <c:order val="1"/>
          <c:tx>
            <c:strRef>
              <c:f>'Duration - Add'!$D$3</c:f>
              <c:strCache>
                <c:ptCount val="1"/>
                <c:pt idx="0">
                  <c:v>v.1.9.0 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'Duration - Add'!$B$4:$B$14</c:f>
              <c:numCache>
                <c:formatCode>General</c:formatCode>
                <c:ptCount val="11"/>
                <c:pt idx="0">
                  <c:v>10000</c:v>
                </c:pt>
                <c:pt idx="1">
                  <c:v>11000</c:v>
                </c:pt>
                <c:pt idx="2">
                  <c:v>12000</c:v>
                </c:pt>
                <c:pt idx="3">
                  <c:v>13000</c:v>
                </c:pt>
                <c:pt idx="4">
                  <c:v>14000</c:v>
                </c:pt>
                <c:pt idx="5">
                  <c:v>15000</c:v>
                </c:pt>
                <c:pt idx="6">
                  <c:v>16000</c:v>
                </c:pt>
                <c:pt idx="7">
                  <c:v>17000</c:v>
                </c:pt>
                <c:pt idx="8">
                  <c:v>18000</c:v>
                </c:pt>
                <c:pt idx="9">
                  <c:v>19000</c:v>
                </c:pt>
                <c:pt idx="10">
                  <c:v>20000</c:v>
                </c:pt>
              </c:numCache>
            </c:numRef>
          </c:cat>
          <c:val>
            <c:numRef>
              <c:f>'Duration - Add'!$D$4:$D$14</c:f>
              <c:numCache>
                <c:formatCode>0</c:formatCode>
                <c:ptCount val="11"/>
                <c:pt idx="0">
                  <c:v>19.61</c:v>
                </c:pt>
                <c:pt idx="1">
                  <c:v>23.315000000000001</c:v>
                </c:pt>
                <c:pt idx="2">
                  <c:v>17.43</c:v>
                </c:pt>
                <c:pt idx="3">
                  <c:v>26.245000000000001</c:v>
                </c:pt>
                <c:pt idx="4">
                  <c:v>27.39</c:v>
                </c:pt>
                <c:pt idx="5">
                  <c:v>30.085000000000001</c:v>
                </c:pt>
                <c:pt idx="6">
                  <c:v>32.174999999999997</c:v>
                </c:pt>
                <c:pt idx="7">
                  <c:v>34.450000000000003</c:v>
                </c:pt>
                <c:pt idx="8">
                  <c:v>36.784999999999997</c:v>
                </c:pt>
                <c:pt idx="9">
                  <c:v>38.134999999999998</c:v>
                </c:pt>
                <c:pt idx="10">
                  <c:v>39.725000000000001</c:v>
                </c:pt>
              </c:numCache>
            </c:numRef>
          </c:val>
          <c:smooth val="0"/>
          <c:extLst>
            <c:ext xmlns:c16="http://schemas.microsoft.com/office/drawing/2014/chart" uri="{C3380CC4-5D6E-409C-BE32-E72D297353CC}">
              <c16:uniqueId val="{00000001-8DA3-4CCD-AB30-A46B1F30C607}"/>
            </c:ext>
          </c:extLst>
        </c:ser>
        <c:dLbls>
          <c:showLegendKey val="0"/>
          <c:showVal val="0"/>
          <c:showCatName val="0"/>
          <c:showSerName val="0"/>
          <c:showPercent val="0"/>
          <c:showBubbleSize val="0"/>
        </c:dLbls>
        <c:marker val="1"/>
        <c:smooth val="0"/>
        <c:axId val="407476168"/>
        <c:axId val="407476560"/>
      </c:lineChart>
      <c:catAx>
        <c:axId val="407476168"/>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76560"/>
        <c:crosses val="autoZero"/>
        <c:auto val="1"/>
        <c:lblAlgn val="ctr"/>
        <c:lblOffset val="100"/>
        <c:noMultiLvlLbl val="0"/>
      </c:catAx>
      <c:valAx>
        <c:axId val="407476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476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Duration - Edit (Mins)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'Duration - Edit'!$C$3</c:f>
              <c:strCache>
                <c:ptCount val="1"/>
                <c:pt idx="0">
                  <c:v>v.1.8.0 Average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'Duration - Edit'!$C$4:$C$14</c:f>
              <c:numCache>
                <c:formatCode>0</c:formatCode>
                <c:ptCount val="11"/>
                <c:pt idx="0">
                  <c:v>23.305</c:v>
                </c:pt>
                <c:pt idx="1">
                  <c:v>27.16</c:v>
                </c:pt>
                <c:pt idx="2">
                  <c:v>28.06</c:v>
                </c:pt>
                <c:pt idx="3">
                  <c:v>36.549999999999997</c:v>
                </c:pt>
                <c:pt idx="4">
                  <c:v>27.5</c:v>
                </c:pt>
                <c:pt idx="5">
                  <c:v>33.020000000000003</c:v>
                </c:pt>
                <c:pt idx="6">
                  <c:v>40.855000000000004</c:v>
                </c:pt>
                <c:pt idx="7">
                  <c:v>45.305</c:v>
                </c:pt>
                <c:pt idx="8">
                  <c:v>43.57</c:v>
                </c:pt>
                <c:pt idx="9">
                  <c:v>48.230000000000004</c:v>
                </c:pt>
              </c:numCache>
            </c:numRef>
          </c:val>
          <c:smooth val="0"/>
          <c:extLst>
            <c:ext xmlns:c16="http://schemas.microsoft.com/office/drawing/2014/chart" uri="{C3380CC4-5D6E-409C-BE32-E72D297353CC}">
              <c16:uniqueId val="{00000000-A591-4396-AD79-0F767A87CB82}"/>
            </c:ext>
          </c:extLst>
        </c:ser>
        <c:ser>
          <c:idx val="1"/>
          <c:order val="1"/>
          <c:tx>
            <c:strRef>
              <c:f>'Duration - Edit'!$D$3</c:f>
              <c:strCache>
                <c:ptCount val="1"/>
                <c:pt idx="0">
                  <c:v>v.1.9.0 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'Duration - Edit'!$B$4:$B$14</c:f>
              <c:numCache>
                <c:formatCode>General</c:formatCode>
                <c:ptCount val="11"/>
                <c:pt idx="0">
                  <c:v>10000</c:v>
                </c:pt>
                <c:pt idx="1">
                  <c:v>11000</c:v>
                </c:pt>
                <c:pt idx="2">
                  <c:v>12000</c:v>
                </c:pt>
                <c:pt idx="3">
                  <c:v>13000</c:v>
                </c:pt>
                <c:pt idx="4">
                  <c:v>14000</c:v>
                </c:pt>
                <c:pt idx="5">
                  <c:v>15000</c:v>
                </c:pt>
                <c:pt idx="6">
                  <c:v>16000</c:v>
                </c:pt>
                <c:pt idx="7">
                  <c:v>17000</c:v>
                </c:pt>
                <c:pt idx="8">
                  <c:v>18000</c:v>
                </c:pt>
                <c:pt idx="9">
                  <c:v>19000</c:v>
                </c:pt>
                <c:pt idx="10">
                  <c:v>20000</c:v>
                </c:pt>
              </c:numCache>
            </c:numRef>
          </c:cat>
          <c:val>
            <c:numRef>
              <c:f>'Duration - Edit'!$D$4:$D$14</c:f>
              <c:numCache>
                <c:formatCode>0</c:formatCode>
                <c:ptCount val="11"/>
                <c:pt idx="0">
                  <c:v>14.895</c:v>
                </c:pt>
                <c:pt idx="1">
                  <c:v>20.145</c:v>
                </c:pt>
                <c:pt idx="2">
                  <c:v>18.805</c:v>
                </c:pt>
                <c:pt idx="3">
                  <c:v>19.305</c:v>
                </c:pt>
                <c:pt idx="4">
                  <c:v>19.844999999999999</c:v>
                </c:pt>
                <c:pt idx="5">
                  <c:v>19.835000000000001</c:v>
                </c:pt>
                <c:pt idx="6">
                  <c:v>21.32</c:v>
                </c:pt>
                <c:pt idx="7">
                  <c:v>22.759999999999998</c:v>
                </c:pt>
                <c:pt idx="8">
                  <c:v>24.28</c:v>
                </c:pt>
                <c:pt idx="9">
                  <c:v>25.384999999999998</c:v>
                </c:pt>
              </c:numCache>
            </c:numRef>
          </c:val>
          <c:smooth val="0"/>
          <c:extLst>
            <c:ext xmlns:c16="http://schemas.microsoft.com/office/drawing/2014/chart" uri="{C3380CC4-5D6E-409C-BE32-E72D297353CC}">
              <c16:uniqueId val="{00000001-A591-4396-AD79-0F767A87CB82}"/>
            </c:ext>
          </c:extLst>
        </c:ser>
        <c:dLbls>
          <c:showLegendKey val="0"/>
          <c:showVal val="0"/>
          <c:showCatName val="0"/>
          <c:showSerName val="0"/>
          <c:showPercent val="0"/>
          <c:showBubbleSize val="0"/>
        </c:dLbls>
        <c:marker val="1"/>
        <c:smooth val="0"/>
        <c:axId val="416999264"/>
        <c:axId val="416999656"/>
      </c:lineChart>
      <c:catAx>
        <c:axId val="416999264"/>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999656"/>
        <c:crosses val="autoZero"/>
        <c:auto val="1"/>
        <c:lblAlgn val="ctr"/>
        <c:lblOffset val="100"/>
        <c:noMultiLvlLbl val="0"/>
      </c:catAx>
      <c:valAx>
        <c:axId val="4169996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99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18794FE2-D1D9-4DED-B536-5BE6C6A8A698}">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sharepoint/v3/fields"/>
    <ds:schemaRef ds:uri="http://www.w3.org/XML/1998/namespace"/>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4.xml><?xml version="1.0" encoding="utf-8"?>
<ds:datastoreItem xmlns:ds="http://schemas.openxmlformats.org/officeDocument/2006/customXml" ds:itemID="{78C9E769-E255-4544-8EB0-7A94EBF6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967</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5738</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2019-10-25T13:42:00Z</dcterms:created>
  <dcterms:modified xsi:type="dcterms:W3CDTF">2019-10-25T13:47:00Z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