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A45BBC" w:rsidRPr="00287362" w:rsidRDefault="00287362"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6062EEA7" w:rsidR="00A45BBC" w:rsidRPr="006223EA" w:rsidRDefault="00B4205E" w:rsidP="00A45BBC">
                            <w:pPr>
                              <w:spacing w:after="0" w:line="240" w:lineRule="auto"/>
                              <w:rPr>
                                <w:rFonts w:cs="Segoe UI"/>
                                <w:color w:val="233845" w:themeColor="text2"/>
                                <w:sz w:val="24"/>
                              </w:rPr>
                            </w:pPr>
                            <w:r>
                              <w:rPr>
                                <w:rFonts w:cs="Segoe UI"/>
                                <w:color w:val="233845" w:themeColor="text2"/>
                                <w:sz w:val="24"/>
                              </w:rPr>
                              <w:t>v1.1</w:t>
                            </w:r>
                            <w:r w:rsidR="00CD1209">
                              <w:rPr>
                                <w:rFonts w:cs="Segoe UI"/>
                                <w:color w:val="233845" w:themeColor="text2"/>
                                <w:sz w:val="24"/>
                              </w:rPr>
                              <w:t>3</w:t>
                            </w:r>
                            <w:r w:rsidR="00287362">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A45BBC" w:rsidRPr="00287362" w:rsidRDefault="00287362"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6062EEA7" w:rsidR="00A45BBC" w:rsidRPr="006223EA" w:rsidRDefault="00B4205E" w:rsidP="00A45BBC">
                      <w:pPr>
                        <w:spacing w:after="0" w:line="240" w:lineRule="auto"/>
                        <w:rPr>
                          <w:rFonts w:cs="Segoe UI"/>
                          <w:color w:val="233845" w:themeColor="text2"/>
                          <w:sz w:val="24"/>
                        </w:rPr>
                      </w:pPr>
                      <w:r>
                        <w:rPr>
                          <w:rFonts w:cs="Segoe UI"/>
                          <w:color w:val="233845" w:themeColor="text2"/>
                          <w:sz w:val="24"/>
                        </w:rPr>
                        <w:t>v1.1</w:t>
                      </w:r>
                      <w:r w:rsidR="00CD1209">
                        <w:rPr>
                          <w:rFonts w:cs="Segoe UI"/>
                          <w:color w:val="233845" w:themeColor="text2"/>
                          <w:sz w:val="24"/>
                        </w:rPr>
                        <w:t>3</w:t>
                      </w:r>
                      <w:r w:rsidR="00287362">
                        <w:rPr>
                          <w:rFonts w:cs="Segoe UI"/>
                          <w:color w:val="233845" w:themeColor="text2"/>
                          <w:sz w:val="24"/>
                        </w:rPr>
                        <w:t xml:space="preserve"> Release Notes</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End w:id="14"/>
    </w:p>
    <w:p w14:paraId="0DD28C25" w14:textId="63E7AC99" w:rsidR="0010746C" w:rsidRDefault="0010746C" w:rsidP="00886982">
      <w:pPr>
        <w:pStyle w:val="Heading2"/>
      </w:pPr>
      <w:bookmarkStart w:id="15" w:name="_Toc517953895"/>
      <w:r>
        <w:t>Purpose</w:t>
      </w:r>
      <w:bookmarkEnd w:id="15"/>
    </w:p>
    <w:p w14:paraId="5317D352" w14:textId="6AFACA08" w:rsidR="0064515E" w:rsidRDefault="0064515E" w:rsidP="0064515E">
      <w:r>
        <w:t xml:space="preserve">This document provides a brief overview </w:t>
      </w:r>
      <w:r w:rsidR="00704CAF">
        <w:t>of the changes made between V1</w:t>
      </w:r>
      <w:r w:rsidR="00300D2F">
        <w:t>.</w:t>
      </w:r>
      <w:r w:rsidR="00C44F76">
        <w:t>1</w:t>
      </w:r>
      <w:r w:rsidR="00CD1209">
        <w:t>2</w:t>
      </w:r>
      <w:r w:rsidR="00704CAF">
        <w:t xml:space="preserve"> and V1.</w:t>
      </w:r>
      <w:r w:rsidR="00C44F76">
        <w:t>1</w:t>
      </w:r>
      <w:r w:rsidR="00CD1209">
        <w:t>3</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6F1CF80A" w14:textId="77777777" w:rsidR="00F420B2" w:rsidRDefault="00F420B2" w:rsidP="0064515E"/>
    <w:p w14:paraId="4DCB5DDB" w14:textId="6466F4EB" w:rsidR="00E85C73" w:rsidRDefault="00E85C73" w:rsidP="00F420B2">
      <w:pPr>
        <w:pStyle w:val="Heading1"/>
      </w:pPr>
      <w:bookmarkStart w:id="16" w:name="_Toc517953898"/>
      <w:r>
        <w:t>Fixed Issues</w:t>
      </w:r>
      <w:bookmarkEnd w:id="16"/>
    </w:p>
    <w:p w14:paraId="6E27792A" w14:textId="45A4FFC9" w:rsidR="00E85C73" w:rsidRDefault="00E85C73" w:rsidP="00F420B2">
      <w:r>
        <w:t xml:space="preserve">The following </w:t>
      </w:r>
      <w:r w:rsidR="008018B6">
        <w:t>issues have been fixed in version 1.</w:t>
      </w:r>
      <w:r w:rsidR="00137873">
        <w:t>1</w:t>
      </w:r>
      <w:r w:rsidR="0051132D">
        <w:t>3</w:t>
      </w:r>
      <w:r w:rsidR="008018B6">
        <w:t xml:space="preserve"> of hub2</w:t>
      </w:r>
    </w:p>
    <w:tbl>
      <w:tblPr>
        <w:tblStyle w:val="MiscTable"/>
        <w:tblW w:w="10031" w:type="dxa"/>
        <w:tblLook w:val="0420" w:firstRow="1" w:lastRow="0" w:firstColumn="0" w:lastColumn="0" w:noHBand="0" w:noVBand="1"/>
      </w:tblPr>
      <w:tblGrid>
        <w:gridCol w:w="983"/>
        <w:gridCol w:w="2976"/>
        <w:gridCol w:w="6072"/>
      </w:tblGrid>
      <w:tr w:rsidR="00886982" w:rsidRPr="006F3B45" w14:paraId="75BED357" w14:textId="77777777" w:rsidTr="00CB0E93">
        <w:trPr>
          <w:cnfStyle w:val="100000000000" w:firstRow="1" w:lastRow="0" w:firstColumn="0" w:lastColumn="0" w:oddVBand="0" w:evenVBand="0" w:oddHBand="0" w:evenHBand="0" w:firstRowFirstColumn="0" w:firstRowLastColumn="0" w:lastRowFirstColumn="0" w:lastRowLastColumn="0"/>
        </w:trPr>
        <w:tc>
          <w:tcPr>
            <w:tcW w:w="983" w:type="dxa"/>
          </w:tcPr>
          <w:p w14:paraId="1EA66700" w14:textId="4ED8F7E7" w:rsidR="00886982" w:rsidRPr="006F3B45" w:rsidRDefault="00886982" w:rsidP="00886982">
            <w:pPr>
              <w:pStyle w:val="BodyText"/>
              <w:rPr>
                <w:color w:val="FFFFFF" w:themeColor="background1"/>
              </w:rPr>
            </w:pPr>
            <w:r w:rsidRPr="006F3B45">
              <w:rPr>
                <w:color w:val="FFFFFF" w:themeColor="background1"/>
              </w:rPr>
              <w:t>Case</w:t>
            </w:r>
          </w:p>
        </w:tc>
        <w:tc>
          <w:tcPr>
            <w:tcW w:w="2976" w:type="dxa"/>
          </w:tcPr>
          <w:p w14:paraId="70CA37B9" w14:textId="74AB3EE4" w:rsidR="00886982" w:rsidRPr="006F3B45" w:rsidRDefault="00886982" w:rsidP="00886982">
            <w:pPr>
              <w:pStyle w:val="BodyText"/>
              <w:rPr>
                <w:color w:val="FFFFFF" w:themeColor="background1"/>
              </w:rPr>
            </w:pPr>
            <w:r w:rsidRPr="006F3B45">
              <w:rPr>
                <w:color w:val="FFFFFF" w:themeColor="background1"/>
              </w:rPr>
              <w:t>Title [sic]</w:t>
            </w:r>
          </w:p>
        </w:tc>
        <w:tc>
          <w:tcPr>
            <w:tcW w:w="6072" w:type="dxa"/>
          </w:tcPr>
          <w:p w14:paraId="18C8B469" w14:textId="6898B932" w:rsidR="00886982" w:rsidRPr="006F3B45" w:rsidRDefault="00886982" w:rsidP="00886982">
            <w:pPr>
              <w:pStyle w:val="BodyText"/>
              <w:rPr>
                <w:color w:val="FFFFFF" w:themeColor="background1"/>
              </w:rPr>
            </w:pPr>
            <w:r w:rsidRPr="006F3B45">
              <w:rPr>
                <w:color w:val="FFFFFF" w:themeColor="background1"/>
              </w:rPr>
              <w:t>Details</w:t>
            </w:r>
          </w:p>
        </w:tc>
      </w:tr>
      <w:tr w:rsidR="00CD1209" w:rsidRPr="006F3B45" w14:paraId="7241AD6A" w14:textId="77777777" w:rsidTr="00CB0E93">
        <w:trPr>
          <w:cnfStyle w:val="000000100000" w:firstRow="0" w:lastRow="0" w:firstColumn="0" w:lastColumn="0" w:oddVBand="0" w:evenVBand="0" w:oddHBand="1" w:evenHBand="0" w:firstRowFirstColumn="0" w:firstRowLastColumn="0" w:lastRowFirstColumn="0" w:lastRowLastColumn="0"/>
        </w:trPr>
        <w:tc>
          <w:tcPr>
            <w:tcW w:w="0" w:type="dxa"/>
          </w:tcPr>
          <w:p w14:paraId="1FF59830" w14:textId="183271D6" w:rsidR="00CD1209" w:rsidRPr="006F3B45" w:rsidRDefault="00CD1209" w:rsidP="002B1D54">
            <w:pPr>
              <w:jc w:val="left"/>
              <w:rPr>
                <w:rFonts w:cs="Segoe UI"/>
                <w:szCs w:val="20"/>
              </w:rPr>
            </w:pPr>
            <w:r w:rsidRPr="006F3B45">
              <w:rPr>
                <w:rFonts w:cs="Segoe UI"/>
              </w:rPr>
              <w:t>52992</w:t>
            </w:r>
          </w:p>
        </w:tc>
        <w:tc>
          <w:tcPr>
            <w:tcW w:w="0" w:type="dxa"/>
          </w:tcPr>
          <w:p w14:paraId="2BDC338B" w14:textId="6245CE3F" w:rsidR="00CD1209" w:rsidRPr="006F3B45" w:rsidRDefault="00CD1209" w:rsidP="002B1D54">
            <w:pPr>
              <w:jc w:val="left"/>
              <w:rPr>
                <w:rFonts w:cs="Segoe UI"/>
                <w:szCs w:val="20"/>
              </w:rPr>
            </w:pPr>
            <w:r w:rsidRPr="006F3B45">
              <w:rPr>
                <w:rFonts w:cs="Segoe UI"/>
                <w:lang w:val="en-US"/>
              </w:rPr>
              <w:t>Errors with Uploaded Barcode Documents aren’t shown</w:t>
            </w:r>
          </w:p>
        </w:tc>
        <w:tc>
          <w:tcPr>
            <w:tcW w:w="0" w:type="dxa"/>
          </w:tcPr>
          <w:p w14:paraId="2B0626DF" w14:textId="51981208" w:rsidR="00CD1209" w:rsidRPr="006F3B45" w:rsidRDefault="00287362" w:rsidP="002B1D54">
            <w:pPr>
              <w:jc w:val="left"/>
              <w:rPr>
                <w:rFonts w:cs="Segoe UI"/>
              </w:rPr>
            </w:pPr>
            <w:r w:rsidRPr="006F3B45">
              <w:rPr>
                <w:rFonts w:cs="Segoe UI"/>
              </w:rPr>
              <w:t>If a failure occurred during the upload of a Barcoded Document no feedback was provided to the user.</w:t>
            </w:r>
          </w:p>
          <w:p w14:paraId="39B227A0" w14:textId="260E06A4" w:rsidR="00CD1209" w:rsidRPr="006F3B45" w:rsidRDefault="00CD1209" w:rsidP="002B1D54">
            <w:pPr>
              <w:jc w:val="left"/>
              <w:rPr>
                <w:rFonts w:cs="Segoe UI"/>
                <w:szCs w:val="20"/>
              </w:rPr>
            </w:pPr>
            <w:r w:rsidRPr="006F3B45">
              <w:rPr>
                <w:rFonts w:cs="Segoe UI"/>
              </w:rPr>
              <w:t>This has been fixed so the user is now alerted to any issues when uploading.</w:t>
            </w:r>
          </w:p>
        </w:tc>
      </w:tr>
      <w:tr w:rsidR="00CD1209" w:rsidRPr="006F3B45" w14:paraId="71EF076C" w14:textId="77777777" w:rsidTr="00CB0E93">
        <w:tc>
          <w:tcPr>
            <w:tcW w:w="0" w:type="dxa"/>
          </w:tcPr>
          <w:p w14:paraId="58F53968" w14:textId="42602D3E" w:rsidR="00CD1209" w:rsidRPr="006F3B45" w:rsidRDefault="0051132D" w:rsidP="002B1D54">
            <w:pPr>
              <w:jc w:val="left"/>
              <w:rPr>
                <w:rFonts w:cs="Segoe UI"/>
                <w:szCs w:val="20"/>
              </w:rPr>
            </w:pPr>
            <w:r w:rsidRPr="006F3B45">
              <w:rPr>
                <w:rFonts w:cs="Segoe UI"/>
                <w:szCs w:val="20"/>
              </w:rPr>
              <w:t>54222</w:t>
            </w:r>
          </w:p>
        </w:tc>
        <w:tc>
          <w:tcPr>
            <w:tcW w:w="0" w:type="dxa"/>
          </w:tcPr>
          <w:p w14:paraId="52A8212D" w14:textId="40DD86B9" w:rsidR="00CD1209" w:rsidRPr="006F3B45" w:rsidRDefault="0051132D" w:rsidP="002B1D54">
            <w:pPr>
              <w:jc w:val="left"/>
              <w:rPr>
                <w:rFonts w:cs="Segoe UI"/>
                <w:szCs w:val="20"/>
              </w:rPr>
            </w:pPr>
            <w:r w:rsidRPr="006F3B45">
              <w:rPr>
                <w:rFonts w:cs="Segoe UI"/>
                <w:szCs w:val="20"/>
              </w:rPr>
              <w:t>Edit Report List page only has Save Button at the top of the page</w:t>
            </w:r>
          </w:p>
        </w:tc>
        <w:tc>
          <w:tcPr>
            <w:tcW w:w="0" w:type="dxa"/>
          </w:tcPr>
          <w:p w14:paraId="170D9663" w14:textId="61552B0D" w:rsidR="00CD1209" w:rsidRPr="006F3B45" w:rsidRDefault="0051132D" w:rsidP="002B1D54">
            <w:pPr>
              <w:jc w:val="left"/>
              <w:rPr>
                <w:rFonts w:cs="Segoe UI"/>
                <w:szCs w:val="20"/>
              </w:rPr>
            </w:pPr>
            <w:r w:rsidRPr="006F3B45">
              <w:rPr>
                <w:rFonts w:cs="Segoe UI"/>
                <w:szCs w:val="20"/>
              </w:rPr>
              <w:t>The Edit Report page has been amended to have the Save Button at the top and bottom of the page.</w:t>
            </w:r>
          </w:p>
        </w:tc>
      </w:tr>
      <w:tr w:rsidR="0051132D" w:rsidRPr="006F3B45" w14:paraId="09B5C43A" w14:textId="77777777" w:rsidTr="00CB0E93">
        <w:trPr>
          <w:cnfStyle w:val="000000100000" w:firstRow="0" w:lastRow="0" w:firstColumn="0" w:lastColumn="0" w:oddVBand="0" w:evenVBand="0" w:oddHBand="1" w:evenHBand="0" w:firstRowFirstColumn="0" w:firstRowLastColumn="0" w:lastRowFirstColumn="0" w:lastRowLastColumn="0"/>
        </w:trPr>
        <w:tc>
          <w:tcPr>
            <w:tcW w:w="0" w:type="dxa"/>
          </w:tcPr>
          <w:p w14:paraId="7588ACC1" w14:textId="584F89FA" w:rsidR="0051132D" w:rsidRPr="006F3B45" w:rsidRDefault="0051132D" w:rsidP="002B1D54">
            <w:pPr>
              <w:jc w:val="left"/>
              <w:rPr>
                <w:rFonts w:cs="Segoe UI"/>
                <w:szCs w:val="20"/>
              </w:rPr>
            </w:pPr>
            <w:r w:rsidRPr="006F3B45">
              <w:rPr>
                <w:rFonts w:cs="Segoe UI"/>
                <w:szCs w:val="20"/>
              </w:rPr>
              <w:t>54463</w:t>
            </w:r>
          </w:p>
        </w:tc>
        <w:tc>
          <w:tcPr>
            <w:tcW w:w="0" w:type="dxa"/>
          </w:tcPr>
          <w:p w14:paraId="1758714F" w14:textId="45ACED48" w:rsidR="0051132D" w:rsidRPr="006F3B45" w:rsidRDefault="0051132D" w:rsidP="002B1D54">
            <w:pPr>
              <w:jc w:val="left"/>
              <w:rPr>
                <w:rFonts w:cs="Segoe UI"/>
                <w:szCs w:val="20"/>
              </w:rPr>
            </w:pPr>
            <w:r w:rsidRPr="006F3B45">
              <w:rPr>
                <w:rFonts w:cs="Segoe UI"/>
                <w:szCs w:val="20"/>
              </w:rPr>
              <w:t>Document Generation fails when Table Bookmark is in the last row</w:t>
            </w:r>
          </w:p>
        </w:tc>
        <w:tc>
          <w:tcPr>
            <w:tcW w:w="0" w:type="dxa"/>
          </w:tcPr>
          <w:p w14:paraId="7B48A2BB" w14:textId="64FFFDA9" w:rsidR="00287362" w:rsidRPr="006F3B45" w:rsidRDefault="00287362" w:rsidP="00287362">
            <w:pPr>
              <w:jc w:val="left"/>
              <w:rPr>
                <w:rFonts w:cs="Segoe UI"/>
                <w:szCs w:val="20"/>
              </w:rPr>
            </w:pPr>
            <w:r w:rsidRPr="006F3B45">
              <w:rPr>
                <w:rFonts w:cs="Segoe UI"/>
                <w:szCs w:val="20"/>
              </w:rPr>
              <w:t>When creating or editing a docx document for use in hub2, the correct way to utilise a Bookmarked Table is to place</w:t>
            </w:r>
            <w:r w:rsidR="0051132D" w:rsidRPr="006F3B45">
              <w:rPr>
                <w:rFonts w:cs="Segoe UI"/>
                <w:szCs w:val="20"/>
              </w:rPr>
              <w:t xml:space="preserve"> the Table Bookmark </w:t>
            </w:r>
            <w:r w:rsidRPr="006F3B45">
              <w:rPr>
                <w:rFonts w:cs="Segoe UI"/>
                <w:szCs w:val="20"/>
              </w:rPr>
              <w:t>above</w:t>
            </w:r>
            <w:r w:rsidR="0051132D" w:rsidRPr="006F3B45">
              <w:rPr>
                <w:rFonts w:cs="Segoe UI"/>
                <w:szCs w:val="20"/>
              </w:rPr>
              <w:t xml:space="preserve"> the column bookmarks</w:t>
            </w:r>
            <w:r w:rsidRPr="006F3B45">
              <w:rPr>
                <w:rFonts w:cs="Segoe UI"/>
                <w:szCs w:val="20"/>
              </w:rPr>
              <w:t>.</w:t>
            </w:r>
            <w:r w:rsidR="0051132D" w:rsidRPr="006F3B45">
              <w:rPr>
                <w:rFonts w:cs="Segoe UI"/>
                <w:szCs w:val="20"/>
              </w:rPr>
              <w:t xml:space="preserve"> </w:t>
            </w:r>
          </w:p>
          <w:p w14:paraId="534E2358" w14:textId="6FB28AD8" w:rsidR="0051132D" w:rsidRPr="006F3B45" w:rsidRDefault="00287362" w:rsidP="002B1D54">
            <w:pPr>
              <w:jc w:val="left"/>
              <w:rPr>
                <w:rFonts w:cs="Segoe UI"/>
                <w:szCs w:val="20"/>
              </w:rPr>
            </w:pPr>
            <w:r w:rsidRPr="006F3B45">
              <w:rPr>
                <w:rFonts w:cs="Segoe UI"/>
                <w:szCs w:val="20"/>
              </w:rPr>
              <w:t>Previously, i</w:t>
            </w:r>
            <w:r w:rsidR="0051132D" w:rsidRPr="006F3B45">
              <w:rPr>
                <w:rFonts w:cs="Segoe UI"/>
                <w:szCs w:val="20"/>
              </w:rPr>
              <w:t xml:space="preserve">f this </w:t>
            </w:r>
            <w:r w:rsidRPr="006F3B45">
              <w:rPr>
                <w:rFonts w:cs="Segoe UI"/>
                <w:szCs w:val="20"/>
              </w:rPr>
              <w:t xml:space="preserve">was </w:t>
            </w:r>
            <w:r w:rsidR="0051132D" w:rsidRPr="006F3B45">
              <w:rPr>
                <w:rFonts w:cs="Segoe UI"/>
                <w:szCs w:val="20"/>
              </w:rPr>
              <w:t xml:space="preserve">not the case then the </w:t>
            </w:r>
            <w:r w:rsidRPr="006F3B45">
              <w:rPr>
                <w:rFonts w:cs="Segoe UI"/>
                <w:szCs w:val="20"/>
              </w:rPr>
              <w:t xml:space="preserve">entire </w:t>
            </w:r>
            <w:r w:rsidR="0051132D" w:rsidRPr="006F3B45">
              <w:rPr>
                <w:rFonts w:cs="Segoe UI"/>
                <w:szCs w:val="20"/>
              </w:rPr>
              <w:t>document would fail to generate.</w:t>
            </w:r>
          </w:p>
          <w:p w14:paraId="36FFADA8" w14:textId="2D7E3110" w:rsidR="0051132D" w:rsidRPr="006F3B45" w:rsidRDefault="0051132D" w:rsidP="002B1D54">
            <w:pPr>
              <w:jc w:val="left"/>
              <w:rPr>
                <w:rFonts w:cs="Segoe UI"/>
                <w:szCs w:val="20"/>
              </w:rPr>
            </w:pPr>
            <w:r w:rsidRPr="006F3B45">
              <w:rPr>
                <w:rFonts w:cs="Segoe UI"/>
                <w:szCs w:val="20"/>
              </w:rPr>
              <w:t xml:space="preserve">This </w:t>
            </w:r>
            <w:r w:rsidR="00287362" w:rsidRPr="006F3B45">
              <w:rPr>
                <w:rFonts w:cs="Segoe UI"/>
                <w:szCs w:val="20"/>
              </w:rPr>
              <w:t xml:space="preserve">behaviour has been improved so that, even if the incorrect bookmark is ordered, only the bookmarked table will fail to populate, while all other bookmarked information will appear as intended. </w:t>
            </w:r>
          </w:p>
        </w:tc>
      </w:tr>
    </w:tbl>
    <w:p w14:paraId="3FFBCC93" w14:textId="77777777" w:rsidR="00F420B2" w:rsidRDefault="00F420B2" w:rsidP="00F420B2">
      <w:pPr>
        <w:pStyle w:val="Heading1"/>
        <w:numPr>
          <w:ilvl w:val="0"/>
          <w:numId w:val="0"/>
        </w:numPr>
        <w:ind w:left="850"/>
      </w:pPr>
      <w:bookmarkStart w:id="17" w:name="_Toc517953900"/>
    </w:p>
    <w:p w14:paraId="4C2BEAD3" w14:textId="6D04331E" w:rsidR="00E85C73" w:rsidRDefault="00A83E28" w:rsidP="00F420B2">
      <w:pPr>
        <w:pStyle w:val="Heading1"/>
      </w:pPr>
      <w:r>
        <w:t>Known</w:t>
      </w:r>
      <w:r w:rsidR="00144332">
        <w:t xml:space="preserve"> Issues</w:t>
      </w:r>
      <w:bookmarkEnd w:id="17"/>
    </w:p>
    <w:p w14:paraId="69E78EC8" w14:textId="76689D33"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5837E8" w:rsidRPr="00882786">
          <w:rPr>
            <w:rStyle w:val="Hyperlink"/>
          </w:rPr>
          <w:t>https://gotechnology.github.io/</w:t>
        </w:r>
      </w:hyperlink>
      <w:r w:rsidR="00300D2F">
        <w:t xml:space="preserve"> </w:t>
      </w:r>
    </w:p>
    <w:p w14:paraId="791854F8" w14:textId="77777777" w:rsidR="00F420B2" w:rsidRDefault="00F420B2" w:rsidP="00A95F04"/>
    <w:p w14:paraId="25356527" w14:textId="77777777" w:rsidR="00F420B2" w:rsidRDefault="00F420B2">
      <w:pPr>
        <w:spacing w:after="0" w:line="240" w:lineRule="auto"/>
        <w:jc w:val="left"/>
        <w:rPr>
          <w:rFonts w:eastAsia="Times New Roman" w:cs="Segoe UI"/>
          <w:b/>
          <w:snapToGrid w:val="0"/>
          <w:sz w:val="28"/>
          <w:szCs w:val="32"/>
        </w:rPr>
      </w:pPr>
      <w:bookmarkStart w:id="18" w:name="_Toc517953901"/>
      <w:r>
        <w:br w:type="page"/>
      </w:r>
      <w:bookmarkStart w:id="19" w:name="_GoBack"/>
      <w:bookmarkEnd w:id="19"/>
    </w:p>
    <w:p w14:paraId="75E7AAFD" w14:textId="3580B1E5" w:rsidR="00E85C73" w:rsidRDefault="00144332" w:rsidP="00F420B2">
      <w:pPr>
        <w:pStyle w:val="Heading1"/>
      </w:pPr>
      <w:r>
        <w:lastRenderedPageBreak/>
        <w:t>Features</w:t>
      </w:r>
      <w:bookmarkEnd w:id="18"/>
    </w:p>
    <w:p w14:paraId="17CC3730" w14:textId="1F466B30" w:rsidR="00300D2F" w:rsidRDefault="00300D2F" w:rsidP="00300D2F">
      <w:bookmarkStart w:id="20" w:name="_Toc517953902"/>
      <w:r>
        <w:t>The following functionality</w:t>
      </w:r>
      <w:r w:rsidR="007E5258">
        <w:t xml:space="preserve"> has been added in v1.1</w:t>
      </w:r>
      <w:r w:rsidR="00CD1209">
        <w:t>3</w:t>
      </w:r>
      <w:r>
        <w:t>:</w:t>
      </w:r>
    </w:p>
    <w:p w14:paraId="106DFC04" w14:textId="77777777" w:rsidR="00300D2F" w:rsidRDefault="00300D2F" w:rsidP="00300D2F">
      <w:r>
        <w:t>Functional:</w:t>
      </w:r>
    </w:p>
    <w:p w14:paraId="0E88EC66" w14:textId="77777777" w:rsidR="00CD1209" w:rsidRDefault="00CD1209" w:rsidP="00CD1209">
      <w:pPr>
        <w:pStyle w:val="ListParagraph"/>
        <w:numPr>
          <w:ilvl w:val="0"/>
          <w:numId w:val="30"/>
        </w:numPr>
      </w:pPr>
      <w:r>
        <w:t>Generating Work Packs</w:t>
      </w:r>
    </w:p>
    <w:p w14:paraId="35E1C2F2" w14:textId="77777777" w:rsidR="00CD1209" w:rsidRDefault="00CD1209" w:rsidP="00CD1209">
      <w:pPr>
        <w:pStyle w:val="ListParagraph"/>
        <w:numPr>
          <w:ilvl w:val="0"/>
          <w:numId w:val="30"/>
        </w:numPr>
      </w:pPr>
      <w:r>
        <w:t>Work Pack Dashboard</w:t>
      </w:r>
    </w:p>
    <w:p w14:paraId="3100991A" w14:textId="77777777" w:rsidR="00CD1209" w:rsidRDefault="00CD1209" w:rsidP="00CD1209">
      <w:pPr>
        <w:pStyle w:val="ListParagraph"/>
        <w:numPr>
          <w:ilvl w:val="0"/>
          <w:numId w:val="30"/>
        </w:numPr>
      </w:pPr>
      <w:r>
        <w:t>As Built Drawing Changes</w:t>
      </w:r>
    </w:p>
    <w:p w14:paraId="7EFE5674" w14:textId="77777777" w:rsidR="00CD1209" w:rsidRDefault="00CD1209" w:rsidP="00CD1209">
      <w:pPr>
        <w:pStyle w:val="ListParagraph"/>
        <w:numPr>
          <w:ilvl w:val="0"/>
          <w:numId w:val="30"/>
        </w:numPr>
      </w:pPr>
      <w:r>
        <w:t>Custom Field Order</w:t>
      </w:r>
    </w:p>
    <w:p w14:paraId="7E47A270" w14:textId="77777777" w:rsidR="00CD1209" w:rsidRDefault="00CD1209" w:rsidP="00CD1209">
      <w:pPr>
        <w:pStyle w:val="ListParagraph"/>
        <w:numPr>
          <w:ilvl w:val="0"/>
          <w:numId w:val="30"/>
        </w:numPr>
      </w:pPr>
      <w:r>
        <w:t>Project Features</w:t>
      </w:r>
    </w:p>
    <w:p w14:paraId="1D2F9E19" w14:textId="77777777" w:rsidR="00CD1209" w:rsidRDefault="00CD1209" w:rsidP="00CD1209">
      <w:pPr>
        <w:pStyle w:val="ListParagraph"/>
        <w:numPr>
          <w:ilvl w:val="0"/>
          <w:numId w:val="30"/>
        </w:numPr>
      </w:pPr>
      <w:r>
        <w:t>Job Card Sign Off</w:t>
      </w:r>
    </w:p>
    <w:p w14:paraId="56022CC2" w14:textId="77777777" w:rsidR="00CD1209" w:rsidRDefault="00CD1209" w:rsidP="00CD1209">
      <w:pPr>
        <w:pStyle w:val="ListParagraph"/>
        <w:numPr>
          <w:ilvl w:val="0"/>
          <w:numId w:val="30"/>
        </w:numPr>
      </w:pPr>
      <w:r>
        <w:t>Tag ITR View from Job Cards</w:t>
      </w:r>
    </w:p>
    <w:p w14:paraId="2C7BE6F8" w14:textId="77777777" w:rsidR="00CD1209" w:rsidRDefault="00CD1209" w:rsidP="00CD1209">
      <w:pPr>
        <w:pStyle w:val="ListParagraph"/>
        <w:numPr>
          <w:ilvl w:val="0"/>
          <w:numId w:val="30"/>
        </w:numPr>
      </w:pPr>
      <w:r>
        <w:t>Visual Indication of Weightings</w:t>
      </w:r>
    </w:p>
    <w:p w14:paraId="28587F6D" w14:textId="77777777" w:rsidR="00CD1209" w:rsidRDefault="00CD1209" w:rsidP="00CD1209">
      <w:pPr>
        <w:pStyle w:val="ListParagraph"/>
        <w:numPr>
          <w:ilvl w:val="0"/>
          <w:numId w:val="30"/>
        </w:numPr>
      </w:pPr>
      <w:r>
        <w:t>Wood Branding</w:t>
      </w:r>
    </w:p>
    <w:p w14:paraId="661D4F70" w14:textId="77777777" w:rsidR="00CD1209" w:rsidRDefault="00CD1209" w:rsidP="00CD1209">
      <w:pPr>
        <w:pStyle w:val="ListParagraph"/>
        <w:numPr>
          <w:ilvl w:val="0"/>
          <w:numId w:val="30"/>
        </w:numPr>
      </w:pPr>
      <w:r>
        <w:t>Tag ITR Search Filter for “Attachments”</w:t>
      </w:r>
    </w:p>
    <w:p w14:paraId="43D5EB5D" w14:textId="77777777" w:rsidR="00B4205E" w:rsidRDefault="00B4205E" w:rsidP="00B4205E">
      <w:pPr>
        <w:pStyle w:val="ListParagraph"/>
      </w:pPr>
    </w:p>
    <w:p w14:paraId="5039DFFB" w14:textId="76B8298A" w:rsidR="00EC6925" w:rsidRDefault="00CD1209" w:rsidP="00886982">
      <w:pPr>
        <w:pStyle w:val="Heading2"/>
      </w:pPr>
      <w:bookmarkStart w:id="21" w:name="_Hlk520127587"/>
      <w:r>
        <w:t>Generation of Work Packs</w:t>
      </w:r>
    </w:p>
    <w:p w14:paraId="0D578FFC" w14:textId="310A0D3A" w:rsidR="00EC6925" w:rsidRDefault="00EC6925" w:rsidP="00EC6925">
      <w:pPr>
        <w:rPr>
          <w:b/>
        </w:rPr>
      </w:pPr>
      <w:r>
        <w:rPr>
          <w:b/>
        </w:rPr>
        <w:t xml:space="preserve">For more detail see Section </w:t>
      </w:r>
      <w:r w:rsidR="00E45EFE">
        <w:rPr>
          <w:b/>
        </w:rPr>
        <w:t>2</w:t>
      </w:r>
      <w:r>
        <w:rPr>
          <w:b/>
        </w:rPr>
        <w:t>4</w:t>
      </w:r>
      <w:r w:rsidR="00CD1209">
        <w:rPr>
          <w:b/>
        </w:rPr>
        <w:t>.2.6</w:t>
      </w:r>
      <w:r>
        <w:rPr>
          <w:b/>
        </w:rPr>
        <w:t xml:space="preserve"> – </w:t>
      </w:r>
      <w:r w:rsidR="00CD1209">
        <w:rPr>
          <w:b/>
        </w:rPr>
        <w:t>Work Pack Generation</w:t>
      </w:r>
      <w:r>
        <w:rPr>
          <w:b/>
        </w:rPr>
        <w:t xml:space="preserve"> of the Functional Specification</w:t>
      </w:r>
    </w:p>
    <w:p w14:paraId="44EBEB12" w14:textId="5F269FDA" w:rsidR="008559EC" w:rsidRDefault="00C65C5B" w:rsidP="00EC6925">
      <w:pPr>
        <w:rPr>
          <w:b/>
        </w:rPr>
      </w:pPr>
      <w:r w:rsidRPr="00C65C5B">
        <w:rPr>
          <w:b/>
          <w:noProof/>
        </w:rPr>
        <w:drawing>
          <wp:inline distT="0" distB="0" distL="0" distR="0" wp14:anchorId="67CF591E" wp14:editId="69351658">
            <wp:extent cx="6120130" cy="2475865"/>
            <wp:effectExtent l="19050" t="19050" r="13970"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75865"/>
                    </a:xfrm>
                    <a:prstGeom prst="rect">
                      <a:avLst/>
                    </a:prstGeom>
                    <a:ln>
                      <a:solidFill>
                        <a:schemeClr val="accent1"/>
                      </a:solidFill>
                    </a:ln>
                  </pic:spPr>
                </pic:pic>
              </a:graphicData>
            </a:graphic>
          </wp:inline>
        </w:drawing>
      </w:r>
    </w:p>
    <w:p w14:paraId="79550D1B" w14:textId="23586944" w:rsidR="008559EC" w:rsidRDefault="008559EC" w:rsidP="008559EC">
      <w:pPr>
        <w:pStyle w:val="Figure"/>
      </w:pPr>
      <w:r>
        <w:t xml:space="preserve">Screenshot showing the </w:t>
      </w:r>
      <w:r w:rsidR="004B27A3">
        <w:t xml:space="preserve">new Generate Work Pack </w:t>
      </w:r>
      <w:r w:rsidR="00C65C5B">
        <w:t>Section Highlighted</w:t>
      </w:r>
    </w:p>
    <w:p w14:paraId="6C732911" w14:textId="77777777" w:rsidR="006C525C" w:rsidRPr="006C525C" w:rsidRDefault="006C525C" w:rsidP="006C525C"/>
    <w:p w14:paraId="5DD493C3" w14:textId="2B0160AE" w:rsidR="006C525C" w:rsidRDefault="006C525C" w:rsidP="006C525C">
      <w:r>
        <w:t>The ability to Generate Work Pack documents into one single PDF has been added.  This functionality allows all the Attachments associated with a Work Pack and its component Job Cards, including any Drawings to be generated into one file.  The Order these files are to be generated in can be set in the various Attachment sections, with each Job Card</w:t>
      </w:r>
      <w:r w:rsidR="002F2F5B">
        <w:t>’s</w:t>
      </w:r>
      <w:r>
        <w:t xml:space="preserve"> </w:t>
      </w:r>
      <w:r w:rsidR="002F2F5B">
        <w:t>A</w:t>
      </w:r>
      <w:r>
        <w:t>ttachments and Drawing</w:t>
      </w:r>
      <w:r w:rsidR="00041B35">
        <w:t>s</w:t>
      </w:r>
      <w:r>
        <w:t xml:space="preserve"> </w:t>
      </w:r>
      <w:r w:rsidR="002F2F5B">
        <w:t xml:space="preserve">able </w:t>
      </w:r>
      <w:r>
        <w:t>to be ordered</w:t>
      </w:r>
      <w:r w:rsidR="002F2F5B">
        <w:t xml:space="preserve"> independently</w:t>
      </w:r>
      <w:r>
        <w:t xml:space="preserve">. </w:t>
      </w:r>
    </w:p>
    <w:p w14:paraId="7010A2A3" w14:textId="76492F44" w:rsidR="00081FA5" w:rsidRDefault="002F2F5B" w:rsidP="006C525C">
      <w:r>
        <w:t>As t</w:t>
      </w:r>
      <w:r w:rsidR="006C525C">
        <w:t xml:space="preserve">he Generation of a Work Pack may take </w:t>
      </w:r>
      <w:r>
        <w:t xml:space="preserve">some time, </w:t>
      </w:r>
      <w:r w:rsidR="006C525C">
        <w:t xml:space="preserve">an email </w:t>
      </w:r>
      <w:r>
        <w:t>notification is sent</w:t>
      </w:r>
      <w:r w:rsidR="006C525C">
        <w:t xml:space="preserve"> to the user</w:t>
      </w:r>
      <w:r>
        <w:t>’s email address</w:t>
      </w:r>
      <w:r w:rsidR="006C525C">
        <w:t xml:space="preserve"> when the file </w:t>
      </w:r>
      <w:r>
        <w:t xml:space="preserve">is </w:t>
      </w:r>
      <w:r w:rsidR="006C525C">
        <w:t>available</w:t>
      </w:r>
      <w:r>
        <w:t xml:space="preserve"> for download.</w:t>
      </w:r>
    </w:p>
    <w:p w14:paraId="39E34FB9" w14:textId="55FCB821" w:rsidR="00A67A30" w:rsidRDefault="00A67A30" w:rsidP="00A67A30"/>
    <w:p w14:paraId="7EF5E891" w14:textId="43B26F41" w:rsidR="00081FA5" w:rsidRDefault="000D4EAA" w:rsidP="00886982">
      <w:pPr>
        <w:pStyle w:val="Heading2"/>
      </w:pPr>
      <w:r>
        <w:lastRenderedPageBreak/>
        <w:t>Work Pack Dashboard</w:t>
      </w:r>
    </w:p>
    <w:p w14:paraId="6390AA65" w14:textId="60611E64" w:rsidR="00E45EFE" w:rsidRDefault="00E45EFE" w:rsidP="00E45EFE">
      <w:pPr>
        <w:rPr>
          <w:b/>
        </w:rPr>
      </w:pPr>
      <w:r>
        <w:rPr>
          <w:b/>
        </w:rPr>
        <w:t xml:space="preserve">For more detail see Section </w:t>
      </w:r>
      <w:r w:rsidR="004B27A3">
        <w:rPr>
          <w:b/>
        </w:rPr>
        <w:t>44.5</w:t>
      </w:r>
      <w:r>
        <w:rPr>
          <w:b/>
        </w:rPr>
        <w:t xml:space="preserve"> – Work </w:t>
      </w:r>
      <w:r w:rsidR="004B27A3">
        <w:rPr>
          <w:b/>
        </w:rPr>
        <w:t>P</w:t>
      </w:r>
      <w:r>
        <w:rPr>
          <w:b/>
        </w:rPr>
        <w:t xml:space="preserve">ack </w:t>
      </w:r>
      <w:r w:rsidR="004B27A3">
        <w:rPr>
          <w:b/>
        </w:rPr>
        <w:t>Completions Grid</w:t>
      </w:r>
      <w:r>
        <w:rPr>
          <w:b/>
        </w:rPr>
        <w:t xml:space="preserve"> of the Functional Specification</w:t>
      </w:r>
    </w:p>
    <w:p w14:paraId="26821354" w14:textId="3B92708D" w:rsidR="008559EC" w:rsidRDefault="004B27A3" w:rsidP="008559EC">
      <w:pPr>
        <w:jc w:val="center"/>
      </w:pPr>
      <w:r w:rsidRPr="00B8708D">
        <w:rPr>
          <w:noProof/>
        </w:rPr>
        <w:drawing>
          <wp:inline distT="0" distB="0" distL="0" distR="0" wp14:anchorId="7BF4AAE9" wp14:editId="334A78C3">
            <wp:extent cx="5167223" cy="2675725"/>
            <wp:effectExtent l="19050" t="19050" r="1460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0906" cy="2677632"/>
                    </a:xfrm>
                    <a:prstGeom prst="rect">
                      <a:avLst/>
                    </a:prstGeom>
                    <a:ln>
                      <a:solidFill>
                        <a:schemeClr val="accent1"/>
                      </a:solidFill>
                    </a:ln>
                  </pic:spPr>
                </pic:pic>
              </a:graphicData>
            </a:graphic>
          </wp:inline>
        </w:drawing>
      </w:r>
    </w:p>
    <w:p w14:paraId="673C36C4" w14:textId="518B9FC0" w:rsidR="008559EC" w:rsidRPr="008559EC" w:rsidRDefault="008559EC" w:rsidP="008559EC">
      <w:pPr>
        <w:pStyle w:val="Figure"/>
      </w:pPr>
      <w:r>
        <w:t xml:space="preserve">Screenshot showing </w:t>
      </w:r>
      <w:r w:rsidR="004B27A3">
        <w:t>Work Pack Dashboard page</w:t>
      </w:r>
    </w:p>
    <w:p w14:paraId="4476291D" w14:textId="77777777" w:rsidR="00231EA5" w:rsidRDefault="004B27A3" w:rsidP="00081FA5">
      <w:r>
        <w:t>A Work Pack dashboard has been added so that the % complete of each Work Pack, the % Complete of each of the Work Pack</w:t>
      </w:r>
      <w:r w:rsidR="00C64F84">
        <w:t>’</w:t>
      </w:r>
      <w:r>
        <w:t>s Job Cards and status of each Operation under that Job Card</w:t>
      </w:r>
      <w:r w:rsidR="00182EAF">
        <w:t xml:space="preserve"> are visible</w:t>
      </w:r>
      <w:r>
        <w:t xml:space="preserve"> from one screen.  The Dashboard works in the same way as the existing Completions Dashboard with the </w:t>
      </w:r>
      <w:r w:rsidR="00231EA5">
        <w:t>hierarchy of information displayed in the following order:</w:t>
      </w:r>
    </w:p>
    <w:p w14:paraId="29D2DE5D" w14:textId="6CA5BBBE" w:rsidR="00231EA5" w:rsidRDefault="00231EA5" w:rsidP="00231EA5">
      <w:pPr>
        <w:pStyle w:val="ListParagraph"/>
        <w:numPr>
          <w:ilvl w:val="0"/>
          <w:numId w:val="30"/>
        </w:numPr>
      </w:pPr>
      <w:r>
        <w:t>Work Packs</w:t>
      </w:r>
    </w:p>
    <w:p w14:paraId="29F11945" w14:textId="2D204AEE" w:rsidR="00231EA5" w:rsidRDefault="00231EA5" w:rsidP="00231EA5">
      <w:pPr>
        <w:pStyle w:val="ListParagraph"/>
        <w:numPr>
          <w:ilvl w:val="1"/>
          <w:numId w:val="30"/>
        </w:numPr>
      </w:pPr>
      <w:r>
        <w:t>Job Cards</w:t>
      </w:r>
    </w:p>
    <w:p w14:paraId="6E372FE3" w14:textId="4AE75D4F" w:rsidR="00231EA5" w:rsidRDefault="00231EA5" w:rsidP="00231EA5">
      <w:pPr>
        <w:pStyle w:val="ListParagraph"/>
        <w:numPr>
          <w:ilvl w:val="2"/>
          <w:numId w:val="30"/>
        </w:numPr>
      </w:pPr>
      <w:r>
        <w:t>Operations</w:t>
      </w:r>
    </w:p>
    <w:p w14:paraId="764FCAC5" w14:textId="77777777" w:rsidR="00231EA5" w:rsidRDefault="00231EA5" w:rsidP="00231EA5">
      <w:pPr>
        <w:pStyle w:val="ListParagraph"/>
        <w:numPr>
          <w:ilvl w:val="2"/>
          <w:numId w:val="30"/>
        </w:numPr>
      </w:pPr>
      <w:r>
        <w:t>Drawings</w:t>
      </w:r>
    </w:p>
    <w:p w14:paraId="01E404C2" w14:textId="77777777" w:rsidR="00231EA5" w:rsidRDefault="00231EA5" w:rsidP="00231EA5">
      <w:pPr>
        <w:pStyle w:val="ListParagraph"/>
        <w:numPr>
          <w:ilvl w:val="2"/>
          <w:numId w:val="30"/>
        </w:numPr>
      </w:pPr>
      <w:r>
        <w:t>Tag ITRs</w:t>
      </w:r>
    </w:p>
    <w:p w14:paraId="22A088CD" w14:textId="32ADD157" w:rsidR="00231EA5" w:rsidRDefault="00231EA5" w:rsidP="00231EA5">
      <w:pPr>
        <w:pStyle w:val="ListParagraph"/>
        <w:numPr>
          <w:ilvl w:val="2"/>
          <w:numId w:val="30"/>
        </w:numPr>
      </w:pPr>
      <w:r>
        <w:t>MOC Items</w:t>
      </w:r>
    </w:p>
    <w:p w14:paraId="5144B89E" w14:textId="094917A0" w:rsidR="00CB0E93" w:rsidRDefault="00231EA5" w:rsidP="002B1D54">
      <w:r>
        <w:t>Navigating between these elements can be performed on screen.</w:t>
      </w:r>
    </w:p>
    <w:p w14:paraId="541C0155" w14:textId="77777777" w:rsidR="00CB0E93" w:rsidRDefault="00CB0E93">
      <w:pPr>
        <w:spacing w:after="0" w:line="240" w:lineRule="auto"/>
        <w:jc w:val="left"/>
      </w:pPr>
      <w:r>
        <w:br w:type="page"/>
      </w:r>
    </w:p>
    <w:p w14:paraId="344722B9" w14:textId="67689C78" w:rsidR="00081FA5" w:rsidRDefault="004B27A3" w:rsidP="00886982">
      <w:pPr>
        <w:pStyle w:val="Heading2"/>
      </w:pPr>
      <w:r>
        <w:lastRenderedPageBreak/>
        <w:t>As Built Drawing Changes</w:t>
      </w:r>
    </w:p>
    <w:p w14:paraId="337F75B3" w14:textId="498A3690" w:rsidR="00E45EFE" w:rsidRPr="004B27A3" w:rsidRDefault="004B27A3" w:rsidP="00E45EFE">
      <w:r>
        <w:rPr>
          <w:b/>
        </w:rPr>
        <w:t>For more detail see Section 25.2.3 As Built Drawing View &amp; Section 25.3.3 As Built Drawing Entity</w:t>
      </w:r>
      <w:r>
        <w:t xml:space="preserve"> </w:t>
      </w:r>
      <w:r w:rsidR="00E45EFE">
        <w:rPr>
          <w:b/>
        </w:rPr>
        <w:t>of the Functional Specification</w:t>
      </w:r>
    </w:p>
    <w:p w14:paraId="120505E6" w14:textId="37824DA7" w:rsidR="008559EC" w:rsidRDefault="00C65C5B" w:rsidP="00C65C5B">
      <w:pPr>
        <w:jc w:val="center"/>
      </w:pPr>
      <w:r w:rsidRPr="00C65C5B">
        <w:rPr>
          <w:noProof/>
        </w:rPr>
        <w:drawing>
          <wp:inline distT="0" distB="0" distL="0" distR="0" wp14:anchorId="1CE9D563" wp14:editId="7113708C">
            <wp:extent cx="5737594" cy="2303253"/>
            <wp:effectExtent l="19050" t="19050" r="15875"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881" cy="2313002"/>
                    </a:xfrm>
                    <a:prstGeom prst="rect">
                      <a:avLst/>
                    </a:prstGeom>
                    <a:ln>
                      <a:solidFill>
                        <a:schemeClr val="accent1"/>
                      </a:solidFill>
                    </a:ln>
                  </pic:spPr>
                </pic:pic>
              </a:graphicData>
            </a:graphic>
          </wp:inline>
        </w:drawing>
      </w:r>
    </w:p>
    <w:p w14:paraId="7C6FA00C" w14:textId="32190E80" w:rsidR="008559EC" w:rsidRPr="008559EC" w:rsidRDefault="008559EC" w:rsidP="008559EC">
      <w:pPr>
        <w:pStyle w:val="Figure"/>
      </w:pPr>
      <w:r>
        <w:t xml:space="preserve">Screenshot of the </w:t>
      </w:r>
      <w:r w:rsidR="004B27A3">
        <w:t>As Built Drawing View Page</w:t>
      </w:r>
    </w:p>
    <w:p w14:paraId="718EEDB0" w14:textId="79C82EDE" w:rsidR="004B27A3" w:rsidRDefault="004B27A3" w:rsidP="004B27A3">
      <w:r>
        <w:t xml:space="preserve">Primary </w:t>
      </w:r>
      <w:r w:rsidR="00231EA5">
        <w:t xml:space="preserve">Handovers </w:t>
      </w:r>
      <w:r>
        <w:t xml:space="preserve">Secondary Handover </w:t>
      </w:r>
      <w:r w:rsidR="00231EA5">
        <w:t xml:space="preserve">and </w:t>
      </w:r>
      <w:r>
        <w:t>Discipline</w:t>
      </w:r>
      <w:r w:rsidR="00231EA5">
        <w:t xml:space="preserve"> are no longer required</w:t>
      </w:r>
      <w:r>
        <w:t xml:space="preserve"> to add a</w:t>
      </w:r>
      <w:r w:rsidR="00886C02">
        <w:t>n</w:t>
      </w:r>
      <w:r w:rsidR="00231EA5">
        <w:t xml:space="preserve"> As</w:t>
      </w:r>
      <w:r>
        <w:t xml:space="preserve"> Built Drawing</w:t>
      </w:r>
      <w:r w:rsidR="00231EA5">
        <w:t>.</w:t>
      </w:r>
      <w:r>
        <w:t xml:space="preserve"> </w:t>
      </w:r>
    </w:p>
    <w:p w14:paraId="13416297" w14:textId="2640C440" w:rsidR="004B27A3" w:rsidRDefault="004B27A3" w:rsidP="004B27A3">
      <w:r>
        <w:t xml:space="preserve">In </w:t>
      </w:r>
      <w:r w:rsidR="00A83BFA">
        <w:t>addition,</w:t>
      </w:r>
      <w:r>
        <w:t xml:space="preserve"> Attachments can now be added to an As Built Drawing, with the Attachment Grid now available on the As Built Drawing View page.</w:t>
      </w:r>
    </w:p>
    <w:p w14:paraId="460494FA" w14:textId="78242CE5" w:rsidR="00CB5687" w:rsidRDefault="004B27A3" w:rsidP="00081FA5">
      <w:r>
        <w:t>The API has also been updated to reflect the changes to As Built Drawings and allow the Attachments to be uploaded.</w:t>
      </w:r>
    </w:p>
    <w:p w14:paraId="5406A262" w14:textId="7CB8D307" w:rsidR="00974879" w:rsidRDefault="004B27A3" w:rsidP="00886982">
      <w:pPr>
        <w:pStyle w:val="Heading2"/>
      </w:pPr>
      <w:r>
        <w:t xml:space="preserve">Custom Field </w:t>
      </w:r>
      <w:r w:rsidR="000D4EAA">
        <w:t>Order</w:t>
      </w:r>
    </w:p>
    <w:p w14:paraId="41C0C908" w14:textId="217E7A52" w:rsidR="00E45EFE" w:rsidRPr="004B27A3" w:rsidRDefault="004B27A3" w:rsidP="00E45EFE">
      <w:r>
        <w:rPr>
          <w:b/>
        </w:rPr>
        <w:t xml:space="preserve">For more detail see Section 46.2.1.3 Custom Fields Reorder Page of </w:t>
      </w:r>
      <w:r w:rsidR="00E45EFE">
        <w:rPr>
          <w:b/>
        </w:rPr>
        <w:t>the Functional Specification</w:t>
      </w:r>
    </w:p>
    <w:p w14:paraId="39DC4090" w14:textId="7E2E5BFA" w:rsidR="00E45EFE" w:rsidRDefault="00CB5687" w:rsidP="00E45EFE">
      <w:pPr>
        <w:jc w:val="center"/>
      </w:pPr>
      <w:r w:rsidRPr="00CB5687">
        <w:rPr>
          <w:noProof/>
        </w:rPr>
        <w:drawing>
          <wp:inline distT="0" distB="0" distL="0" distR="0" wp14:anchorId="538B8306" wp14:editId="5BCE6CE5">
            <wp:extent cx="5177155" cy="2066994"/>
            <wp:effectExtent l="19050" t="19050" r="2349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2978" cy="2073311"/>
                    </a:xfrm>
                    <a:prstGeom prst="rect">
                      <a:avLst/>
                    </a:prstGeom>
                    <a:ln>
                      <a:solidFill>
                        <a:schemeClr val="accent1"/>
                      </a:solidFill>
                    </a:ln>
                  </pic:spPr>
                </pic:pic>
              </a:graphicData>
            </a:graphic>
          </wp:inline>
        </w:drawing>
      </w:r>
    </w:p>
    <w:p w14:paraId="2694D918" w14:textId="26AB9F54" w:rsidR="00E45EFE" w:rsidRPr="00E45EFE" w:rsidRDefault="00E45EFE" w:rsidP="00E45EFE">
      <w:pPr>
        <w:pStyle w:val="Figure"/>
      </w:pPr>
      <w:r>
        <w:t xml:space="preserve">Screenshot of </w:t>
      </w:r>
      <w:r w:rsidR="004B27A3">
        <w:t>the Reorder Custom Fields page</w:t>
      </w:r>
    </w:p>
    <w:p w14:paraId="678B5A8A" w14:textId="10A6EC6E" w:rsidR="004B27A3" w:rsidRDefault="004B27A3" w:rsidP="004B27A3">
      <w:r>
        <w:t xml:space="preserve">It is now possible to change </w:t>
      </w:r>
      <w:r w:rsidR="00231EA5">
        <w:t>which order</w:t>
      </w:r>
      <w:r>
        <w:t xml:space="preserve"> Custom Fields</w:t>
      </w:r>
      <w:r w:rsidR="00231EA5">
        <w:t xml:space="preserve"> appear, relative to each other,</w:t>
      </w:r>
      <w:r>
        <w:t xml:space="preserve"> </w:t>
      </w:r>
      <w:r w:rsidR="00231EA5">
        <w:t>within any page they appear on.</w:t>
      </w:r>
    </w:p>
    <w:p w14:paraId="63C2E233" w14:textId="3924BD06" w:rsidR="00B4205E" w:rsidRDefault="004B27A3" w:rsidP="00CB0E93">
      <w:r w:rsidRPr="002B1D54">
        <w:rPr>
          <w:b/>
        </w:rPr>
        <w:t xml:space="preserve">NOTE: </w:t>
      </w:r>
      <w:r w:rsidR="00231EA5" w:rsidRPr="002B1D54">
        <w:rPr>
          <w:b/>
        </w:rPr>
        <w:t>I</w:t>
      </w:r>
      <w:r w:rsidRPr="002B1D54">
        <w:rPr>
          <w:b/>
        </w:rPr>
        <w:t xml:space="preserve">t is currently not possible to order Custom </w:t>
      </w:r>
      <w:r w:rsidR="00231EA5" w:rsidRPr="00231EA5">
        <w:rPr>
          <w:b/>
        </w:rPr>
        <w:t>Fields,</w:t>
      </w:r>
      <w:r w:rsidRPr="002B1D54">
        <w:rPr>
          <w:b/>
        </w:rPr>
        <w:t xml:space="preserve"> so they appear above or between standard pre-set fields.</w:t>
      </w:r>
      <w:r w:rsidR="00B4205E">
        <w:br w:type="page"/>
      </w:r>
    </w:p>
    <w:p w14:paraId="6DA0219A" w14:textId="380E4D8F" w:rsidR="00EC6925" w:rsidRDefault="004B27A3" w:rsidP="00886982">
      <w:pPr>
        <w:pStyle w:val="Heading2"/>
      </w:pPr>
      <w:r>
        <w:lastRenderedPageBreak/>
        <w:t>Project Features</w:t>
      </w:r>
    </w:p>
    <w:p w14:paraId="56AA9E9D" w14:textId="4A2EB5F8" w:rsidR="004B27A3" w:rsidRPr="00674EE9" w:rsidRDefault="004B27A3" w:rsidP="004B27A3">
      <w:pPr>
        <w:rPr>
          <w:b/>
        </w:rPr>
      </w:pPr>
      <w:r>
        <w:rPr>
          <w:b/>
        </w:rPr>
        <w:t>For more detail see the Section 40.2.3 Level C Admin and Section 40.2.6 Level E Admin of the Functional Specification</w:t>
      </w:r>
    </w:p>
    <w:p w14:paraId="1B128657" w14:textId="77777777" w:rsidR="004B27A3" w:rsidRDefault="004B27A3" w:rsidP="004B27A3">
      <w:r>
        <w:t>It is now possible to turn certain features of hub2 off if they are not required.</w:t>
      </w:r>
    </w:p>
    <w:p w14:paraId="30B86AC8" w14:textId="77777777" w:rsidR="004B27A3" w:rsidRDefault="004B27A3" w:rsidP="004B27A3">
      <w:pPr>
        <w:pStyle w:val="ListParagraph"/>
        <w:numPr>
          <w:ilvl w:val="0"/>
          <w:numId w:val="41"/>
        </w:numPr>
      </w:pPr>
      <w:r>
        <w:t>Certification Grouping</w:t>
      </w:r>
    </w:p>
    <w:p w14:paraId="2DE556D2" w14:textId="77777777" w:rsidR="004B27A3" w:rsidRDefault="004B27A3" w:rsidP="004B27A3">
      <w:pPr>
        <w:pStyle w:val="ListParagraph"/>
        <w:numPr>
          <w:ilvl w:val="0"/>
          <w:numId w:val="41"/>
        </w:numPr>
      </w:pPr>
      <w:r>
        <w:t>Primary and Secondary Handovers</w:t>
      </w:r>
    </w:p>
    <w:p w14:paraId="524079CC" w14:textId="77777777" w:rsidR="004B27A3" w:rsidRDefault="004B27A3" w:rsidP="004B27A3">
      <w:pPr>
        <w:pStyle w:val="ListParagraph"/>
        <w:numPr>
          <w:ilvl w:val="0"/>
          <w:numId w:val="41"/>
        </w:numPr>
      </w:pPr>
      <w:r>
        <w:t>Materials</w:t>
      </w:r>
    </w:p>
    <w:p w14:paraId="0E8D7A34" w14:textId="77777777" w:rsidR="004B27A3" w:rsidRDefault="004B27A3" w:rsidP="004B27A3">
      <w:pPr>
        <w:pStyle w:val="ListParagraph"/>
        <w:numPr>
          <w:ilvl w:val="0"/>
          <w:numId w:val="41"/>
        </w:numPr>
      </w:pPr>
      <w:r>
        <w:t>Preservation</w:t>
      </w:r>
    </w:p>
    <w:p w14:paraId="6495D05D" w14:textId="77777777" w:rsidR="004B27A3" w:rsidRDefault="004B27A3" w:rsidP="004B27A3">
      <w:pPr>
        <w:pStyle w:val="ListParagraph"/>
        <w:numPr>
          <w:ilvl w:val="0"/>
          <w:numId w:val="41"/>
        </w:numPr>
      </w:pPr>
      <w:r>
        <w:t>Procedures</w:t>
      </w:r>
    </w:p>
    <w:p w14:paraId="74133032" w14:textId="73D66D77" w:rsidR="00886982" w:rsidRDefault="004B27A3" w:rsidP="00EC6925">
      <w:r>
        <w:t xml:space="preserve">For all existing Projects these features will remain enabled.  To disable these features please contact </w:t>
      </w:r>
      <w:hyperlink r:id="rId16" w:history="1">
        <w:r w:rsidR="000D4EAA" w:rsidRPr="00441567">
          <w:rPr>
            <w:rStyle w:val="Hyperlink"/>
          </w:rPr>
          <w:t>GoTechnology.Support@woodplc.com</w:t>
        </w:r>
      </w:hyperlink>
      <w:r>
        <w:t xml:space="preserve"> </w:t>
      </w:r>
    </w:p>
    <w:p w14:paraId="043255B6" w14:textId="77777777" w:rsidR="00CB5687" w:rsidRDefault="00CB5687" w:rsidP="00EC6925"/>
    <w:p w14:paraId="3D9B870F" w14:textId="6BB0441C" w:rsidR="00A67A30" w:rsidRDefault="000D4EAA" w:rsidP="00886982">
      <w:pPr>
        <w:pStyle w:val="Heading2"/>
      </w:pPr>
      <w:r>
        <w:t>Job Card Sign Off</w:t>
      </w:r>
    </w:p>
    <w:p w14:paraId="129918E7" w14:textId="4B102FBA" w:rsidR="00A67A30" w:rsidRPr="00E45EFE" w:rsidRDefault="000D4EAA" w:rsidP="00A67A30">
      <w:pPr>
        <w:rPr>
          <w:b/>
        </w:rPr>
      </w:pPr>
      <w:r>
        <w:rPr>
          <w:b/>
        </w:rPr>
        <w:t xml:space="preserve">For more detail see Section 42.2.2.2 – Job Card View </w:t>
      </w:r>
      <w:r w:rsidR="00A67A30">
        <w:rPr>
          <w:b/>
        </w:rPr>
        <w:t>of the Functional Specification</w:t>
      </w:r>
    </w:p>
    <w:p w14:paraId="0B43CD99" w14:textId="55A18E56" w:rsidR="00A67A30" w:rsidRDefault="000D4EAA" w:rsidP="00A67A30">
      <w:pPr>
        <w:jc w:val="center"/>
      </w:pPr>
      <w:r w:rsidRPr="000D4EAA">
        <w:rPr>
          <w:noProof/>
        </w:rPr>
        <w:drawing>
          <wp:inline distT="0" distB="0" distL="0" distR="0" wp14:anchorId="31DE4AD7" wp14:editId="3108A44F">
            <wp:extent cx="6120130" cy="2809240"/>
            <wp:effectExtent l="19050" t="19050" r="1397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809240"/>
                    </a:xfrm>
                    <a:prstGeom prst="rect">
                      <a:avLst/>
                    </a:prstGeom>
                    <a:ln>
                      <a:solidFill>
                        <a:schemeClr val="accent1"/>
                      </a:solidFill>
                    </a:ln>
                  </pic:spPr>
                </pic:pic>
              </a:graphicData>
            </a:graphic>
          </wp:inline>
        </w:drawing>
      </w:r>
    </w:p>
    <w:p w14:paraId="4333223A" w14:textId="7F16FA11" w:rsidR="00A67A30" w:rsidRDefault="00A67A30" w:rsidP="00A67A30">
      <w:pPr>
        <w:pStyle w:val="Figure"/>
      </w:pPr>
      <w:r>
        <w:t>Screenshot of the</w:t>
      </w:r>
      <w:r w:rsidR="000D4EAA">
        <w:t xml:space="preserve"> Job Card View page with the Sign Off Fields Highlighted</w:t>
      </w:r>
    </w:p>
    <w:p w14:paraId="293141FA" w14:textId="0D00F274" w:rsidR="000D4EAA" w:rsidRDefault="000D4EAA" w:rsidP="000D4EAA">
      <w:r>
        <w:t xml:space="preserve">The Sign Off Panels that appear in various section of hub2 </w:t>
      </w:r>
      <w:r w:rsidR="00F26493">
        <w:t>e.g</w:t>
      </w:r>
      <w:r>
        <w:t>. Tag ITR View Page</w:t>
      </w:r>
      <w:r w:rsidR="00F73FD3">
        <w:t xml:space="preserve"> and</w:t>
      </w:r>
      <w:r>
        <w:t xml:space="preserve"> Tag PWL View Page are now available on the Job Card View page.  These allow users to be given specific permission to only be able to sign off Job Card</w:t>
      </w:r>
      <w:r w:rsidR="00F73FD3">
        <w:t>s</w:t>
      </w:r>
      <w:r>
        <w:t>.</w:t>
      </w:r>
    </w:p>
    <w:p w14:paraId="23EA36E7" w14:textId="2F403030" w:rsidR="000D4EAA" w:rsidRDefault="000D4EAA" w:rsidP="000D4EAA">
      <w:pPr>
        <w:pStyle w:val="Heading2"/>
        <w:numPr>
          <w:ilvl w:val="1"/>
          <w:numId w:val="2"/>
        </w:numPr>
      </w:pPr>
      <w:r>
        <w:lastRenderedPageBreak/>
        <w:t>Tag ITR View from Job Cards</w:t>
      </w:r>
    </w:p>
    <w:p w14:paraId="4C856373" w14:textId="51EA4872" w:rsidR="000D4EAA" w:rsidRDefault="000D4EAA" w:rsidP="000D4EAA">
      <w:r w:rsidRPr="000D4EAA">
        <w:rPr>
          <w:noProof/>
        </w:rPr>
        <w:drawing>
          <wp:inline distT="0" distB="0" distL="0" distR="0" wp14:anchorId="571431EC" wp14:editId="565BDEBD">
            <wp:extent cx="6120130" cy="3102610"/>
            <wp:effectExtent l="19050" t="19050" r="1397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102610"/>
                    </a:xfrm>
                    <a:prstGeom prst="rect">
                      <a:avLst/>
                    </a:prstGeom>
                    <a:ln>
                      <a:solidFill>
                        <a:schemeClr val="accent1"/>
                      </a:solidFill>
                    </a:ln>
                  </pic:spPr>
                </pic:pic>
              </a:graphicData>
            </a:graphic>
          </wp:inline>
        </w:drawing>
      </w:r>
    </w:p>
    <w:p w14:paraId="23EA0D84" w14:textId="2DC5307B" w:rsidR="000D4EAA" w:rsidRDefault="000D4EAA" w:rsidP="000D4EAA">
      <w:pPr>
        <w:pStyle w:val="Figure"/>
      </w:pPr>
      <w:r>
        <w:t>Screenshot of the Tag ITR Grid from the Job Card View page</w:t>
      </w:r>
    </w:p>
    <w:p w14:paraId="58273963" w14:textId="531B152D" w:rsidR="000D4EAA" w:rsidRPr="000D4EAA" w:rsidRDefault="000D4EAA" w:rsidP="000D4EAA">
      <w:r>
        <w:t xml:space="preserve">A new grid has been added to the Job Card View page that lists all </w:t>
      </w:r>
      <w:r w:rsidR="00231EA5">
        <w:t xml:space="preserve">associated </w:t>
      </w:r>
      <w:r>
        <w:t>Tag ITRs</w:t>
      </w:r>
      <w:r w:rsidR="00231EA5">
        <w:t>.</w:t>
      </w:r>
    </w:p>
    <w:p w14:paraId="01B81E0E" w14:textId="3CC80CCB" w:rsidR="00A67A30" w:rsidRDefault="00A67A30">
      <w:pPr>
        <w:spacing w:after="0" w:line="240" w:lineRule="auto"/>
        <w:jc w:val="left"/>
        <w:rPr>
          <w:rFonts w:eastAsia="Times New Roman"/>
          <w:b/>
          <w:bCs/>
          <w:color w:val="002D62"/>
          <w:sz w:val="24"/>
          <w:szCs w:val="26"/>
        </w:rPr>
      </w:pPr>
    </w:p>
    <w:p w14:paraId="4F1BF3F9" w14:textId="033D66CF" w:rsidR="00081FA5" w:rsidRDefault="000D4EAA" w:rsidP="00886982">
      <w:pPr>
        <w:pStyle w:val="Heading2"/>
      </w:pPr>
      <w:r>
        <w:t>Visual Indication of Weightings</w:t>
      </w:r>
    </w:p>
    <w:p w14:paraId="692A8A58" w14:textId="165FE093" w:rsidR="00E45EFE" w:rsidRPr="00E45EFE" w:rsidRDefault="00E45EFE" w:rsidP="00E45EFE">
      <w:pPr>
        <w:rPr>
          <w:b/>
        </w:rPr>
      </w:pPr>
      <w:r>
        <w:rPr>
          <w:b/>
        </w:rPr>
        <w:t xml:space="preserve">For more details see Section </w:t>
      </w:r>
      <w:r w:rsidR="000D4EAA">
        <w:rPr>
          <w:b/>
        </w:rPr>
        <w:t>42.2.2.2 – Job Card View</w:t>
      </w:r>
      <w:r>
        <w:rPr>
          <w:b/>
        </w:rPr>
        <w:t xml:space="preserve"> of the Functional Specification</w:t>
      </w:r>
    </w:p>
    <w:p w14:paraId="1CCE6D90" w14:textId="6203DD1F" w:rsidR="00E45EFE" w:rsidRDefault="00CB5687" w:rsidP="00E45EFE">
      <w:pPr>
        <w:jc w:val="center"/>
      </w:pPr>
      <w:r w:rsidRPr="00CB5687">
        <w:rPr>
          <w:noProof/>
        </w:rPr>
        <w:drawing>
          <wp:inline distT="0" distB="0" distL="0" distR="0" wp14:anchorId="4946D177" wp14:editId="2A694B0D">
            <wp:extent cx="6120130" cy="162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625600"/>
                    </a:xfrm>
                    <a:prstGeom prst="rect">
                      <a:avLst/>
                    </a:prstGeom>
                  </pic:spPr>
                </pic:pic>
              </a:graphicData>
            </a:graphic>
          </wp:inline>
        </w:drawing>
      </w:r>
    </w:p>
    <w:p w14:paraId="6B6397AC" w14:textId="014780E7" w:rsidR="00E45EFE" w:rsidRDefault="00E45EFE" w:rsidP="00E45EFE">
      <w:pPr>
        <w:pStyle w:val="Figure"/>
      </w:pPr>
      <w:r>
        <w:t>Screenshot of the</w:t>
      </w:r>
      <w:r w:rsidR="000D4EAA">
        <w:t xml:space="preserve"> Job Card view page with </w:t>
      </w:r>
      <w:r w:rsidR="00CB5687">
        <w:t>the Weighting Visual Indication</w:t>
      </w:r>
    </w:p>
    <w:p w14:paraId="03C1E3E0" w14:textId="510851EA" w:rsidR="000D4EAA" w:rsidRDefault="000D4EAA" w:rsidP="000D4EAA">
      <w:r>
        <w:t>The Operations Grid on the Job Card View page has been updated so that the Weighting of the Operation is now shown as a bar cha</w:t>
      </w:r>
      <w:r w:rsidR="00231EA5">
        <w:t>rt for greater visibility on where the highest amount of progress can be made.</w:t>
      </w:r>
    </w:p>
    <w:p w14:paraId="30F9924D" w14:textId="77777777" w:rsidR="00CB5687" w:rsidRDefault="00CB5687" w:rsidP="000D4EAA"/>
    <w:p w14:paraId="5F3D618A" w14:textId="77777777" w:rsidR="00C65C5B" w:rsidRDefault="00C65C5B">
      <w:pPr>
        <w:spacing w:after="0" w:line="240" w:lineRule="auto"/>
        <w:jc w:val="left"/>
        <w:rPr>
          <w:rFonts w:eastAsia="Times New Roman"/>
          <w:b/>
          <w:snapToGrid w:val="0"/>
          <w:color w:val="884C91"/>
          <w:sz w:val="24"/>
          <w:szCs w:val="24"/>
        </w:rPr>
      </w:pPr>
      <w:r>
        <w:br w:type="page"/>
      </w:r>
    </w:p>
    <w:p w14:paraId="71880CDC" w14:textId="1EDB544A" w:rsidR="000D4EAA" w:rsidRDefault="000D4EAA" w:rsidP="000D4EAA">
      <w:pPr>
        <w:pStyle w:val="Heading2"/>
      </w:pPr>
      <w:r>
        <w:lastRenderedPageBreak/>
        <w:t>Tag ITR Search For Attachments</w:t>
      </w:r>
    </w:p>
    <w:p w14:paraId="0CFC0BE0" w14:textId="7C5FC120" w:rsidR="000D4EAA" w:rsidRDefault="000D4EAA" w:rsidP="000D4EAA">
      <w:r>
        <w:t>It is now possible to search for Tag ITRs that have one or more attachments, the Total count of Attachments on a Tag ITR has also been added to the Tag ITR Search Results.</w:t>
      </w:r>
    </w:p>
    <w:p w14:paraId="0080EEB7" w14:textId="0CCC9EF0" w:rsidR="00CB5687" w:rsidRPr="00C354F5" w:rsidRDefault="00CB5687" w:rsidP="000D4EAA">
      <w:r w:rsidRPr="00CB5687">
        <w:rPr>
          <w:noProof/>
        </w:rPr>
        <w:drawing>
          <wp:inline distT="0" distB="0" distL="0" distR="0" wp14:anchorId="20FA2233" wp14:editId="33126CFE">
            <wp:extent cx="6120130" cy="1818005"/>
            <wp:effectExtent l="19050" t="19050" r="1397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818005"/>
                    </a:xfrm>
                    <a:prstGeom prst="rect">
                      <a:avLst/>
                    </a:prstGeom>
                    <a:ln>
                      <a:solidFill>
                        <a:schemeClr val="accent1"/>
                      </a:solidFill>
                    </a:ln>
                  </pic:spPr>
                </pic:pic>
              </a:graphicData>
            </a:graphic>
          </wp:inline>
        </w:drawing>
      </w:r>
    </w:p>
    <w:p w14:paraId="2484551C" w14:textId="418EEA6B" w:rsidR="000D4EAA" w:rsidRDefault="00CB5687" w:rsidP="00CB5687">
      <w:pPr>
        <w:pStyle w:val="Figure"/>
      </w:pPr>
      <w:r>
        <w:t>Screenshot of a Sub Section of the Tag ITR Search Filters with Has Attachment Highlighted</w:t>
      </w:r>
    </w:p>
    <w:p w14:paraId="1A956D1F" w14:textId="77777777" w:rsidR="000D4EAA" w:rsidRDefault="000D4EAA" w:rsidP="00974879"/>
    <w:p w14:paraId="2C5FAF73" w14:textId="77777777" w:rsidR="00CB5687" w:rsidRDefault="000D4EAA" w:rsidP="00886982">
      <w:pPr>
        <w:pStyle w:val="Heading2"/>
      </w:pPr>
      <w:r>
        <w:t>Wood Branding</w:t>
      </w:r>
    </w:p>
    <w:p w14:paraId="0B44E7B5" w14:textId="6DDAA697" w:rsidR="00081FA5" w:rsidRDefault="00CB5687" w:rsidP="00CB5687">
      <w:r w:rsidRPr="00CB5687">
        <w:rPr>
          <w:noProof/>
        </w:rPr>
        <w:drawing>
          <wp:inline distT="0" distB="0" distL="0" distR="0" wp14:anchorId="7149B7BC" wp14:editId="2557969A">
            <wp:extent cx="6120130" cy="2266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26695"/>
                    </a:xfrm>
                    <a:prstGeom prst="rect">
                      <a:avLst/>
                    </a:prstGeom>
                  </pic:spPr>
                </pic:pic>
              </a:graphicData>
            </a:graphic>
          </wp:inline>
        </w:drawing>
      </w:r>
    </w:p>
    <w:p w14:paraId="7835EA8F" w14:textId="0A71FA69" w:rsidR="00CB5687" w:rsidRDefault="00CB5687" w:rsidP="00CB5687">
      <w:pPr>
        <w:pStyle w:val="Figure"/>
      </w:pPr>
      <w:r>
        <w:t>Screenshot of the Menu Bar with Wood logo in top left corner</w:t>
      </w:r>
    </w:p>
    <w:p w14:paraId="2F50DE88" w14:textId="00964E54" w:rsidR="000D4EAA" w:rsidRDefault="000D4EAA" w:rsidP="000D4EAA">
      <w:r>
        <w:t>The Menu Bar has been changed to include the Wood logo on the top left corner and the</w:t>
      </w:r>
      <w:r w:rsidR="00CB5687" w:rsidRPr="00CB5687">
        <w:rPr>
          <w:noProof/>
        </w:rPr>
        <w:t xml:space="preserve"> </w:t>
      </w:r>
      <w:r>
        <w:t>3 Wood dots have been added to the loading bars and the footer</w:t>
      </w:r>
      <w:r w:rsidR="00434BFD">
        <w:t>.</w:t>
      </w:r>
    </w:p>
    <w:bookmarkEnd w:id="2"/>
    <w:bookmarkEnd w:id="3"/>
    <w:bookmarkEnd w:id="4"/>
    <w:bookmarkEnd w:id="5"/>
    <w:bookmarkEnd w:id="6"/>
    <w:bookmarkEnd w:id="7"/>
    <w:bookmarkEnd w:id="8"/>
    <w:bookmarkEnd w:id="9"/>
    <w:bookmarkEnd w:id="10"/>
    <w:bookmarkEnd w:id="11"/>
    <w:bookmarkEnd w:id="12"/>
    <w:bookmarkEnd w:id="13"/>
    <w:bookmarkEnd w:id="20"/>
    <w:bookmarkEnd w:id="21"/>
    <w:p w14:paraId="11BE32C0" w14:textId="2E388C55" w:rsidR="0050597C" w:rsidRDefault="0050597C" w:rsidP="00EC6925"/>
    <w:p w14:paraId="6403C0B8" w14:textId="77777777" w:rsidR="0050597C" w:rsidRPr="0050597C" w:rsidRDefault="0050597C" w:rsidP="0050597C"/>
    <w:p w14:paraId="09B48C05" w14:textId="77777777" w:rsidR="0050597C" w:rsidRPr="0050597C" w:rsidRDefault="0050597C" w:rsidP="0050597C"/>
    <w:p w14:paraId="4AF44FE3" w14:textId="77777777" w:rsidR="0050597C" w:rsidRPr="0050597C" w:rsidRDefault="0050597C" w:rsidP="0050597C"/>
    <w:p w14:paraId="16E249E9" w14:textId="77777777" w:rsidR="0050597C" w:rsidRPr="0050597C" w:rsidRDefault="0050597C" w:rsidP="0050597C"/>
    <w:p w14:paraId="0D4AD7F4" w14:textId="77777777" w:rsidR="0050597C" w:rsidRPr="0050597C" w:rsidRDefault="0050597C" w:rsidP="0050597C"/>
    <w:p w14:paraId="63FA7CAB" w14:textId="77777777" w:rsidR="0050597C" w:rsidRPr="0050597C" w:rsidRDefault="0050597C" w:rsidP="0050597C"/>
    <w:p w14:paraId="219BDA02" w14:textId="77777777" w:rsidR="0050597C" w:rsidRPr="0050597C" w:rsidRDefault="0050597C" w:rsidP="0050597C"/>
    <w:p w14:paraId="784B6D78" w14:textId="77777777" w:rsidR="0050597C" w:rsidRPr="0050597C" w:rsidRDefault="0050597C" w:rsidP="0050597C"/>
    <w:p w14:paraId="053A9E08" w14:textId="77777777" w:rsidR="0050597C" w:rsidRPr="0050597C" w:rsidRDefault="0050597C" w:rsidP="0050597C"/>
    <w:p w14:paraId="4A6C5D37" w14:textId="34CD4C9C" w:rsidR="0050597C" w:rsidRDefault="0050597C" w:rsidP="0050597C"/>
    <w:p w14:paraId="4300C862" w14:textId="10142BA3" w:rsidR="00974879" w:rsidRPr="0050597C" w:rsidRDefault="0050597C" w:rsidP="0050597C">
      <w:pPr>
        <w:tabs>
          <w:tab w:val="left" w:pos="7665"/>
        </w:tabs>
      </w:pPr>
      <w:r>
        <w:tab/>
      </w:r>
    </w:p>
    <w:sectPr w:rsidR="00974879" w:rsidRPr="0050597C" w:rsidSect="00B4205E">
      <w:headerReference w:type="default" r:id="rId22"/>
      <w:footerReference w:type="default" r:id="rId23"/>
      <w:headerReference w:type="first" r:id="rId2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36A35" w14:textId="77777777" w:rsidR="00074576" w:rsidRDefault="00074576" w:rsidP="00DE3F25">
      <w:pPr>
        <w:spacing w:after="0" w:line="240" w:lineRule="auto"/>
      </w:pPr>
      <w:r>
        <w:separator/>
      </w:r>
    </w:p>
  </w:endnote>
  <w:endnote w:type="continuationSeparator" w:id="0">
    <w:p w14:paraId="081E0C35" w14:textId="77777777" w:rsidR="00074576" w:rsidRDefault="00074576" w:rsidP="00DE3F25">
      <w:pPr>
        <w:spacing w:after="0" w:line="240" w:lineRule="auto"/>
      </w:pPr>
      <w:r>
        <w:continuationSeparator/>
      </w:r>
    </w:p>
  </w:endnote>
  <w:endnote w:type="continuationNotice" w:id="1">
    <w:p w14:paraId="04D59336" w14:textId="77777777" w:rsidR="00074576" w:rsidRDefault="00074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EA1AE" w14:textId="77777777" w:rsidR="00074576" w:rsidRDefault="00074576" w:rsidP="00DE3F25">
      <w:pPr>
        <w:spacing w:after="0" w:line="240" w:lineRule="auto"/>
      </w:pPr>
      <w:bookmarkStart w:id="0" w:name="_Hlk520705609"/>
      <w:bookmarkEnd w:id="0"/>
      <w:r>
        <w:separator/>
      </w:r>
    </w:p>
  </w:footnote>
  <w:footnote w:type="continuationSeparator" w:id="0">
    <w:p w14:paraId="192D8370" w14:textId="77777777" w:rsidR="00074576" w:rsidRDefault="00074576" w:rsidP="00DE3F25">
      <w:pPr>
        <w:spacing w:after="0" w:line="240" w:lineRule="auto"/>
      </w:pPr>
      <w:r>
        <w:continuationSeparator/>
      </w:r>
    </w:p>
  </w:footnote>
  <w:footnote w:type="continuationNotice" w:id="1">
    <w:p w14:paraId="749D9625" w14:textId="77777777" w:rsidR="00074576" w:rsidRDefault="000745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D3EF7"/>
    <w:multiLevelType w:val="hybridMultilevel"/>
    <w:tmpl w:val="7FC05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77C4E"/>
    <w:multiLevelType w:val="hybridMultilevel"/>
    <w:tmpl w:val="84CC0050"/>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4"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23"/>
  </w:num>
  <w:num w:numId="4">
    <w:abstractNumId w:val="29"/>
  </w:num>
  <w:num w:numId="5">
    <w:abstractNumId w:val="6"/>
  </w:num>
  <w:num w:numId="6">
    <w:abstractNumId w:val="17"/>
  </w:num>
  <w:num w:numId="7">
    <w:abstractNumId w:val="22"/>
  </w:num>
  <w:num w:numId="8">
    <w:abstractNumId w:val="10"/>
  </w:num>
  <w:num w:numId="9">
    <w:abstractNumId w:val="28"/>
  </w:num>
  <w:num w:numId="10">
    <w:abstractNumId w:val="0"/>
  </w:num>
  <w:num w:numId="11">
    <w:abstractNumId w:val="1"/>
  </w:num>
  <w:num w:numId="12">
    <w:abstractNumId w:val="11"/>
  </w:num>
  <w:num w:numId="13">
    <w:abstractNumId w:val="32"/>
  </w:num>
  <w:num w:numId="14">
    <w:abstractNumId w:val="2"/>
  </w:num>
  <w:num w:numId="15">
    <w:abstractNumId w:val="18"/>
  </w:num>
  <w:num w:numId="16">
    <w:abstractNumId w:val="9"/>
  </w:num>
  <w:num w:numId="17">
    <w:abstractNumId w:val="24"/>
  </w:num>
  <w:num w:numId="18">
    <w:abstractNumId w:val="14"/>
  </w:num>
  <w:num w:numId="19">
    <w:abstractNumId w:val="26"/>
  </w:num>
  <w:num w:numId="20">
    <w:abstractNumId w:val="30"/>
  </w:num>
  <w:num w:numId="21">
    <w:abstractNumId w:val="25"/>
  </w:num>
  <w:num w:numId="22">
    <w:abstractNumId w:val="19"/>
  </w:num>
  <w:num w:numId="23">
    <w:abstractNumId w:val="31"/>
  </w:num>
  <w:num w:numId="24">
    <w:abstractNumId w:val="36"/>
  </w:num>
  <w:num w:numId="25">
    <w:abstractNumId w:val="13"/>
  </w:num>
  <w:num w:numId="26">
    <w:abstractNumId w:val="20"/>
  </w:num>
  <w:num w:numId="27">
    <w:abstractNumId w:val="16"/>
  </w:num>
  <w:num w:numId="28">
    <w:abstractNumId w:val="7"/>
  </w:num>
  <w:num w:numId="29">
    <w:abstractNumId w:val="27"/>
  </w:num>
  <w:num w:numId="30">
    <w:abstractNumId w:val="3"/>
  </w:num>
  <w:num w:numId="31">
    <w:abstractNumId w:val="8"/>
  </w:num>
  <w:num w:numId="32">
    <w:abstractNumId w:val="21"/>
  </w:num>
  <w:num w:numId="33">
    <w:abstractNumId w:val="34"/>
  </w:num>
  <w:num w:numId="34">
    <w:abstractNumId w:val="33"/>
  </w:num>
  <w:num w:numId="35">
    <w:abstractNumId w:val="15"/>
  </w:num>
  <w:num w:numId="36">
    <w:abstractNumId w:val="12"/>
  </w:num>
  <w:num w:numId="37">
    <w:abstractNumId w:val="4"/>
  </w:num>
  <w:num w:numId="38">
    <w:abstractNumId w:val="3"/>
  </w:num>
  <w:num w:numId="39">
    <w:abstractNumId w:val="27"/>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1D5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BFD"/>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E8"/>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B45"/>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336D"/>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E93"/>
    <w:rsid w:val="00CB0F6F"/>
    <w:rsid w:val="00CB156C"/>
    <w:rsid w:val="00CB2649"/>
    <w:rsid w:val="00CB2B4C"/>
    <w:rsid w:val="00CB2C2F"/>
    <w:rsid w:val="00CB327F"/>
    <w:rsid w:val="00CB46A3"/>
    <w:rsid w:val="00CB4746"/>
    <w:rsid w:val="00CB4BA1"/>
    <w:rsid w:val="00CB5687"/>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48FD"/>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A5F"/>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493"/>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CB0E93"/>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CB0E93"/>
    <w:pPr>
      <w:numPr>
        <w:numId w:val="3"/>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0E93"/>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CB0E93"/>
    <w:pPr>
      <w:numPr>
        <w:numId w:val="5"/>
      </w:numPr>
      <w:spacing w:line="240" w:lineRule="auto"/>
      <w:jc w:val="center"/>
    </w:pPr>
    <w:rPr>
      <w:b/>
      <w:sz w:val="16"/>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CB0E93"/>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GoTechnology.Support@woodplc.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18794FE2-D1D9-4DED-B536-5BE6C6A8A69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sharepoint/v3/fields"/>
    <ds:schemaRef ds:uri="http://www.w3.org/XML/1998/namespace"/>
  </ds:schemaRefs>
</ds:datastoreItem>
</file>

<file path=customXml/itemProps4.xml><?xml version="1.0" encoding="utf-8"?>
<ds:datastoreItem xmlns:ds="http://schemas.openxmlformats.org/officeDocument/2006/customXml" ds:itemID="{F0DE879B-0613-4F95-88A9-3036C5B1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1056</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2019-10-25T13:29:00Z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