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4D0C7" w14:textId="78A53167" w:rsidR="00A45BBC" w:rsidRDefault="00A45BBC">
      <w:pPr>
        <w:spacing w:after="0" w:line="240" w:lineRule="auto"/>
        <w:jc w:val="left"/>
        <w:rPr>
          <w:rFonts w:eastAsia="Times New Roman"/>
          <w:b/>
          <w:bCs/>
          <w:caps/>
          <w:color w:val="FFFFFF" w:themeColor="background1"/>
          <w:sz w:val="32"/>
          <w:szCs w:val="32"/>
        </w:rPr>
      </w:pPr>
      <w:bookmarkStart w:id="1" w:name="_Toc517953893"/>
      <w:bookmarkStart w:id="2" w:name="_Toc473020538"/>
      <w:bookmarkStart w:id="3" w:name="_Toc481569848"/>
      <w:bookmarkStart w:id="4" w:name="_Toc481590169"/>
      <w:bookmarkStart w:id="5" w:name="_Toc481593731"/>
      <w:bookmarkStart w:id="6" w:name="_Toc481595067"/>
      <w:bookmarkStart w:id="7" w:name="_Toc481668975"/>
      <w:bookmarkStart w:id="8" w:name="_Toc481673137"/>
      <w:bookmarkStart w:id="9" w:name="_Toc481673834"/>
      <w:bookmarkStart w:id="10" w:name="_Toc485810586"/>
      <w:bookmarkStart w:id="11" w:name="_Toc485811591"/>
      <w:bookmarkStart w:id="12" w:name="_Toc486318195"/>
      <w:bookmarkStart w:id="13" w:name="_Toc494448423"/>
      <w:r>
        <w:rPr>
          <w:noProof/>
        </w:rPr>
        <mc:AlternateContent>
          <mc:Choice Requires="wps">
            <w:drawing>
              <wp:anchor distT="0" distB="0" distL="114300" distR="114300" simplePos="0" relativeHeight="251658240" behindDoc="0" locked="0" layoutInCell="1" allowOverlap="1" wp14:anchorId="74654742" wp14:editId="6BA679CC">
                <wp:simplePos x="0" y="0"/>
                <wp:positionH relativeFrom="margin">
                  <wp:align>left</wp:align>
                </wp:positionH>
                <wp:positionV relativeFrom="paragraph">
                  <wp:posOffset>7666990</wp:posOffset>
                </wp:positionV>
                <wp:extent cx="3254400" cy="889200"/>
                <wp:effectExtent l="0" t="0" r="0" b="6350"/>
                <wp:wrapNone/>
                <wp:docPr id="14" name="Text Box 14"/>
                <wp:cNvGraphicFramePr/>
                <a:graphic xmlns:a="http://schemas.openxmlformats.org/drawingml/2006/main">
                  <a:graphicData uri="http://schemas.microsoft.com/office/word/2010/wordprocessingShape">
                    <wps:wsp>
                      <wps:cNvSpPr txBox="1"/>
                      <wps:spPr>
                        <a:xfrm>
                          <a:off x="0" y="0"/>
                          <a:ext cx="3254400" cy="88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320FEF" w14:textId="473B4D6F" w:rsidR="00EC26DB" w:rsidRPr="00287362" w:rsidRDefault="00EC26DB" w:rsidP="00A45BBC">
                            <w:pPr>
                              <w:spacing w:line="240" w:lineRule="auto"/>
                              <w:rPr>
                                <w:rFonts w:cs="Segoe UI"/>
                                <w:b/>
                                <w:color w:val="233845" w:themeColor="text2"/>
                                <w:sz w:val="32"/>
                              </w:rPr>
                            </w:pPr>
                            <w:r>
                              <w:rPr>
                                <w:rFonts w:cs="Segoe UI"/>
                                <w:b/>
                                <w:color w:val="233845" w:themeColor="text2"/>
                                <w:sz w:val="32"/>
                              </w:rPr>
                              <w:t>GoTechnology</w:t>
                            </w:r>
                            <w:r w:rsidRPr="002B1D54">
                              <w:rPr>
                                <w:rFonts w:cs="Segoe UI"/>
                                <w:b/>
                                <w:color w:val="233845" w:themeColor="text2"/>
                                <w:sz w:val="32"/>
                                <w:vertAlign w:val="superscript"/>
                              </w:rPr>
                              <w:t>®</w:t>
                            </w:r>
                            <w:r>
                              <w:rPr>
                                <w:rFonts w:cs="Segoe UI"/>
                                <w:b/>
                                <w:color w:val="233845" w:themeColor="text2"/>
                                <w:sz w:val="32"/>
                                <w:vertAlign w:val="superscript"/>
                              </w:rPr>
                              <w:t xml:space="preserve"> </w:t>
                            </w:r>
                            <w:r>
                              <w:rPr>
                                <w:rFonts w:cs="Segoe UI"/>
                                <w:b/>
                                <w:color w:val="233845" w:themeColor="text2"/>
                                <w:sz w:val="32"/>
                              </w:rPr>
                              <w:t>hub2</w:t>
                            </w:r>
                          </w:p>
                          <w:p w14:paraId="059A4275" w14:textId="14C348A2" w:rsidR="00EC26DB" w:rsidRPr="006223EA" w:rsidRDefault="00EC26DB" w:rsidP="00A45BBC">
                            <w:pPr>
                              <w:spacing w:after="0" w:line="240" w:lineRule="auto"/>
                              <w:rPr>
                                <w:rFonts w:cs="Segoe UI"/>
                                <w:color w:val="233845" w:themeColor="text2"/>
                                <w:sz w:val="24"/>
                              </w:rPr>
                            </w:pPr>
                            <w:r>
                              <w:rPr>
                                <w:rFonts w:cs="Segoe UI"/>
                                <w:color w:val="233845" w:themeColor="text2"/>
                                <w:sz w:val="24"/>
                              </w:rPr>
                              <w:t>v1.15 Release Notes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654742" id="_x0000_t202" coordsize="21600,21600" o:spt="202" path="m,l,21600r21600,l21600,xe">
                <v:stroke joinstyle="miter"/>
                <v:path gradientshapeok="t" o:connecttype="rect"/>
              </v:shapetype>
              <v:shape id="Text Box 14" o:spid="_x0000_s1026" type="#_x0000_t202" style="position:absolute;margin-left:0;margin-top:603.7pt;width:256.25pt;height:70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" filled="f" stroked="f" strokeweight=".5pt">
                <v:textbox>
                  <w:txbxContent>
                    <w:p w14:paraId="72320FEF" w14:textId="473B4D6F" w:rsidR="00EC26DB" w:rsidRPr="00287362" w:rsidRDefault="00EC26DB" w:rsidP="00A45BBC">
                      <w:pPr>
                        <w:spacing w:line="240" w:lineRule="auto"/>
                        <w:rPr>
                          <w:rFonts w:cs="Segoe UI"/>
                          <w:b/>
                          <w:color w:val="233845" w:themeColor="text2"/>
                          <w:sz w:val="32"/>
                        </w:rPr>
                      </w:pPr>
                      <w:r>
                        <w:rPr>
                          <w:rFonts w:cs="Segoe UI"/>
                          <w:b/>
                          <w:color w:val="233845" w:themeColor="text2"/>
                          <w:sz w:val="32"/>
                        </w:rPr>
                        <w:t>GoTechnology</w:t>
                      </w:r>
                      <w:r w:rsidRPr="002B1D54">
                        <w:rPr>
                          <w:rFonts w:cs="Segoe UI"/>
                          <w:b/>
                          <w:color w:val="233845" w:themeColor="text2"/>
                          <w:sz w:val="32"/>
                          <w:vertAlign w:val="superscript"/>
                        </w:rPr>
                        <w:t>®</w:t>
                      </w:r>
                      <w:r>
                        <w:rPr>
                          <w:rFonts w:cs="Segoe UI"/>
                          <w:b/>
                          <w:color w:val="233845" w:themeColor="text2"/>
                          <w:sz w:val="32"/>
                          <w:vertAlign w:val="superscript"/>
                        </w:rPr>
                        <w:t xml:space="preserve"> </w:t>
                      </w:r>
                      <w:r>
                        <w:rPr>
                          <w:rFonts w:cs="Segoe UI"/>
                          <w:b/>
                          <w:color w:val="233845" w:themeColor="text2"/>
                          <w:sz w:val="32"/>
                        </w:rPr>
                        <w:t>hub2</w:t>
                      </w:r>
                    </w:p>
                    <w:p w14:paraId="059A4275" w14:textId="14C348A2" w:rsidR="00EC26DB" w:rsidRPr="006223EA" w:rsidRDefault="00EC26DB" w:rsidP="00A45BBC">
                      <w:pPr>
                        <w:spacing w:after="0" w:line="240" w:lineRule="auto"/>
                        <w:rPr>
                          <w:rFonts w:cs="Segoe UI"/>
                          <w:color w:val="233845" w:themeColor="text2"/>
                          <w:sz w:val="24"/>
                        </w:rPr>
                      </w:pPr>
                      <w:r>
                        <w:rPr>
                          <w:rFonts w:cs="Segoe UI"/>
                          <w:color w:val="233845" w:themeColor="text2"/>
                          <w:sz w:val="24"/>
                        </w:rPr>
                        <w:t>v1.15 Release Notes</w:t>
                      </w:r>
                    </w:p>
                  </w:txbxContent>
                </v:textbox>
                <w10:wrap anchorx="margin"/>
              </v:shape>
            </w:pict>
          </mc:Fallback>
        </mc:AlternateContent>
      </w:r>
      <w:r>
        <w:br w:type="page"/>
      </w:r>
    </w:p>
    <w:p w14:paraId="0CB58D8D" w14:textId="49575EE6" w:rsidR="00E85C73" w:rsidRDefault="00BD18A6" w:rsidP="00F420B2">
      <w:pPr>
        <w:pStyle w:val="Heading1"/>
      </w:pPr>
      <w:bookmarkStart w:id="14" w:name="_Toc517953894"/>
      <w:bookmarkEnd w:id="1"/>
      <w:r>
        <w:lastRenderedPageBreak/>
        <w:t>About this Document</w:t>
      </w:r>
      <w:bookmarkEnd w:id="14"/>
    </w:p>
    <w:p w14:paraId="0DD28C25" w14:textId="63E7AC99" w:rsidR="0010746C" w:rsidRDefault="0010746C" w:rsidP="00886982">
      <w:pPr>
        <w:pStyle w:val="Heading2"/>
      </w:pPr>
      <w:bookmarkStart w:id="15" w:name="_Toc517953895"/>
      <w:r>
        <w:t>Purpose</w:t>
      </w:r>
      <w:bookmarkEnd w:id="15"/>
    </w:p>
    <w:p w14:paraId="6F1CF80A" w14:textId="0A88CE56" w:rsidR="00F420B2" w:rsidRDefault="0064515E" w:rsidP="0064515E">
      <w:r>
        <w:t xml:space="preserve">This document provides a brief overview </w:t>
      </w:r>
      <w:r w:rsidR="00704CAF">
        <w:t>of the changes made between V1</w:t>
      </w:r>
      <w:r w:rsidR="00300D2F">
        <w:t>.</w:t>
      </w:r>
      <w:r w:rsidR="00C44F76">
        <w:t>1</w:t>
      </w:r>
      <w:r w:rsidR="0041106B">
        <w:t>4</w:t>
      </w:r>
      <w:r w:rsidR="00704CAF">
        <w:t xml:space="preserve"> and V1.</w:t>
      </w:r>
      <w:r w:rsidR="00C44F76">
        <w:t>1</w:t>
      </w:r>
      <w:r w:rsidR="0041106B">
        <w:t>5</w:t>
      </w:r>
      <w:r>
        <w:t xml:space="preserve"> of </w:t>
      </w:r>
      <w:r w:rsidR="00287362">
        <w:t xml:space="preserve">GoTechnology </w:t>
      </w:r>
      <w:r>
        <w:t>hub2, along with where further details of each change can be found within the updated functional specification, in addition to a listing of completed bug fixes and known issues.</w:t>
      </w:r>
    </w:p>
    <w:p w14:paraId="0457B3B8" w14:textId="77777777" w:rsidR="00522A9A" w:rsidRDefault="00522A9A" w:rsidP="0064515E"/>
    <w:p w14:paraId="4DCB5DDB" w14:textId="21AFA341" w:rsidR="00E85C73" w:rsidRDefault="00E85C73" w:rsidP="00F420B2">
      <w:pPr>
        <w:pStyle w:val="Heading1"/>
      </w:pPr>
      <w:bookmarkStart w:id="16" w:name="_Toc517953898"/>
      <w:r>
        <w:t>Fixed Issues</w:t>
      </w:r>
      <w:bookmarkEnd w:id="16"/>
    </w:p>
    <w:p w14:paraId="6E27792A" w14:textId="35A8127E" w:rsidR="00E85C73" w:rsidRDefault="00E85C73" w:rsidP="00F420B2">
      <w:r>
        <w:t xml:space="preserve">The following </w:t>
      </w:r>
      <w:r w:rsidR="008018B6">
        <w:t>issues have been fixed in version 1.</w:t>
      </w:r>
      <w:r w:rsidR="00D44AF0">
        <w:t>1</w:t>
      </w:r>
      <w:r w:rsidR="0041106B">
        <w:t>5</w:t>
      </w:r>
      <w:r w:rsidR="008018B6">
        <w:t xml:space="preserve"> of hub2</w:t>
      </w:r>
    </w:p>
    <w:tbl>
      <w:tblPr>
        <w:tblStyle w:val="MiscTable"/>
        <w:tblW w:w="10031" w:type="dxa"/>
        <w:tblLook w:val="0420" w:firstRow="1" w:lastRow="0" w:firstColumn="0" w:lastColumn="0" w:noHBand="0" w:noVBand="1"/>
      </w:tblPr>
      <w:tblGrid>
        <w:gridCol w:w="841"/>
        <w:gridCol w:w="2551"/>
        <w:gridCol w:w="6639"/>
      </w:tblGrid>
      <w:tr w:rsidR="00886982" w:rsidRPr="003D068D" w14:paraId="75BED357" w14:textId="77777777" w:rsidTr="00F95316">
        <w:trPr>
          <w:cnfStyle w:val="100000000000" w:firstRow="1" w:lastRow="0" w:firstColumn="0" w:lastColumn="0" w:oddVBand="0" w:evenVBand="0" w:oddHBand="0" w:evenHBand="0" w:firstRowFirstColumn="0" w:firstRowLastColumn="0" w:lastRowFirstColumn="0" w:lastRowLastColumn="0"/>
        </w:trPr>
        <w:tc>
          <w:tcPr>
            <w:tcW w:w="841" w:type="dxa"/>
          </w:tcPr>
          <w:p w14:paraId="1EA66700" w14:textId="4ED8F7E7" w:rsidR="00886982" w:rsidRPr="003D068D" w:rsidRDefault="00886982" w:rsidP="00886982">
            <w:pPr>
              <w:pStyle w:val="BodyText"/>
              <w:rPr>
                <w:color w:val="FFFFFF" w:themeColor="background1"/>
              </w:rPr>
            </w:pPr>
            <w:r w:rsidRPr="003D068D">
              <w:rPr>
                <w:color w:val="FFFFFF" w:themeColor="background1"/>
              </w:rPr>
              <w:t>Case</w:t>
            </w:r>
          </w:p>
        </w:tc>
        <w:tc>
          <w:tcPr>
            <w:tcW w:w="2551" w:type="dxa"/>
          </w:tcPr>
          <w:p w14:paraId="70CA37B9" w14:textId="74AB3EE4" w:rsidR="00886982" w:rsidRPr="003D068D" w:rsidRDefault="00886982" w:rsidP="00886982">
            <w:pPr>
              <w:pStyle w:val="BodyText"/>
              <w:rPr>
                <w:color w:val="FFFFFF" w:themeColor="background1"/>
              </w:rPr>
            </w:pPr>
            <w:r w:rsidRPr="003D068D">
              <w:rPr>
                <w:color w:val="FFFFFF" w:themeColor="background1"/>
              </w:rPr>
              <w:t>Title [sic]</w:t>
            </w:r>
          </w:p>
        </w:tc>
        <w:tc>
          <w:tcPr>
            <w:tcW w:w="6639" w:type="dxa"/>
          </w:tcPr>
          <w:p w14:paraId="18C8B469" w14:textId="6898B932" w:rsidR="00886982" w:rsidRPr="003D068D" w:rsidRDefault="00886982" w:rsidP="00886982">
            <w:pPr>
              <w:pStyle w:val="BodyText"/>
              <w:rPr>
                <w:color w:val="FFFFFF" w:themeColor="background1"/>
              </w:rPr>
            </w:pPr>
            <w:r w:rsidRPr="003D068D">
              <w:rPr>
                <w:color w:val="FFFFFF" w:themeColor="background1"/>
              </w:rPr>
              <w:t>Details</w:t>
            </w:r>
          </w:p>
        </w:tc>
      </w:tr>
      <w:tr w:rsidR="0021625B" w:rsidRPr="003D068D" w14:paraId="3832F35A"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58643498" w14:textId="74526554" w:rsidR="0021625B" w:rsidRPr="003D068D" w:rsidRDefault="0021625B" w:rsidP="0021625B">
            <w:pPr>
              <w:jc w:val="left"/>
              <w:rPr>
                <w:rFonts w:cs="Segoe UI"/>
                <w:szCs w:val="20"/>
              </w:rPr>
            </w:pPr>
            <w:r w:rsidRPr="003D068D">
              <w:rPr>
                <w:rFonts w:cs="Segoe UI"/>
                <w:szCs w:val="20"/>
              </w:rPr>
              <w:t>51803</w:t>
            </w:r>
          </w:p>
        </w:tc>
        <w:tc>
          <w:tcPr>
            <w:tcW w:w="2551" w:type="dxa"/>
          </w:tcPr>
          <w:p w14:paraId="17429924" w14:textId="18064A45" w:rsidR="0021625B" w:rsidRPr="003D068D" w:rsidRDefault="0021625B" w:rsidP="0021625B">
            <w:pPr>
              <w:jc w:val="left"/>
              <w:rPr>
                <w:rFonts w:cs="Segoe UI"/>
                <w:szCs w:val="20"/>
              </w:rPr>
            </w:pPr>
            <w:r w:rsidRPr="003D068D">
              <w:rPr>
                <w:rFonts w:cs="Segoe UI"/>
                <w:szCs w:val="20"/>
              </w:rPr>
              <w:t>Image Buttons visible even when user doesn’t have access</w:t>
            </w:r>
          </w:p>
        </w:tc>
        <w:tc>
          <w:tcPr>
            <w:tcW w:w="6639" w:type="dxa"/>
          </w:tcPr>
          <w:p w14:paraId="445BEB32" w14:textId="77777777" w:rsidR="0021625B" w:rsidRPr="003D068D" w:rsidRDefault="0021625B" w:rsidP="0021625B">
            <w:pPr>
              <w:jc w:val="left"/>
              <w:rPr>
                <w:rFonts w:cs="Segoe UI"/>
                <w:szCs w:val="20"/>
              </w:rPr>
            </w:pPr>
            <w:r w:rsidRPr="003D068D">
              <w:rPr>
                <w:rFonts w:cs="Segoe UI"/>
                <w:szCs w:val="20"/>
              </w:rPr>
              <w:t>The Add or Replace Image buttons on the Authorised Person page and the Level D Admin page were visible to all users even if they didn’t have permission to change the images.</w:t>
            </w:r>
          </w:p>
          <w:p w14:paraId="70F9BF76" w14:textId="63F7D87E" w:rsidR="0021625B" w:rsidRPr="003D068D" w:rsidRDefault="0021625B" w:rsidP="0021625B">
            <w:pPr>
              <w:jc w:val="left"/>
              <w:rPr>
                <w:rFonts w:cs="Segoe UI"/>
                <w:szCs w:val="20"/>
              </w:rPr>
            </w:pPr>
            <w:r w:rsidRPr="003D068D">
              <w:rPr>
                <w:rFonts w:cs="Segoe UI"/>
                <w:szCs w:val="20"/>
              </w:rPr>
              <w:t xml:space="preserve">Previously clicking these buttons would give a </w:t>
            </w:r>
            <w:r w:rsidR="00A20403" w:rsidRPr="003D068D">
              <w:rPr>
                <w:rFonts w:cs="Segoe UI"/>
                <w:szCs w:val="20"/>
              </w:rPr>
              <w:t>“</w:t>
            </w:r>
            <w:r w:rsidRPr="003D068D">
              <w:rPr>
                <w:rFonts w:cs="Segoe UI"/>
                <w:szCs w:val="20"/>
              </w:rPr>
              <w:t>User not Authorised Message</w:t>
            </w:r>
            <w:r w:rsidR="00A20403" w:rsidRPr="003D068D">
              <w:rPr>
                <w:rFonts w:cs="Segoe UI"/>
                <w:szCs w:val="20"/>
              </w:rPr>
              <w:t>”</w:t>
            </w:r>
            <w:r w:rsidRPr="003D068D">
              <w:rPr>
                <w:rFonts w:cs="Segoe UI"/>
                <w:szCs w:val="20"/>
              </w:rPr>
              <w:t xml:space="preserve"> but now the buttons are hidden for any user without the relevant permissions.</w:t>
            </w:r>
          </w:p>
        </w:tc>
      </w:tr>
      <w:tr w:rsidR="0021625B" w:rsidRPr="003D068D" w14:paraId="4F14C6ED" w14:textId="77777777" w:rsidTr="00F95316">
        <w:tc>
          <w:tcPr>
            <w:tcW w:w="841" w:type="dxa"/>
          </w:tcPr>
          <w:p w14:paraId="5FDFB91D" w14:textId="2F1C5FBB" w:rsidR="0021625B" w:rsidRPr="003D068D" w:rsidRDefault="0021625B" w:rsidP="0021625B">
            <w:pPr>
              <w:jc w:val="left"/>
              <w:rPr>
                <w:rFonts w:cs="Segoe UI"/>
                <w:szCs w:val="20"/>
              </w:rPr>
            </w:pPr>
            <w:r w:rsidRPr="003D068D">
              <w:rPr>
                <w:rFonts w:cs="Segoe UI"/>
                <w:szCs w:val="20"/>
              </w:rPr>
              <w:t>54264</w:t>
            </w:r>
          </w:p>
        </w:tc>
        <w:tc>
          <w:tcPr>
            <w:tcW w:w="2551" w:type="dxa"/>
          </w:tcPr>
          <w:p w14:paraId="24CD7131" w14:textId="6E91428D" w:rsidR="0021625B" w:rsidRPr="003D068D" w:rsidRDefault="0021625B" w:rsidP="0021625B">
            <w:pPr>
              <w:jc w:val="left"/>
              <w:rPr>
                <w:rFonts w:cs="Segoe UI"/>
                <w:szCs w:val="20"/>
              </w:rPr>
            </w:pPr>
            <w:r w:rsidRPr="003D068D">
              <w:rPr>
                <w:rFonts w:cs="Segoe UI"/>
                <w:szCs w:val="20"/>
              </w:rPr>
              <w:t>Import Error if file has Signed Off By column but not Signed Date column</w:t>
            </w:r>
          </w:p>
        </w:tc>
        <w:tc>
          <w:tcPr>
            <w:tcW w:w="6639" w:type="dxa"/>
          </w:tcPr>
          <w:p w14:paraId="55B30F36" w14:textId="77777777" w:rsidR="0021625B" w:rsidRPr="003D068D" w:rsidRDefault="0021625B" w:rsidP="0021625B">
            <w:pPr>
              <w:jc w:val="left"/>
              <w:rPr>
                <w:rFonts w:cs="Segoe UI"/>
                <w:szCs w:val="20"/>
              </w:rPr>
            </w:pPr>
            <w:r w:rsidRPr="003D068D">
              <w:rPr>
                <w:rFonts w:cs="Segoe UI"/>
                <w:szCs w:val="20"/>
              </w:rPr>
              <w:t>For Imports with flexible signoffs like Tag ITRs, Work Packs or Punch List Items if you attempted an import with the Authorised Person column but didn’t include the corresponding Date column then the Import failed to work.</w:t>
            </w:r>
          </w:p>
          <w:p w14:paraId="787C2E9A" w14:textId="515B6B59" w:rsidR="0021625B" w:rsidRPr="003D068D" w:rsidRDefault="0021625B" w:rsidP="0021625B">
            <w:pPr>
              <w:jc w:val="left"/>
              <w:rPr>
                <w:rFonts w:cs="Segoe UI"/>
                <w:szCs w:val="20"/>
              </w:rPr>
            </w:pPr>
            <w:r w:rsidRPr="003D068D">
              <w:rPr>
                <w:rFonts w:cs="Segoe UI"/>
                <w:szCs w:val="20"/>
              </w:rPr>
              <w:t>This has now been fixed and you can now include the Authorised Person column without the Date column.</w:t>
            </w:r>
          </w:p>
        </w:tc>
      </w:tr>
      <w:tr w:rsidR="0021625B" w:rsidRPr="003D068D" w14:paraId="7241AD6A"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1FF59830" w14:textId="5048FD80" w:rsidR="0021625B" w:rsidRPr="003D068D" w:rsidRDefault="0021625B" w:rsidP="0021625B">
            <w:pPr>
              <w:jc w:val="left"/>
              <w:rPr>
                <w:rFonts w:cs="Segoe UI"/>
                <w:szCs w:val="20"/>
              </w:rPr>
            </w:pPr>
            <w:r w:rsidRPr="003D068D">
              <w:rPr>
                <w:rFonts w:cs="Segoe UI"/>
                <w:szCs w:val="20"/>
              </w:rPr>
              <w:t>55053</w:t>
            </w:r>
          </w:p>
        </w:tc>
        <w:tc>
          <w:tcPr>
            <w:tcW w:w="2551" w:type="dxa"/>
          </w:tcPr>
          <w:p w14:paraId="2BDC338B" w14:textId="1B31F457" w:rsidR="0021625B" w:rsidRPr="003D068D" w:rsidRDefault="0021625B" w:rsidP="0021625B">
            <w:pPr>
              <w:jc w:val="left"/>
              <w:rPr>
                <w:rFonts w:cs="Segoe UI"/>
                <w:szCs w:val="20"/>
              </w:rPr>
            </w:pPr>
            <w:r w:rsidRPr="003D068D">
              <w:rPr>
                <w:rFonts w:cs="Segoe UI"/>
                <w:szCs w:val="20"/>
              </w:rPr>
              <w:t>Tag PWL Import: Cannot have two rows with the same Tag and PWL but different Due Dates</w:t>
            </w:r>
          </w:p>
        </w:tc>
        <w:tc>
          <w:tcPr>
            <w:tcW w:w="6639" w:type="dxa"/>
          </w:tcPr>
          <w:p w14:paraId="6677631A" w14:textId="77777777" w:rsidR="0021625B" w:rsidRPr="003D068D" w:rsidRDefault="0021625B" w:rsidP="0021625B">
            <w:pPr>
              <w:jc w:val="left"/>
              <w:rPr>
                <w:rFonts w:cs="Segoe UI"/>
                <w:szCs w:val="20"/>
              </w:rPr>
            </w:pPr>
            <w:r w:rsidRPr="003D068D">
              <w:rPr>
                <w:rFonts w:cs="Segoe UI"/>
                <w:szCs w:val="20"/>
              </w:rPr>
              <w:t xml:space="preserve">When Importing Tag PWLs, if two or more rows had the same Tag and PWL but different sign off dates only the first row was accepted, with the rest being rejected as duplicates.  </w:t>
            </w:r>
          </w:p>
          <w:p w14:paraId="39B227A0" w14:textId="0D21D0D0" w:rsidR="0021625B" w:rsidRPr="003D068D" w:rsidRDefault="0021625B" w:rsidP="0021625B">
            <w:pPr>
              <w:jc w:val="left"/>
              <w:rPr>
                <w:rFonts w:cs="Segoe UI"/>
                <w:szCs w:val="20"/>
              </w:rPr>
            </w:pPr>
            <w:r w:rsidRPr="003D068D">
              <w:rPr>
                <w:rFonts w:cs="Segoe UI"/>
                <w:szCs w:val="20"/>
              </w:rPr>
              <w:t xml:space="preserve">This has now been fixed and items with the same Tag and PWL are now accepted if </w:t>
            </w:r>
            <w:proofErr w:type="spellStart"/>
            <w:r w:rsidRPr="003D068D">
              <w:rPr>
                <w:rFonts w:cs="Segoe UI"/>
                <w:szCs w:val="20"/>
              </w:rPr>
              <w:t>the</w:t>
            </w:r>
            <w:proofErr w:type="spellEnd"/>
            <w:r w:rsidRPr="003D068D">
              <w:rPr>
                <w:rFonts w:cs="Segoe UI"/>
                <w:szCs w:val="20"/>
              </w:rPr>
              <w:t xml:space="preserve"> have different Due Dates.</w:t>
            </w:r>
          </w:p>
        </w:tc>
      </w:tr>
      <w:tr w:rsidR="0021625B" w:rsidRPr="003D068D" w14:paraId="71EF076C" w14:textId="77777777" w:rsidTr="00F95316">
        <w:tc>
          <w:tcPr>
            <w:tcW w:w="841" w:type="dxa"/>
          </w:tcPr>
          <w:p w14:paraId="58F53968" w14:textId="6B566B7F" w:rsidR="0021625B" w:rsidRPr="003D068D" w:rsidRDefault="0021625B" w:rsidP="0021625B">
            <w:pPr>
              <w:jc w:val="left"/>
              <w:rPr>
                <w:rFonts w:cs="Segoe UI"/>
                <w:szCs w:val="20"/>
              </w:rPr>
            </w:pPr>
            <w:r w:rsidRPr="003D068D">
              <w:rPr>
                <w:rFonts w:cs="Segoe UI"/>
                <w:szCs w:val="20"/>
              </w:rPr>
              <w:t>55105</w:t>
            </w:r>
          </w:p>
        </w:tc>
        <w:tc>
          <w:tcPr>
            <w:tcW w:w="2551" w:type="dxa"/>
          </w:tcPr>
          <w:p w14:paraId="52A8212D" w14:textId="6D66C744" w:rsidR="0021625B" w:rsidRPr="003D068D" w:rsidRDefault="0021625B" w:rsidP="0021625B">
            <w:pPr>
              <w:jc w:val="left"/>
              <w:rPr>
                <w:rFonts w:cs="Segoe UI"/>
                <w:szCs w:val="20"/>
              </w:rPr>
            </w:pPr>
            <w:r w:rsidRPr="003D068D">
              <w:rPr>
                <w:rFonts w:cs="Segoe UI"/>
                <w:szCs w:val="20"/>
              </w:rPr>
              <w:t>Procedure View page does not display “Assigned To” Authorised Person</w:t>
            </w:r>
          </w:p>
        </w:tc>
        <w:tc>
          <w:tcPr>
            <w:tcW w:w="6639" w:type="dxa"/>
          </w:tcPr>
          <w:p w14:paraId="1AF77DB5" w14:textId="77777777" w:rsidR="0021625B" w:rsidRPr="003D068D" w:rsidRDefault="0021625B" w:rsidP="0021625B">
            <w:pPr>
              <w:jc w:val="left"/>
              <w:rPr>
                <w:rFonts w:cs="Segoe UI"/>
                <w:szCs w:val="20"/>
              </w:rPr>
            </w:pPr>
            <w:r w:rsidRPr="003D068D">
              <w:rPr>
                <w:rFonts w:cs="Segoe UI"/>
                <w:szCs w:val="20"/>
              </w:rPr>
              <w:t>The Assigned To Field was not displayed on the Procedure View Page.</w:t>
            </w:r>
          </w:p>
          <w:p w14:paraId="170D9663" w14:textId="239E41ED" w:rsidR="0021625B" w:rsidRPr="003D068D" w:rsidRDefault="0021625B" w:rsidP="0021625B">
            <w:pPr>
              <w:jc w:val="left"/>
              <w:rPr>
                <w:rFonts w:cs="Segoe UI"/>
                <w:szCs w:val="20"/>
              </w:rPr>
            </w:pPr>
            <w:r w:rsidRPr="003D068D">
              <w:rPr>
                <w:rFonts w:cs="Segoe UI"/>
                <w:szCs w:val="20"/>
              </w:rPr>
              <w:t>The page has been updated to correctly display this field.</w:t>
            </w:r>
          </w:p>
        </w:tc>
      </w:tr>
      <w:tr w:rsidR="0021625B" w:rsidRPr="003D068D" w14:paraId="09B5C43A"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7588ACC1" w14:textId="3B97E673" w:rsidR="0021625B" w:rsidRPr="003D068D" w:rsidRDefault="0021625B" w:rsidP="0021625B">
            <w:pPr>
              <w:jc w:val="left"/>
              <w:rPr>
                <w:rFonts w:cs="Segoe UI"/>
                <w:szCs w:val="20"/>
              </w:rPr>
            </w:pPr>
            <w:r w:rsidRPr="003D068D">
              <w:rPr>
                <w:rFonts w:cs="Segoe UI"/>
                <w:szCs w:val="20"/>
              </w:rPr>
              <w:t>58578</w:t>
            </w:r>
          </w:p>
        </w:tc>
        <w:tc>
          <w:tcPr>
            <w:tcW w:w="2551" w:type="dxa"/>
          </w:tcPr>
          <w:p w14:paraId="1758714F" w14:textId="0D39DB18" w:rsidR="0021625B" w:rsidRPr="003D068D" w:rsidRDefault="0021625B" w:rsidP="0021625B">
            <w:pPr>
              <w:jc w:val="left"/>
              <w:rPr>
                <w:rFonts w:cs="Segoe UI"/>
                <w:szCs w:val="20"/>
              </w:rPr>
            </w:pPr>
            <w:r w:rsidRPr="003D068D">
              <w:rPr>
                <w:rFonts w:cs="Segoe UI"/>
                <w:szCs w:val="20"/>
              </w:rPr>
              <w:t>System and Sub System Discipline Reports crash if Handover Fields are selected.</w:t>
            </w:r>
          </w:p>
        </w:tc>
        <w:tc>
          <w:tcPr>
            <w:tcW w:w="6639" w:type="dxa"/>
          </w:tcPr>
          <w:p w14:paraId="345E4497" w14:textId="7AAE39CB" w:rsidR="0021625B" w:rsidRPr="003D068D" w:rsidRDefault="0021625B" w:rsidP="0021625B">
            <w:pPr>
              <w:jc w:val="left"/>
              <w:rPr>
                <w:rFonts w:cs="Segoe UI"/>
                <w:szCs w:val="20"/>
              </w:rPr>
            </w:pPr>
            <w:r w:rsidRPr="003D068D">
              <w:rPr>
                <w:rFonts w:cs="Segoe UI"/>
                <w:szCs w:val="20"/>
              </w:rPr>
              <w:t>When Creating a Summary Report of Type PLI, MOC or Tag ITR the Handover Fields would appear in the list of columns.  Selecting these fields would prevent the report from being created as these columns should only appear when selecting Handover Summary Reports.</w:t>
            </w:r>
          </w:p>
          <w:p w14:paraId="36FFADA8" w14:textId="36F98858" w:rsidR="0021625B" w:rsidRPr="003D068D" w:rsidRDefault="0021625B" w:rsidP="0021625B">
            <w:pPr>
              <w:jc w:val="left"/>
              <w:rPr>
                <w:rFonts w:cs="Segoe UI"/>
                <w:szCs w:val="20"/>
              </w:rPr>
            </w:pPr>
            <w:r w:rsidRPr="003D068D">
              <w:rPr>
                <w:rFonts w:cs="Segoe UI"/>
                <w:szCs w:val="20"/>
              </w:rPr>
              <w:t>These columns have now been removed from the PLI, MOC and Tag ITR Summary Reports.</w:t>
            </w:r>
          </w:p>
        </w:tc>
      </w:tr>
      <w:tr w:rsidR="0021625B" w:rsidRPr="003D068D" w14:paraId="35FA07E2" w14:textId="77777777" w:rsidTr="00F95316">
        <w:tc>
          <w:tcPr>
            <w:tcW w:w="841" w:type="dxa"/>
          </w:tcPr>
          <w:p w14:paraId="1A071D4B" w14:textId="312AAFA9" w:rsidR="0021625B" w:rsidRPr="003D068D" w:rsidRDefault="0021625B" w:rsidP="0021625B">
            <w:pPr>
              <w:jc w:val="left"/>
              <w:rPr>
                <w:rFonts w:cs="Segoe UI"/>
                <w:szCs w:val="20"/>
              </w:rPr>
            </w:pPr>
            <w:r w:rsidRPr="003D068D">
              <w:rPr>
                <w:rFonts w:cs="Segoe UI"/>
                <w:szCs w:val="20"/>
              </w:rPr>
              <w:lastRenderedPageBreak/>
              <w:t>58618</w:t>
            </w:r>
          </w:p>
        </w:tc>
        <w:tc>
          <w:tcPr>
            <w:tcW w:w="2551" w:type="dxa"/>
          </w:tcPr>
          <w:p w14:paraId="1DFB821E" w14:textId="23889053" w:rsidR="0021625B" w:rsidRPr="003D068D" w:rsidRDefault="0021625B" w:rsidP="0021625B">
            <w:pPr>
              <w:jc w:val="left"/>
              <w:rPr>
                <w:rFonts w:cs="Segoe UI"/>
                <w:szCs w:val="20"/>
              </w:rPr>
            </w:pPr>
            <w:r w:rsidRPr="003D068D">
              <w:rPr>
                <w:rFonts w:cs="Segoe UI"/>
                <w:szCs w:val="20"/>
              </w:rPr>
              <w:t xml:space="preserve">Import E-Mails were disabled based on a Project Feature </w:t>
            </w:r>
          </w:p>
        </w:tc>
        <w:tc>
          <w:tcPr>
            <w:tcW w:w="6639" w:type="dxa"/>
          </w:tcPr>
          <w:p w14:paraId="03FCB9FB" w14:textId="77777777" w:rsidR="0021625B" w:rsidRPr="003D068D" w:rsidRDefault="0021625B" w:rsidP="0021625B">
            <w:pPr>
              <w:jc w:val="left"/>
              <w:rPr>
                <w:rFonts w:cs="Segoe UI"/>
                <w:szCs w:val="20"/>
              </w:rPr>
            </w:pPr>
            <w:r w:rsidRPr="003D068D">
              <w:rPr>
                <w:rFonts w:cs="Segoe UI"/>
                <w:szCs w:val="20"/>
              </w:rPr>
              <w:t xml:space="preserve">The Import E-Mails received when an Import is completed would stop being sent if the “Assignment Notifications” setting is turned off. </w:t>
            </w:r>
          </w:p>
          <w:p w14:paraId="6C5271ED" w14:textId="77777777" w:rsidR="0021625B" w:rsidRPr="003D068D" w:rsidRDefault="0021625B" w:rsidP="0021625B">
            <w:pPr>
              <w:jc w:val="left"/>
              <w:rPr>
                <w:rFonts w:cs="Segoe UI"/>
                <w:szCs w:val="20"/>
              </w:rPr>
            </w:pPr>
            <w:r w:rsidRPr="003D068D">
              <w:rPr>
                <w:rFonts w:cs="Segoe UI"/>
                <w:szCs w:val="20"/>
              </w:rPr>
              <w:t>This setting is meant to only prevent notifications from being sent when an item is assigned to a user but was also preventing the Import Emails being sent.</w:t>
            </w:r>
          </w:p>
          <w:p w14:paraId="54BB7165" w14:textId="02FD2B67" w:rsidR="0021625B" w:rsidRPr="003D068D" w:rsidRDefault="0021625B" w:rsidP="0021625B">
            <w:pPr>
              <w:jc w:val="left"/>
              <w:rPr>
                <w:rFonts w:cs="Segoe UI"/>
                <w:szCs w:val="20"/>
              </w:rPr>
            </w:pPr>
            <w:r w:rsidRPr="003D068D">
              <w:rPr>
                <w:rFonts w:cs="Segoe UI"/>
                <w:szCs w:val="20"/>
              </w:rPr>
              <w:t xml:space="preserve">This behaviour has now been corrected and Import Result E-Mails will be sent regardless of the Notification Setting. </w:t>
            </w:r>
          </w:p>
        </w:tc>
      </w:tr>
      <w:tr w:rsidR="0021625B" w:rsidRPr="003D068D" w14:paraId="4B035ADC"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44E37DE9" w14:textId="057EA380" w:rsidR="0021625B" w:rsidRPr="003D068D" w:rsidRDefault="0021625B" w:rsidP="0021625B">
            <w:pPr>
              <w:jc w:val="left"/>
              <w:rPr>
                <w:rFonts w:cs="Segoe UI"/>
                <w:szCs w:val="20"/>
              </w:rPr>
            </w:pPr>
            <w:r w:rsidRPr="003D068D">
              <w:rPr>
                <w:rFonts w:cs="Segoe UI"/>
                <w:szCs w:val="20"/>
              </w:rPr>
              <w:t>58746</w:t>
            </w:r>
          </w:p>
        </w:tc>
        <w:tc>
          <w:tcPr>
            <w:tcW w:w="2551" w:type="dxa"/>
          </w:tcPr>
          <w:p w14:paraId="6662307B" w14:textId="06ECE05A" w:rsidR="0021625B" w:rsidRPr="003D068D" w:rsidRDefault="0021625B" w:rsidP="0021625B">
            <w:pPr>
              <w:jc w:val="left"/>
              <w:rPr>
                <w:rFonts w:cs="Segoe UI"/>
                <w:szCs w:val="20"/>
              </w:rPr>
            </w:pPr>
            <w:r w:rsidRPr="003D068D">
              <w:rPr>
                <w:rFonts w:cs="Segoe UI"/>
                <w:szCs w:val="20"/>
              </w:rPr>
              <w:t>Incorrect Validation for Barcode Bookmark</w:t>
            </w:r>
          </w:p>
        </w:tc>
        <w:tc>
          <w:tcPr>
            <w:tcW w:w="6639" w:type="dxa"/>
          </w:tcPr>
          <w:p w14:paraId="5FEABA8B" w14:textId="0896FC7E" w:rsidR="0021625B" w:rsidRPr="003D068D" w:rsidRDefault="0021625B" w:rsidP="0021625B">
            <w:pPr>
              <w:jc w:val="left"/>
              <w:rPr>
                <w:rFonts w:cs="Segoe UI"/>
                <w:szCs w:val="20"/>
              </w:rPr>
            </w:pPr>
            <w:r w:rsidRPr="003D068D">
              <w:rPr>
                <w:rFonts w:cs="Segoe UI"/>
                <w:szCs w:val="20"/>
              </w:rPr>
              <w:t>When Validating a Barcode Bookmark the Bookmark Validation Popup would show “Valid – NULL”.  This has been corrected to just read “Valid”.</w:t>
            </w:r>
          </w:p>
        </w:tc>
      </w:tr>
      <w:tr w:rsidR="0021625B" w:rsidRPr="003D068D" w14:paraId="3D41302B" w14:textId="77777777" w:rsidTr="00F95316">
        <w:tc>
          <w:tcPr>
            <w:tcW w:w="841" w:type="dxa"/>
          </w:tcPr>
          <w:p w14:paraId="5B7D4307" w14:textId="4BA69F43" w:rsidR="0021625B" w:rsidRPr="003D068D" w:rsidRDefault="0021625B" w:rsidP="0021625B">
            <w:pPr>
              <w:jc w:val="left"/>
              <w:rPr>
                <w:rFonts w:cs="Segoe UI"/>
                <w:szCs w:val="20"/>
              </w:rPr>
            </w:pPr>
            <w:r w:rsidRPr="003D068D">
              <w:rPr>
                <w:rFonts w:cs="Segoe UI"/>
                <w:szCs w:val="20"/>
              </w:rPr>
              <w:t>58784</w:t>
            </w:r>
          </w:p>
        </w:tc>
        <w:tc>
          <w:tcPr>
            <w:tcW w:w="2551" w:type="dxa"/>
          </w:tcPr>
          <w:p w14:paraId="6F8153DC" w14:textId="1157234A" w:rsidR="0021625B" w:rsidRPr="003D068D" w:rsidRDefault="0021625B" w:rsidP="0021625B">
            <w:pPr>
              <w:jc w:val="left"/>
              <w:rPr>
                <w:rFonts w:cs="Segoe UI"/>
                <w:szCs w:val="20"/>
              </w:rPr>
            </w:pPr>
            <w:r w:rsidRPr="003D068D">
              <w:rPr>
                <w:rFonts w:cs="Segoe UI"/>
                <w:szCs w:val="20"/>
              </w:rPr>
              <w:t>Multiple Projects with the same Custom Fields could prevent Saving</w:t>
            </w:r>
          </w:p>
        </w:tc>
        <w:tc>
          <w:tcPr>
            <w:tcW w:w="6639" w:type="dxa"/>
          </w:tcPr>
          <w:p w14:paraId="2DE33350" w14:textId="0379F64B" w:rsidR="0021625B" w:rsidRPr="003D068D" w:rsidRDefault="0021625B" w:rsidP="0021625B">
            <w:pPr>
              <w:jc w:val="left"/>
              <w:rPr>
                <w:rFonts w:cs="Segoe UI"/>
                <w:szCs w:val="20"/>
              </w:rPr>
            </w:pPr>
            <w:r w:rsidRPr="003D068D">
              <w:rPr>
                <w:rFonts w:cs="Segoe UI"/>
                <w:szCs w:val="20"/>
              </w:rPr>
              <w:t>If there were multiple Levels/Projects each with the same custom field’s setup for the same Entity (i.e. Test Pack) then it could prevent Saving when editing the custom fields on the entity.</w:t>
            </w:r>
          </w:p>
          <w:p w14:paraId="5D2C3FB8" w14:textId="64B421F8" w:rsidR="0021625B" w:rsidRPr="003D068D" w:rsidRDefault="0021625B" w:rsidP="0021625B">
            <w:pPr>
              <w:jc w:val="left"/>
              <w:rPr>
                <w:rFonts w:cs="Segoe UI"/>
                <w:szCs w:val="20"/>
              </w:rPr>
            </w:pPr>
            <w:r w:rsidRPr="003D068D">
              <w:rPr>
                <w:rFonts w:cs="Segoe UI"/>
                <w:szCs w:val="20"/>
              </w:rPr>
              <w:t>Example – If we had two Projects with the Custom Field “Zone” on Test Packs, then when we updated the values of the Test Pack the Test Pack would fail to save.</w:t>
            </w:r>
          </w:p>
          <w:p w14:paraId="4F7B037A" w14:textId="699700FD" w:rsidR="0021625B" w:rsidRPr="003D068D" w:rsidRDefault="0021625B" w:rsidP="0021625B">
            <w:pPr>
              <w:jc w:val="left"/>
              <w:rPr>
                <w:rFonts w:cs="Segoe UI"/>
                <w:szCs w:val="20"/>
              </w:rPr>
            </w:pPr>
            <w:r w:rsidRPr="003D068D">
              <w:rPr>
                <w:rFonts w:cs="Segoe UI"/>
                <w:szCs w:val="20"/>
              </w:rPr>
              <w:t>This has now been fixed and Custom Fields can have the same name across multiple Levels/Projects.</w:t>
            </w:r>
          </w:p>
        </w:tc>
      </w:tr>
      <w:tr w:rsidR="0021625B" w:rsidRPr="003D068D" w14:paraId="0666A5A4" w14:textId="77777777" w:rsidTr="00F95316">
        <w:trPr>
          <w:cnfStyle w:val="000000100000" w:firstRow="0" w:lastRow="0" w:firstColumn="0" w:lastColumn="0" w:oddVBand="0" w:evenVBand="0" w:oddHBand="1" w:evenHBand="0" w:firstRowFirstColumn="0" w:firstRowLastColumn="0" w:lastRowFirstColumn="0" w:lastRowLastColumn="0"/>
        </w:trPr>
        <w:tc>
          <w:tcPr>
            <w:tcW w:w="841" w:type="dxa"/>
          </w:tcPr>
          <w:p w14:paraId="65D6B379" w14:textId="79BDCE03" w:rsidR="0021625B" w:rsidRPr="003D068D" w:rsidRDefault="0021625B" w:rsidP="0021625B">
            <w:pPr>
              <w:jc w:val="left"/>
              <w:rPr>
                <w:rFonts w:cs="Segoe UI"/>
                <w:szCs w:val="20"/>
              </w:rPr>
            </w:pPr>
            <w:r w:rsidRPr="003D068D">
              <w:rPr>
                <w:rFonts w:cs="Segoe UI"/>
                <w:szCs w:val="20"/>
              </w:rPr>
              <w:t>58862</w:t>
            </w:r>
          </w:p>
        </w:tc>
        <w:tc>
          <w:tcPr>
            <w:tcW w:w="2551" w:type="dxa"/>
          </w:tcPr>
          <w:p w14:paraId="78B00C16" w14:textId="1AA56FD0" w:rsidR="0021625B" w:rsidRPr="003D068D" w:rsidRDefault="0021625B" w:rsidP="0021625B">
            <w:pPr>
              <w:jc w:val="left"/>
              <w:rPr>
                <w:rFonts w:cs="Segoe UI"/>
                <w:szCs w:val="20"/>
              </w:rPr>
            </w:pPr>
            <w:r w:rsidRPr="003D068D">
              <w:rPr>
                <w:rFonts w:cs="Segoe UI"/>
                <w:szCs w:val="20"/>
              </w:rPr>
              <w:t>Report Error when running Reports from large Projects</w:t>
            </w:r>
          </w:p>
        </w:tc>
        <w:tc>
          <w:tcPr>
            <w:tcW w:w="6639" w:type="dxa"/>
          </w:tcPr>
          <w:p w14:paraId="242B06EF" w14:textId="72A21FC0" w:rsidR="0021625B" w:rsidRPr="003D068D" w:rsidRDefault="0021625B" w:rsidP="0021625B">
            <w:pPr>
              <w:jc w:val="left"/>
              <w:rPr>
                <w:rFonts w:cs="Segoe UI"/>
                <w:szCs w:val="20"/>
              </w:rPr>
            </w:pPr>
            <w:r w:rsidRPr="003D068D">
              <w:rPr>
                <w:rFonts w:cs="Segoe UI"/>
                <w:szCs w:val="20"/>
              </w:rPr>
              <w:t>In Projects with large number of Tag ITRs split across multiple Projects, the reports sometimes ran into a timeout error, and would not be displayed to the users.</w:t>
            </w:r>
          </w:p>
          <w:p w14:paraId="14CC8DBF" w14:textId="62525FC5" w:rsidR="0021625B" w:rsidRPr="003D068D" w:rsidRDefault="0021625B" w:rsidP="0021625B">
            <w:pPr>
              <w:jc w:val="left"/>
              <w:rPr>
                <w:rFonts w:cs="Segoe UI"/>
                <w:szCs w:val="20"/>
              </w:rPr>
            </w:pPr>
            <w:r w:rsidRPr="003D068D">
              <w:rPr>
                <w:rFonts w:cs="Segoe UI"/>
                <w:szCs w:val="20"/>
              </w:rPr>
              <w:t xml:space="preserve">The reports have now been optimised to prevent this behaviour and should run successfully </w:t>
            </w:r>
          </w:p>
        </w:tc>
      </w:tr>
      <w:tr w:rsidR="00EF2E6D" w:rsidRPr="003D068D" w14:paraId="11854243" w14:textId="77777777" w:rsidTr="00F95316">
        <w:tc>
          <w:tcPr>
            <w:tcW w:w="841" w:type="dxa"/>
          </w:tcPr>
          <w:p w14:paraId="7A41D905" w14:textId="0FBA7754" w:rsidR="00EF2E6D" w:rsidRPr="003D068D" w:rsidRDefault="00EF2E6D" w:rsidP="0021625B">
            <w:pPr>
              <w:jc w:val="left"/>
              <w:rPr>
                <w:rFonts w:cs="Segoe UI"/>
                <w:szCs w:val="20"/>
              </w:rPr>
            </w:pPr>
            <w:r w:rsidRPr="003D068D">
              <w:rPr>
                <w:rFonts w:cs="Segoe UI"/>
                <w:szCs w:val="20"/>
              </w:rPr>
              <w:t>59042</w:t>
            </w:r>
          </w:p>
        </w:tc>
        <w:tc>
          <w:tcPr>
            <w:tcW w:w="2551" w:type="dxa"/>
          </w:tcPr>
          <w:p w14:paraId="4B2F9EFC" w14:textId="15427E4A" w:rsidR="00EF2E6D" w:rsidRPr="003D068D" w:rsidRDefault="00EF2E6D" w:rsidP="0021625B">
            <w:pPr>
              <w:jc w:val="left"/>
              <w:rPr>
                <w:rFonts w:cs="Segoe UI"/>
                <w:szCs w:val="20"/>
              </w:rPr>
            </w:pPr>
            <w:r w:rsidRPr="003D068D">
              <w:rPr>
                <w:rFonts w:cs="Segoe UI"/>
                <w:szCs w:val="20"/>
              </w:rPr>
              <w:t>Summary Reports – Discipline Breakdown don’t save if Discipline over 30 characters</w:t>
            </w:r>
          </w:p>
        </w:tc>
        <w:tc>
          <w:tcPr>
            <w:tcW w:w="6639" w:type="dxa"/>
          </w:tcPr>
          <w:p w14:paraId="0D24522B" w14:textId="77777777" w:rsidR="00EF2E6D" w:rsidRPr="003D068D" w:rsidRDefault="00EF2E6D" w:rsidP="0021625B">
            <w:pPr>
              <w:jc w:val="left"/>
              <w:rPr>
                <w:rFonts w:cs="Segoe UI"/>
                <w:szCs w:val="20"/>
              </w:rPr>
            </w:pPr>
            <w:r w:rsidRPr="003D068D">
              <w:rPr>
                <w:rFonts w:cs="Segoe UI"/>
                <w:szCs w:val="20"/>
              </w:rPr>
              <w:t>When a user makes a Summary Report with a Discipline Breakdown, if any of the Disciplines Descriptions are over 30 characters long then the report couldn’t be saved.</w:t>
            </w:r>
          </w:p>
          <w:p w14:paraId="7CF30149" w14:textId="12E36F78" w:rsidR="00EF2E6D" w:rsidRPr="003D068D" w:rsidRDefault="00EF2E6D" w:rsidP="0021625B">
            <w:pPr>
              <w:jc w:val="left"/>
              <w:rPr>
                <w:rFonts w:cs="Segoe UI"/>
                <w:szCs w:val="20"/>
              </w:rPr>
            </w:pPr>
            <w:r w:rsidRPr="003D068D">
              <w:rPr>
                <w:rFonts w:cs="Segoe UI"/>
                <w:szCs w:val="20"/>
              </w:rPr>
              <w:t xml:space="preserve">This has now been fixed </w:t>
            </w:r>
            <w:r w:rsidR="001B69A1" w:rsidRPr="003D068D">
              <w:rPr>
                <w:rFonts w:cs="Segoe UI"/>
                <w:szCs w:val="20"/>
              </w:rPr>
              <w:t xml:space="preserve">with the Discipline Names being used instead </w:t>
            </w:r>
            <w:r w:rsidRPr="003D068D">
              <w:rPr>
                <w:rFonts w:cs="Segoe UI"/>
                <w:szCs w:val="20"/>
              </w:rPr>
              <w:t>and the Summary Reports can now be successfully saved.</w:t>
            </w:r>
          </w:p>
        </w:tc>
      </w:tr>
    </w:tbl>
    <w:p w14:paraId="65B3CDA6" w14:textId="77777777" w:rsidR="00522A9A" w:rsidRDefault="00522A9A" w:rsidP="00522A9A">
      <w:pPr>
        <w:pStyle w:val="Heading1"/>
        <w:numPr>
          <w:ilvl w:val="0"/>
          <w:numId w:val="0"/>
        </w:numPr>
        <w:ind w:left="567"/>
      </w:pPr>
      <w:bookmarkStart w:id="17" w:name="_Toc517953900"/>
    </w:p>
    <w:p w14:paraId="4C2BEAD3" w14:textId="7BCC3FAD" w:rsidR="00E85C73" w:rsidRDefault="00A83E28" w:rsidP="00F420B2">
      <w:pPr>
        <w:pStyle w:val="Heading1"/>
      </w:pPr>
      <w:r>
        <w:t>Known</w:t>
      </w:r>
      <w:r w:rsidR="00144332">
        <w:t xml:space="preserve"> Issues</w:t>
      </w:r>
      <w:bookmarkEnd w:id="17"/>
    </w:p>
    <w:p w14:paraId="38CCC31C" w14:textId="09D9BAB6" w:rsidR="00FA48C9" w:rsidRDefault="0064515E" w:rsidP="00522A9A">
      <w:r>
        <w:t xml:space="preserve">A full list of </w:t>
      </w:r>
      <w:r>
        <w:rPr>
          <w:rFonts w:ascii="Tahoma" w:hAnsi="Tahoma" w:cs="Tahoma"/>
        </w:rPr>
        <w:t>“</w:t>
      </w:r>
      <w:r>
        <w:t>Known Issues</w:t>
      </w:r>
      <w:r>
        <w:rPr>
          <w:rFonts w:ascii="Tahoma" w:hAnsi="Tahoma" w:cs="Tahoma"/>
        </w:rPr>
        <w:t xml:space="preserve">” </w:t>
      </w:r>
      <w:r>
        <w:t xml:space="preserve">can be found at </w:t>
      </w:r>
      <w:hyperlink r:id="rId11" w:history="1">
        <w:r w:rsidR="00D41FB6" w:rsidRPr="00E11E24">
          <w:rPr>
            <w:rStyle w:val="Hyperlink"/>
          </w:rPr>
          <w:t>https://gotechnology.github.io/</w:t>
        </w:r>
      </w:hyperlink>
      <w:r w:rsidR="00300D2F">
        <w:t xml:space="preserve"> </w:t>
      </w:r>
      <w:bookmarkStart w:id="18" w:name="_Toc517953901"/>
    </w:p>
    <w:p w14:paraId="0BFC278F" w14:textId="77777777" w:rsidR="00522A9A" w:rsidRDefault="00522A9A" w:rsidP="00522A9A"/>
    <w:p w14:paraId="40EBEED6" w14:textId="77777777" w:rsidR="00CF0179" w:rsidRDefault="00CF0179">
      <w:pPr>
        <w:spacing w:after="0" w:line="240" w:lineRule="auto"/>
        <w:jc w:val="left"/>
        <w:rPr>
          <w:rFonts w:eastAsia="Times New Roman" w:cs="Segoe UI"/>
          <w:b/>
          <w:snapToGrid w:val="0"/>
          <w:sz w:val="28"/>
          <w:szCs w:val="32"/>
        </w:rPr>
      </w:pPr>
      <w:r>
        <w:br w:type="page"/>
      </w:r>
      <w:bookmarkStart w:id="19" w:name="_GoBack"/>
      <w:bookmarkEnd w:id="19"/>
    </w:p>
    <w:p w14:paraId="75E7AAFD" w14:textId="7601DF99" w:rsidR="00E85C73" w:rsidRDefault="00144332" w:rsidP="00F420B2">
      <w:pPr>
        <w:pStyle w:val="Heading1"/>
      </w:pPr>
      <w:r>
        <w:lastRenderedPageBreak/>
        <w:t>Features</w:t>
      </w:r>
      <w:bookmarkEnd w:id="18"/>
    </w:p>
    <w:p w14:paraId="17CC3730" w14:textId="54A28FF5" w:rsidR="00300D2F" w:rsidRDefault="00300D2F" w:rsidP="00300D2F">
      <w:bookmarkStart w:id="20" w:name="_Toc517953902"/>
      <w:r>
        <w:t>The following functionality</w:t>
      </w:r>
      <w:r w:rsidR="007E5258">
        <w:t xml:space="preserve"> has been added in v1.</w:t>
      </w:r>
      <w:r w:rsidR="00BB0E4A">
        <w:t>1</w:t>
      </w:r>
      <w:r w:rsidR="0041106B">
        <w:t>5</w:t>
      </w:r>
      <w:r>
        <w:t>:</w:t>
      </w:r>
    </w:p>
    <w:p w14:paraId="106DFC04" w14:textId="77777777" w:rsidR="00300D2F" w:rsidRDefault="00300D2F" w:rsidP="00300D2F">
      <w:r>
        <w:t>Functional:</w:t>
      </w:r>
    </w:p>
    <w:p w14:paraId="24ED5301" w14:textId="704648A4" w:rsidR="008B52BC" w:rsidRDefault="008750BC" w:rsidP="00CD1209">
      <w:pPr>
        <w:pStyle w:val="ListParagraph"/>
        <w:numPr>
          <w:ilvl w:val="0"/>
          <w:numId w:val="30"/>
        </w:numPr>
      </w:pPr>
      <w:r>
        <w:t>On Screen Import &amp; Assignment Notifications</w:t>
      </w:r>
    </w:p>
    <w:p w14:paraId="2BAB5D01" w14:textId="4AE98F9C" w:rsidR="008B52BC" w:rsidRDefault="008750BC" w:rsidP="00CD1209">
      <w:pPr>
        <w:pStyle w:val="ListParagraph"/>
        <w:numPr>
          <w:ilvl w:val="0"/>
          <w:numId w:val="30"/>
        </w:numPr>
      </w:pPr>
      <w:r>
        <w:t>Handover</w:t>
      </w:r>
      <w:r w:rsidR="008B52BC">
        <w:t xml:space="preserve"> Reports: </w:t>
      </w:r>
      <w:r>
        <w:t>Additional</w:t>
      </w:r>
      <w:r w:rsidR="008B52BC">
        <w:t xml:space="preserve"> Grouping</w:t>
      </w:r>
      <w:r>
        <w:t>s</w:t>
      </w:r>
    </w:p>
    <w:p w14:paraId="3AB6DF9C" w14:textId="02F227E8" w:rsidR="008B52BC" w:rsidRDefault="008750BC" w:rsidP="00CD1209">
      <w:pPr>
        <w:pStyle w:val="ListParagraph"/>
        <w:numPr>
          <w:ilvl w:val="0"/>
          <w:numId w:val="30"/>
        </w:numPr>
      </w:pPr>
      <w:r>
        <w:t>Multi-Factor Authentication</w:t>
      </w:r>
    </w:p>
    <w:p w14:paraId="3ABDBE97" w14:textId="39534C41" w:rsidR="008B52BC" w:rsidRDefault="008750BC" w:rsidP="00CD1209">
      <w:pPr>
        <w:pStyle w:val="ListParagraph"/>
        <w:numPr>
          <w:ilvl w:val="0"/>
          <w:numId w:val="30"/>
        </w:numPr>
      </w:pPr>
      <w:r>
        <w:t>Work Pack Generation Ordering enhancements</w:t>
      </w:r>
    </w:p>
    <w:p w14:paraId="7EA52CF0" w14:textId="504A0DFD" w:rsidR="008B52BC" w:rsidRDefault="008750BC" w:rsidP="00964933">
      <w:pPr>
        <w:pStyle w:val="ListParagraph"/>
        <w:numPr>
          <w:ilvl w:val="0"/>
          <w:numId w:val="30"/>
        </w:numPr>
      </w:pPr>
      <w:r>
        <w:t>Improved Import Result Email</w:t>
      </w:r>
    </w:p>
    <w:p w14:paraId="0786DB92" w14:textId="31A13CBB" w:rsidR="008B52BC" w:rsidRDefault="008750BC" w:rsidP="00CD1209">
      <w:pPr>
        <w:pStyle w:val="ListParagraph"/>
        <w:numPr>
          <w:ilvl w:val="0"/>
          <w:numId w:val="30"/>
        </w:numPr>
      </w:pPr>
      <w:r>
        <w:t>Work Pack Generation based on Locked Status</w:t>
      </w:r>
    </w:p>
    <w:p w14:paraId="11A39E70" w14:textId="6FF18622" w:rsidR="008750BC" w:rsidRDefault="008750BC" w:rsidP="00CD1209">
      <w:pPr>
        <w:pStyle w:val="ListParagraph"/>
        <w:numPr>
          <w:ilvl w:val="0"/>
          <w:numId w:val="30"/>
        </w:numPr>
      </w:pPr>
      <w:r>
        <w:t>Job Card field on As Built Drawings</w:t>
      </w:r>
    </w:p>
    <w:p w14:paraId="43E0D1AD" w14:textId="77777777" w:rsidR="00F95316" w:rsidRPr="00F95316" w:rsidRDefault="008750BC" w:rsidP="0006318D">
      <w:pPr>
        <w:pStyle w:val="ListParagraph"/>
        <w:numPr>
          <w:ilvl w:val="0"/>
          <w:numId w:val="30"/>
        </w:numPr>
        <w:spacing w:after="0" w:line="240" w:lineRule="auto"/>
        <w:rPr>
          <w:rFonts w:eastAsia="Times New Roman"/>
          <w:b/>
          <w:snapToGrid w:val="0"/>
          <w:color w:val="884C91"/>
          <w:sz w:val="24"/>
          <w:szCs w:val="24"/>
        </w:rPr>
      </w:pPr>
      <w:r>
        <w:t>Job Card Authorised Person Permissions</w:t>
      </w:r>
    </w:p>
    <w:p w14:paraId="405644B2" w14:textId="7075DE71" w:rsidR="00583C0D" w:rsidRPr="00756F07" w:rsidRDefault="008750BC" w:rsidP="0006318D">
      <w:pPr>
        <w:pStyle w:val="ListParagraph"/>
        <w:numPr>
          <w:ilvl w:val="0"/>
          <w:numId w:val="30"/>
        </w:numPr>
        <w:spacing w:after="0" w:line="240" w:lineRule="auto"/>
        <w:rPr>
          <w:rFonts w:eastAsia="Times New Roman"/>
          <w:b/>
          <w:snapToGrid w:val="0"/>
          <w:color w:val="884C91"/>
          <w:sz w:val="24"/>
          <w:szCs w:val="24"/>
        </w:rPr>
      </w:pPr>
      <w:r>
        <w:t>Single Drawing Attachment</w:t>
      </w:r>
      <w:bookmarkStart w:id="21" w:name="_Hlk520127587"/>
    </w:p>
    <w:p w14:paraId="74E3988C" w14:textId="01791F19" w:rsidR="00756F07" w:rsidRPr="00756F07" w:rsidRDefault="00756F07" w:rsidP="00756F07">
      <w:pPr>
        <w:pStyle w:val="ListParagraph"/>
        <w:numPr>
          <w:ilvl w:val="0"/>
          <w:numId w:val="30"/>
        </w:numPr>
      </w:pPr>
      <w:r>
        <w:t>Digital Document included in Work Pack Generation</w:t>
      </w:r>
    </w:p>
    <w:p w14:paraId="4AC3397D" w14:textId="665A73C5" w:rsidR="00522A9A" w:rsidRPr="001604F9" w:rsidRDefault="00583C0D" w:rsidP="001604F9">
      <w:pPr>
        <w:pStyle w:val="ListParagraph"/>
        <w:numPr>
          <w:ilvl w:val="0"/>
          <w:numId w:val="30"/>
        </w:numPr>
        <w:spacing w:after="0" w:line="240" w:lineRule="auto"/>
        <w:rPr>
          <w:rFonts w:eastAsia="Times New Roman"/>
          <w:b/>
          <w:snapToGrid w:val="0"/>
          <w:color w:val="884C91"/>
          <w:sz w:val="24"/>
          <w:szCs w:val="24"/>
        </w:rPr>
      </w:pPr>
      <w:r>
        <w:t>Tag ITR/PWL Auto Allocation Messages</w:t>
      </w:r>
    </w:p>
    <w:p w14:paraId="002FEE19" w14:textId="77777777" w:rsidR="001604F9" w:rsidRPr="001604F9" w:rsidRDefault="001604F9" w:rsidP="001604F9">
      <w:pPr>
        <w:spacing w:after="0" w:line="240" w:lineRule="auto"/>
        <w:rPr>
          <w:rFonts w:eastAsia="Times New Roman"/>
          <w:b/>
          <w:snapToGrid w:val="0"/>
          <w:color w:val="884C91"/>
          <w:sz w:val="24"/>
          <w:szCs w:val="24"/>
        </w:rPr>
      </w:pPr>
    </w:p>
    <w:p w14:paraId="5039DFFB" w14:textId="71879ACB" w:rsidR="00EC6925" w:rsidRDefault="00953366" w:rsidP="00886982">
      <w:pPr>
        <w:pStyle w:val="Heading2"/>
      </w:pPr>
      <w:r>
        <w:t xml:space="preserve">On Screen Import &amp; Assignment Notifications </w:t>
      </w:r>
    </w:p>
    <w:p w14:paraId="75BA3A14" w14:textId="37AB6D9C" w:rsidR="008F3833" w:rsidRDefault="00EC6925" w:rsidP="006B79D9">
      <w:pPr>
        <w:rPr>
          <w:b/>
        </w:rPr>
      </w:pPr>
      <w:r>
        <w:rPr>
          <w:b/>
        </w:rPr>
        <w:t xml:space="preserve">For more detail see Section </w:t>
      </w:r>
      <w:r w:rsidR="00921FB8">
        <w:rPr>
          <w:b/>
        </w:rPr>
        <w:t>37.6 and Section 41.1.12</w:t>
      </w:r>
      <w:r w:rsidR="008B52BC">
        <w:rPr>
          <w:b/>
        </w:rPr>
        <w:t xml:space="preserve"> </w:t>
      </w:r>
      <w:r>
        <w:rPr>
          <w:b/>
        </w:rPr>
        <w:t>of the</w:t>
      </w:r>
      <w:r w:rsidR="00F344EC">
        <w:rPr>
          <w:b/>
        </w:rPr>
        <w:t xml:space="preserve"> v1.1</w:t>
      </w:r>
      <w:r w:rsidR="00953366">
        <w:rPr>
          <w:b/>
        </w:rPr>
        <w:t>5</w:t>
      </w:r>
      <w:r w:rsidR="00F344EC">
        <w:rPr>
          <w:b/>
        </w:rPr>
        <w:t xml:space="preserve"> </w:t>
      </w:r>
      <w:r>
        <w:rPr>
          <w:b/>
        </w:rPr>
        <w:t>Functional Specification</w:t>
      </w:r>
    </w:p>
    <w:p w14:paraId="07B9A08E" w14:textId="12EE5C8B" w:rsidR="001B0D58" w:rsidRDefault="007C6BA0" w:rsidP="006B79D9">
      <w:r>
        <w:t xml:space="preserve">When an import completes </w:t>
      </w:r>
      <w:r w:rsidR="007B7A5A">
        <w:t>the user</w:t>
      </w:r>
      <w:r w:rsidR="00CB5E6D">
        <w:t xml:space="preserve"> </w:t>
      </w:r>
      <w:r w:rsidR="001B0D58">
        <w:t>will now receive an on-screen notification</w:t>
      </w:r>
      <w:r w:rsidR="007B7A5A">
        <w:t>, containing some details about the import and a link to the import results</w:t>
      </w:r>
      <w:r w:rsidR="001B0D58">
        <w:t>.</w:t>
      </w:r>
    </w:p>
    <w:p w14:paraId="642F7D70" w14:textId="48F888DC" w:rsidR="001B0D58" w:rsidRDefault="00A93DD3" w:rsidP="00CF0179">
      <w:pPr>
        <w:jc w:val="center"/>
      </w:pPr>
      <w:r>
        <w:rPr>
          <w:noProof/>
        </w:rPr>
        <w:drawing>
          <wp:inline distT="0" distB="0" distL="0" distR="0" wp14:anchorId="01A74873" wp14:editId="2AD05C83">
            <wp:extent cx="5400675" cy="2708743"/>
            <wp:effectExtent l="19050" t="19050" r="9525" b="158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llComplete-Light.png"/>
                    <pic:cNvPicPr/>
                  </pic:nvPicPr>
                  <pic:blipFill>
                    <a:blip r:embed="rId12">
                      <a:extLst>
                        <a:ext uri="{28A0092B-C50C-407E-A947-70E740481C1C}">
                          <a14:useLocalDpi xmlns:a14="http://schemas.microsoft.com/office/drawing/2010/main" val="0"/>
                        </a:ext>
                      </a:extLst>
                    </a:blip>
                    <a:stretch>
                      <a:fillRect/>
                    </a:stretch>
                  </pic:blipFill>
                  <pic:spPr>
                    <a:xfrm>
                      <a:off x="0" y="0"/>
                      <a:ext cx="5404761" cy="2710792"/>
                    </a:xfrm>
                    <a:prstGeom prst="rect">
                      <a:avLst/>
                    </a:prstGeom>
                    <a:ln>
                      <a:solidFill>
                        <a:schemeClr val="accent1"/>
                      </a:solidFill>
                    </a:ln>
                  </pic:spPr>
                </pic:pic>
              </a:graphicData>
            </a:graphic>
          </wp:inline>
        </w:drawing>
      </w:r>
    </w:p>
    <w:p w14:paraId="43ACC5C0" w14:textId="6B08749C" w:rsidR="00295318" w:rsidRDefault="00295318" w:rsidP="003D068D">
      <w:pPr>
        <w:pStyle w:val="Table"/>
      </w:pPr>
      <w:r>
        <w:t>Screenshot of the Import Page with the new alert shown in the top right corner</w:t>
      </w:r>
    </w:p>
    <w:p w14:paraId="66A71D23" w14:textId="1ED9FDE3" w:rsidR="007B7A5A" w:rsidRDefault="007B7A5A" w:rsidP="006B79D9">
      <w:r>
        <w:t>On-screen notifications will also appear when a user is assigned an item, such as a Tag ITR or Work Pack.</w:t>
      </w:r>
    </w:p>
    <w:p w14:paraId="17207EEF" w14:textId="69173C24" w:rsidR="00C773D4" w:rsidRDefault="007B7A5A" w:rsidP="00CF0179">
      <w:r>
        <w:t>On-screen notifications only appear if the user is signed in at the time and are in addition to the existing email notifications.</w:t>
      </w:r>
      <w:r w:rsidR="00C773D4">
        <w:br w:type="page"/>
      </w:r>
    </w:p>
    <w:p w14:paraId="7EF5E891" w14:textId="66CA7162" w:rsidR="00081FA5" w:rsidRDefault="007D4827" w:rsidP="00886982">
      <w:pPr>
        <w:pStyle w:val="Heading2"/>
      </w:pPr>
      <w:r>
        <w:lastRenderedPageBreak/>
        <w:t xml:space="preserve">Handover Reports: Additional Groupings </w:t>
      </w:r>
    </w:p>
    <w:p w14:paraId="6260EC9F" w14:textId="304D1730" w:rsidR="008B52BC" w:rsidRDefault="008B52BC" w:rsidP="008B52BC">
      <w:pPr>
        <w:rPr>
          <w:b/>
        </w:rPr>
      </w:pPr>
      <w:r>
        <w:rPr>
          <w:b/>
        </w:rPr>
        <w:t xml:space="preserve">For more detail see Section </w:t>
      </w:r>
      <w:r w:rsidR="00B8034F">
        <w:rPr>
          <w:b/>
        </w:rPr>
        <w:t>42.4.2</w:t>
      </w:r>
      <w:r w:rsidR="007D4827">
        <w:rPr>
          <w:b/>
        </w:rPr>
        <w:t xml:space="preserve"> </w:t>
      </w:r>
      <w:r>
        <w:rPr>
          <w:b/>
        </w:rPr>
        <w:t>of the</w:t>
      </w:r>
      <w:r w:rsidR="00F344EC">
        <w:rPr>
          <w:b/>
        </w:rPr>
        <w:t xml:space="preserve"> v1.1</w:t>
      </w:r>
      <w:r w:rsidR="007D4827">
        <w:rPr>
          <w:b/>
        </w:rPr>
        <w:t>5</w:t>
      </w:r>
      <w:r>
        <w:rPr>
          <w:b/>
        </w:rPr>
        <w:t xml:space="preserve"> Functional Specification</w:t>
      </w:r>
    </w:p>
    <w:p w14:paraId="187F62AF" w14:textId="3CF6A0A2" w:rsidR="003672A7" w:rsidRDefault="003672A7" w:rsidP="008B52BC">
      <w:pPr>
        <w:rPr>
          <w:b/>
        </w:rPr>
      </w:pPr>
      <w:r w:rsidRPr="003672A7">
        <w:rPr>
          <w:b/>
          <w:noProof/>
        </w:rPr>
        <w:drawing>
          <wp:inline distT="0" distB="0" distL="0" distR="0" wp14:anchorId="79241685" wp14:editId="4926BDA8">
            <wp:extent cx="6120130" cy="2313305"/>
            <wp:effectExtent l="19050" t="19050" r="13970" b="1079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2313305"/>
                    </a:xfrm>
                    <a:prstGeom prst="rect">
                      <a:avLst/>
                    </a:prstGeom>
                    <a:ln>
                      <a:solidFill>
                        <a:schemeClr val="accent1"/>
                      </a:solidFill>
                    </a:ln>
                  </pic:spPr>
                </pic:pic>
              </a:graphicData>
            </a:graphic>
          </wp:inline>
        </w:drawing>
      </w:r>
    </w:p>
    <w:p w14:paraId="5C7D2E08" w14:textId="0F51E4A9" w:rsidR="003672A7" w:rsidRDefault="003672A7" w:rsidP="003672A7">
      <w:pPr>
        <w:pStyle w:val="Figure"/>
      </w:pPr>
      <w:r>
        <w:t>Screenshot of the Summary Report Creation Screen with Handover Selected and the new Groupings highlighted</w:t>
      </w:r>
    </w:p>
    <w:p w14:paraId="2FC95D11" w14:textId="54B88620" w:rsidR="00B8034F" w:rsidRPr="00B8034F" w:rsidRDefault="00B8034F" w:rsidP="008B52BC">
      <w:r>
        <w:t xml:space="preserve">Handover Summary reports may now be grouped by Area, Module, System Discipline and Sub System Discipline. </w:t>
      </w:r>
      <w:r>
        <w:br/>
        <w:t>For System and Sub System Discipline Handover reports, there is a setting called ‘Show rows with Zero values”. When enabled, the report will list every possible combination of System / Sub System and Discipline available</w:t>
      </w:r>
      <w:r w:rsidR="002B0EED">
        <w:t xml:space="preserve"> even when the row has no values</w:t>
      </w:r>
      <w:r>
        <w:t xml:space="preserve">. When disabled, the report will only show rows which contain values. </w:t>
      </w:r>
    </w:p>
    <w:bookmarkEnd w:id="2"/>
    <w:bookmarkEnd w:id="3"/>
    <w:bookmarkEnd w:id="4"/>
    <w:bookmarkEnd w:id="5"/>
    <w:bookmarkEnd w:id="6"/>
    <w:bookmarkEnd w:id="7"/>
    <w:bookmarkEnd w:id="8"/>
    <w:bookmarkEnd w:id="9"/>
    <w:bookmarkEnd w:id="10"/>
    <w:bookmarkEnd w:id="11"/>
    <w:bookmarkEnd w:id="12"/>
    <w:bookmarkEnd w:id="13"/>
    <w:bookmarkEnd w:id="20"/>
    <w:bookmarkEnd w:id="21"/>
    <w:p w14:paraId="5228D284" w14:textId="77777777" w:rsidR="00CF0179" w:rsidRDefault="00CF0179">
      <w:pPr>
        <w:spacing w:after="0" w:line="240" w:lineRule="auto"/>
        <w:jc w:val="left"/>
        <w:rPr>
          <w:rFonts w:eastAsia="Times New Roman"/>
          <w:b/>
          <w:snapToGrid w:val="0"/>
          <w:color w:val="884C91"/>
          <w:sz w:val="24"/>
          <w:szCs w:val="24"/>
        </w:rPr>
      </w:pPr>
      <w:r>
        <w:br w:type="page"/>
      </w:r>
    </w:p>
    <w:p w14:paraId="698607DE" w14:textId="7AACCC5C" w:rsidR="007D4827" w:rsidRDefault="007D4827" w:rsidP="007D4827">
      <w:pPr>
        <w:pStyle w:val="Heading2"/>
      </w:pPr>
      <w:r>
        <w:lastRenderedPageBreak/>
        <w:t xml:space="preserve">Multi-Factor Authentication </w:t>
      </w:r>
    </w:p>
    <w:p w14:paraId="07829913" w14:textId="4A06A038" w:rsidR="008E5254" w:rsidRDefault="007D4827" w:rsidP="007D4827">
      <w:pPr>
        <w:rPr>
          <w:b/>
        </w:rPr>
      </w:pPr>
      <w:r>
        <w:rPr>
          <w:b/>
        </w:rPr>
        <w:t xml:space="preserve">For more detail see Section </w:t>
      </w:r>
      <w:r w:rsidR="008E5254">
        <w:rPr>
          <w:b/>
        </w:rPr>
        <w:t>4.6</w:t>
      </w:r>
      <w:r>
        <w:rPr>
          <w:b/>
        </w:rPr>
        <w:t xml:space="preserve"> of the </w:t>
      </w:r>
      <w:r w:rsidR="008E5254">
        <w:rPr>
          <w:b/>
        </w:rPr>
        <w:t>ID Server</w:t>
      </w:r>
      <w:r>
        <w:rPr>
          <w:b/>
        </w:rPr>
        <w:t xml:space="preserve"> Functional Specification</w:t>
      </w:r>
    </w:p>
    <w:p w14:paraId="4E8187A6" w14:textId="21D6B66D" w:rsidR="006133B3" w:rsidRDefault="008E5254" w:rsidP="00194F30">
      <w:pPr>
        <w:keepNext/>
        <w:jc w:val="center"/>
      </w:pPr>
      <w:r>
        <w:rPr>
          <w:noProof/>
        </w:rPr>
        <w:drawing>
          <wp:inline distT="0" distB="0" distL="0" distR="0" wp14:anchorId="627CDB1F" wp14:editId="1C9B8D56">
            <wp:extent cx="3829050" cy="2046561"/>
            <wp:effectExtent l="19050" t="19050" r="1905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36931" cy="2050773"/>
                    </a:xfrm>
                    <a:prstGeom prst="rect">
                      <a:avLst/>
                    </a:prstGeom>
                    <a:noFill/>
                    <a:ln>
                      <a:solidFill>
                        <a:schemeClr val="accent1"/>
                      </a:solidFill>
                    </a:ln>
                  </pic:spPr>
                </pic:pic>
              </a:graphicData>
            </a:graphic>
          </wp:inline>
        </w:drawing>
      </w:r>
    </w:p>
    <w:p w14:paraId="45213995" w14:textId="01C07AA3" w:rsidR="00194F30" w:rsidRDefault="00194F30" w:rsidP="00194F30">
      <w:pPr>
        <w:pStyle w:val="Figure"/>
      </w:pPr>
      <w:r>
        <w:t>Screenshot of the Two Factor Authentication Code Screen</w:t>
      </w:r>
    </w:p>
    <w:p w14:paraId="1D2FD788" w14:textId="2A61BF41" w:rsidR="00CF0179" w:rsidRDefault="00CF0179" w:rsidP="006133B3">
      <w:pPr>
        <w:keepNext/>
      </w:pPr>
      <w:r>
        <w:t xml:space="preserve">The Login system for hub2 has been extended to allow the use of two-factor authentication.  This allows user to set </w:t>
      </w:r>
      <w:proofErr w:type="gramStart"/>
      <w:r>
        <w:t>there</w:t>
      </w:r>
      <w:proofErr w:type="gramEnd"/>
      <w:r>
        <w:t xml:space="preserve"> account to require a 2</w:t>
      </w:r>
      <w:r w:rsidRPr="00CF0179">
        <w:rPr>
          <w:vertAlign w:val="superscript"/>
        </w:rPr>
        <w:t>nd</w:t>
      </w:r>
      <w:r>
        <w:t xml:space="preserve"> form of identify check to login to hub2.  For v1.15 only Microsoft Authenticator has been enabled which allows an app to be downloaded from the App Store and configured when the user first logs in after the Two Factor Authentication has been enabled. </w:t>
      </w:r>
    </w:p>
    <w:p w14:paraId="05D34EC9" w14:textId="77777777" w:rsidR="00CF0179" w:rsidRDefault="00CF0179" w:rsidP="00CF0179">
      <w:pPr>
        <w:keepNext/>
        <w:jc w:val="center"/>
      </w:pPr>
      <w:r>
        <w:rPr>
          <w:noProof/>
        </w:rPr>
        <w:drawing>
          <wp:inline distT="0" distB="0" distL="0" distR="0" wp14:anchorId="726BE563" wp14:editId="554E8784">
            <wp:extent cx="4914900" cy="2266950"/>
            <wp:effectExtent l="19050" t="19050" r="19050" b="19050"/>
            <wp:docPr id="196" name="Picture 196"/>
            <wp:cNvGraphicFramePr/>
            <a:graphic xmlns:a="http://schemas.openxmlformats.org/drawingml/2006/main">
              <a:graphicData uri="http://schemas.openxmlformats.org/drawingml/2006/picture">
                <pic:pic xmlns:pic="http://schemas.openxmlformats.org/drawingml/2006/picture">
                  <pic:nvPicPr>
                    <pic:cNvPr id="196" name="Picture 19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914900" cy="2266950"/>
                    </a:xfrm>
                    <a:prstGeom prst="rect">
                      <a:avLst/>
                    </a:prstGeom>
                    <a:ln>
                      <a:solidFill>
                        <a:schemeClr val="accent1"/>
                      </a:solidFill>
                    </a:ln>
                  </pic:spPr>
                </pic:pic>
              </a:graphicData>
            </a:graphic>
          </wp:inline>
        </w:drawing>
      </w:r>
    </w:p>
    <w:p w14:paraId="32929674" w14:textId="02F2E2C7" w:rsidR="00CF0179" w:rsidRDefault="00CF0179" w:rsidP="00CF0179">
      <w:pPr>
        <w:pStyle w:val="Figure"/>
        <w:numPr>
          <w:ilvl w:val="0"/>
          <w:numId w:val="49"/>
        </w:numPr>
      </w:pPr>
      <w:r>
        <w:t>Screenshot of the Configure Authenticator App Page</w:t>
      </w:r>
    </w:p>
    <w:p w14:paraId="3AF2AEAE" w14:textId="5D5F3141" w:rsidR="00CF0179" w:rsidRDefault="00CF0179" w:rsidP="00CF0179"/>
    <w:p w14:paraId="74CF6EFB" w14:textId="77777777" w:rsidR="00CF0179" w:rsidRDefault="00CF0179" w:rsidP="00CF0179">
      <w:r>
        <w:t>The configuration screen contains instructions which help the user find a suitable app to use for authentication, either by scanning a QR Code on-screen, or by manually entering a code if the device does not have a camera. Once the account is added to the app, the user must enter the current code to verify that setup is complete.</w:t>
      </w:r>
    </w:p>
    <w:p w14:paraId="54E17AF5" w14:textId="77777777" w:rsidR="00CF0179" w:rsidRDefault="00CF0179" w:rsidP="00CF0179">
      <w:r>
        <w:t>The authenticator app will generate a six-digit code which changes every 30 seconds.</w:t>
      </w:r>
    </w:p>
    <w:p w14:paraId="16F0752C" w14:textId="1F34EC7B" w:rsidR="00C773D4" w:rsidRPr="00CF0179" w:rsidRDefault="00ED6A80" w:rsidP="00CF0179">
      <w:pPr>
        <w:keepNext/>
      </w:pPr>
      <w:r>
        <w:t>By requiring both factors to authenticate, the risk associated with a breach of the user’s password is significantly reduced.</w:t>
      </w:r>
      <w:r w:rsidR="008E5254">
        <w:t xml:space="preserve"> </w:t>
      </w:r>
      <w:r w:rsidR="002D7638">
        <w:t xml:space="preserve">  To request 2FA</w:t>
      </w:r>
      <w:r w:rsidR="00235285">
        <w:t xml:space="preserve"> be enabled for an account please contact </w:t>
      </w:r>
      <w:hyperlink r:id="rId16" w:history="1">
        <w:r w:rsidR="00235285" w:rsidRPr="002635AC">
          <w:rPr>
            <w:rStyle w:val="Hyperlink"/>
          </w:rPr>
          <w:t>GoTechnology.Support@woodplc.com</w:t>
        </w:r>
      </w:hyperlink>
      <w:r w:rsidR="00235285">
        <w:t xml:space="preserve"> </w:t>
      </w:r>
      <w:r w:rsidR="00C773D4">
        <w:br w:type="page"/>
      </w:r>
    </w:p>
    <w:p w14:paraId="40537170" w14:textId="3F03FC3D" w:rsidR="007D4827" w:rsidRDefault="007D4827" w:rsidP="007D4827">
      <w:pPr>
        <w:pStyle w:val="Heading2"/>
      </w:pPr>
      <w:r>
        <w:lastRenderedPageBreak/>
        <w:t xml:space="preserve">Work Pack Generation Ordering enhancements </w:t>
      </w:r>
    </w:p>
    <w:p w14:paraId="5C33B3F2" w14:textId="3F315F15" w:rsidR="007D4827" w:rsidRDefault="007D4827" w:rsidP="007D4827">
      <w:pPr>
        <w:rPr>
          <w:b/>
        </w:rPr>
      </w:pPr>
      <w:r>
        <w:rPr>
          <w:b/>
        </w:rPr>
        <w:t xml:space="preserve">For more detail see Section </w:t>
      </w:r>
      <w:r w:rsidR="002D41C2">
        <w:rPr>
          <w:b/>
        </w:rPr>
        <w:t>23.2.5</w:t>
      </w:r>
      <w:r>
        <w:rPr>
          <w:b/>
        </w:rPr>
        <w:t xml:space="preserve"> of the v1.15 Functional Specification</w:t>
      </w:r>
    </w:p>
    <w:p w14:paraId="3FC7A2F4" w14:textId="49F7D809" w:rsidR="00D75F7E" w:rsidRDefault="00B400D2" w:rsidP="00CF0179">
      <w:pPr>
        <w:jc w:val="center"/>
        <w:rPr>
          <w:b/>
        </w:rPr>
      </w:pPr>
      <w:r>
        <w:rPr>
          <w:b/>
          <w:noProof/>
        </w:rPr>
        <w:drawing>
          <wp:inline distT="0" distB="0" distL="0" distR="0" wp14:anchorId="0786AAF8" wp14:editId="4273F81A">
            <wp:extent cx="4886325" cy="2382831"/>
            <wp:effectExtent l="19050" t="19050" r="9525"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orderScreen.PNG"/>
                    <pic:cNvPicPr/>
                  </pic:nvPicPr>
                  <pic:blipFill>
                    <a:blip r:embed="rId17">
                      <a:extLst>
                        <a:ext uri="{28A0092B-C50C-407E-A947-70E740481C1C}">
                          <a14:useLocalDpi xmlns:a14="http://schemas.microsoft.com/office/drawing/2010/main" val="0"/>
                        </a:ext>
                      </a:extLst>
                    </a:blip>
                    <a:stretch>
                      <a:fillRect/>
                    </a:stretch>
                  </pic:blipFill>
                  <pic:spPr>
                    <a:xfrm>
                      <a:off x="0" y="0"/>
                      <a:ext cx="4891975" cy="2385586"/>
                    </a:xfrm>
                    <a:prstGeom prst="rect">
                      <a:avLst/>
                    </a:prstGeom>
                    <a:ln>
                      <a:solidFill>
                        <a:schemeClr val="accent1"/>
                      </a:solidFill>
                    </a:ln>
                  </pic:spPr>
                </pic:pic>
              </a:graphicData>
            </a:graphic>
          </wp:inline>
        </w:drawing>
      </w:r>
    </w:p>
    <w:p w14:paraId="4427AAA9" w14:textId="4B24B502" w:rsidR="00B400D2" w:rsidRDefault="00B400D2" w:rsidP="00B400D2">
      <w:pPr>
        <w:pStyle w:val="Figure"/>
      </w:pPr>
      <w:r>
        <w:t>Work Pack Attachment Reordering Screen</w:t>
      </w:r>
    </w:p>
    <w:p w14:paraId="6419877D" w14:textId="4CE9DE6F" w:rsidR="002D41C2" w:rsidRPr="002D41C2" w:rsidRDefault="002D41C2" w:rsidP="007D4827">
      <w:r>
        <w:t>The ordering of all attachments to be included in a Work Pack can now be configured from a single screen. The new re-ordering screen will contain all pdf attachments for a Work Pack, any associated Job Cards and any of the Job Card’s associated Drawings.</w:t>
      </w:r>
    </w:p>
    <w:p w14:paraId="468B3816" w14:textId="2E01B7E5" w:rsidR="007D4827" w:rsidRDefault="007D4827" w:rsidP="007D4827">
      <w:pPr>
        <w:pStyle w:val="Heading2"/>
      </w:pPr>
      <w:r>
        <w:t>Improved Import Result Email</w:t>
      </w:r>
    </w:p>
    <w:p w14:paraId="65F3706B" w14:textId="0F853299" w:rsidR="007D4827" w:rsidRDefault="007D4827" w:rsidP="007D4827">
      <w:pPr>
        <w:rPr>
          <w:b/>
        </w:rPr>
      </w:pPr>
      <w:r>
        <w:rPr>
          <w:b/>
        </w:rPr>
        <w:t xml:space="preserve">For more detail see Section </w:t>
      </w:r>
      <w:r w:rsidR="00BE6788">
        <w:rPr>
          <w:b/>
        </w:rPr>
        <w:t>41.4.15</w:t>
      </w:r>
      <w:r>
        <w:rPr>
          <w:b/>
        </w:rPr>
        <w:t xml:space="preserve"> of the v1.15 Functional Specification</w:t>
      </w:r>
    </w:p>
    <w:p w14:paraId="41BFAE5D" w14:textId="5466B52B" w:rsidR="00535EB8" w:rsidRDefault="00535EB8" w:rsidP="00535EB8">
      <w:pPr>
        <w:jc w:val="center"/>
      </w:pPr>
      <w:r>
        <w:rPr>
          <w:noProof/>
        </w:rPr>
        <w:drawing>
          <wp:inline distT="0" distB="0" distL="0" distR="0" wp14:anchorId="02F73877" wp14:editId="7DC8C02A">
            <wp:extent cx="2924175" cy="2384246"/>
            <wp:effectExtent l="19050" t="19050" r="9525" b="165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portEmail.png"/>
                    <pic:cNvPicPr/>
                  </pic:nvPicPr>
                  <pic:blipFill>
                    <a:blip r:embed="rId18">
                      <a:extLst>
                        <a:ext uri="{28A0092B-C50C-407E-A947-70E740481C1C}">
                          <a14:useLocalDpi xmlns:a14="http://schemas.microsoft.com/office/drawing/2010/main" val="0"/>
                        </a:ext>
                      </a:extLst>
                    </a:blip>
                    <a:stretch>
                      <a:fillRect/>
                    </a:stretch>
                  </pic:blipFill>
                  <pic:spPr>
                    <a:xfrm>
                      <a:off x="0" y="0"/>
                      <a:ext cx="2998698" cy="2445009"/>
                    </a:xfrm>
                    <a:prstGeom prst="rect">
                      <a:avLst/>
                    </a:prstGeom>
                    <a:ln>
                      <a:solidFill>
                        <a:schemeClr val="accent1"/>
                      </a:solidFill>
                    </a:ln>
                  </pic:spPr>
                </pic:pic>
              </a:graphicData>
            </a:graphic>
          </wp:inline>
        </w:drawing>
      </w:r>
    </w:p>
    <w:p w14:paraId="1600BAE2" w14:textId="0AF44B81" w:rsidR="00535EB8" w:rsidRDefault="00535EB8" w:rsidP="00535EB8">
      <w:pPr>
        <w:pStyle w:val="Figure"/>
      </w:pPr>
      <w:r>
        <w:t>Example of an Import Result Email</w:t>
      </w:r>
    </w:p>
    <w:p w14:paraId="03410BCA" w14:textId="77777777" w:rsidR="00535EB8" w:rsidRDefault="00535EB8" w:rsidP="00535EB8">
      <w:pPr>
        <w:jc w:val="center"/>
      </w:pPr>
    </w:p>
    <w:p w14:paraId="241BE946" w14:textId="24F2762E" w:rsidR="00C773D4" w:rsidRPr="00535EB8" w:rsidRDefault="00BE6788" w:rsidP="00535EB8">
      <w:r>
        <w:t>The import result email has an improved subject line and now contains additional information to identify the import it refers to</w:t>
      </w:r>
      <w:r w:rsidR="001B0D58">
        <w:t>. This includes the</w:t>
      </w:r>
      <w:r>
        <w:t xml:space="preserve"> date and time the import was queued at and </w:t>
      </w:r>
      <w:r w:rsidR="001B0D58">
        <w:t>a unique</w:t>
      </w:r>
      <w:r>
        <w:t xml:space="preserve"> number </w:t>
      </w:r>
      <w:r w:rsidR="001B0D58">
        <w:t>for</w:t>
      </w:r>
      <w:r>
        <w:t xml:space="preserve"> the import. </w:t>
      </w:r>
      <w:r w:rsidR="001B0D58">
        <w:t>This number is also displayed in the on-screen notification when the import is queued.</w:t>
      </w:r>
    </w:p>
    <w:p w14:paraId="472C9D33" w14:textId="21CBD7A0" w:rsidR="007D4827" w:rsidRDefault="007D4827" w:rsidP="007D4827">
      <w:pPr>
        <w:pStyle w:val="Heading2"/>
      </w:pPr>
      <w:r>
        <w:lastRenderedPageBreak/>
        <w:t xml:space="preserve">Work Pack Generation based on Locked Status </w:t>
      </w:r>
    </w:p>
    <w:p w14:paraId="15978FB0" w14:textId="48BA3AD7" w:rsidR="007D4827" w:rsidRDefault="007D4827" w:rsidP="007D4827">
      <w:pPr>
        <w:rPr>
          <w:b/>
        </w:rPr>
      </w:pPr>
      <w:r>
        <w:rPr>
          <w:b/>
        </w:rPr>
        <w:t xml:space="preserve">For more detail see Section </w:t>
      </w:r>
      <w:r w:rsidR="00CA1C97">
        <w:rPr>
          <w:b/>
        </w:rPr>
        <w:t>23.2.6</w:t>
      </w:r>
      <w:r>
        <w:rPr>
          <w:b/>
        </w:rPr>
        <w:t xml:space="preserve"> of the v1.15 Functional Specification</w:t>
      </w:r>
    </w:p>
    <w:p w14:paraId="302429B3" w14:textId="092C1D73" w:rsidR="00D13DA1" w:rsidRDefault="00D13DA1" w:rsidP="007D4827">
      <w:pPr>
        <w:rPr>
          <w:b/>
        </w:rPr>
      </w:pPr>
      <w:r w:rsidRPr="00D13DA1">
        <w:rPr>
          <w:b/>
          <w:noProof/>
        </w:rPr>
        <w:drawing>
          <wp:inline distT="0" distB="0" distL="0" distR="0" wp14:anchorId="361C8A0D" wp14:editId="37D63020">
            <wp:extent cx="6120130" cy="2438400"/>
            <wp:effectExtent l="19050" t="19050" r="1397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438400"/>
                    </a:xfrm>
                    <a:prstGeom prst="rect">
                      <a:avLst/>
                    </a:prstGeom>
                    <a:ln>
                      <a:solidFill>
                        <a:schemeClr val="accent1"/>
                      </a:solidFill>
                    </a:ln>
                  </pic:spPr>
                </pic:pic>
              </a:graphicData>
            </a:graphic>
          </wp:inline>
        </w:drawing>
      </w:r>
    </w:p>
    <w:p w14:paraId="7C726871" w14:textId="1294A372" w:rsidR="00D13DA1" w:rsidRDefault="00D13DA1" w:rsidP="00D13DA1">
      <w:pPr>
        <w:pStyle w:val="Figure"/>
      </w:pPr>
      <w:r>
        <w:t>Screenshot of the Work Pack View page with the Generate Button Highlighted on a Locked Work Pack</w:t>
      </w:r>
    </w:p>
    <w:p w14:paraId="2B70152F" w14:textId="2ECB58EB" w:rsidR="00CA1C97" w:rsidRPr="00CA1C97" w:rsidRDefault="00CA1C97" w:rsidP="007D4827">
      <w:r>
        <w:t>Work Packs can now only be generated when the Work Pack has a Completion Status which locks the Work Pack set. The Work Packs Sign Offs no longer affect whether a Work Pack can be generated.</w:t>
      </w:r>
    </w:p>
    <w:p w14:paraId="72700476" w14:textId="6899D700" w:rsidR="007D4827" w:rsidRDefault="007D4827" w:rsidP="007D4827">
      <w:pPr>
        <w:pStyle w:val="Heading2"/>
      </w:pPr>
      <w:r>
        <w:t xml:space="preserve">Job Card field on As Built Drawings </w:t>
      </w:r>
    </w:p>
    <w:p w14:paraId="4E68258B" w14:textId="35D15969" w:rsidR="007D4827" w:rsidRDefault="007D4827" w:rsidP="007D4827">
      <w:pPr>
        <w:rPr>
          <w:b/>
        </w:rPr>
      </w:pPr>
      <w:r>
        <w:rPr>
          <w:b/>
        </w:rPr>
        <w:t xml:space="preserve">For more detail see Section </w:t>
      </w:r>
      <w:r w:rsidR="00CA1C97">
        <w:rPr>
          <w:b/>
        </w:rPr>
        <w:t>24.3.3.2</w:t>
      </w:r>
      <w:r>
        <w:rPr>
          <w:b/>
        </w:rPr>
        <w:t xml:space="preserve"> of the v1.15 Functional Specification</w:t>
      </w:r>
    </w:p>
    <w:p w14:paraId="37257AB4" w14:textId="3FB4797C" w:rsidR="005B5134" w:rsidRDefault="005B5134" w:rsidP="00CF0179">
      <w:pPr>
        <w:jc w:val="center"/>
        <w:rPr>
          <w:b/>
        </w:rPr>
      </w:pPr>
      <w:r w:rsidRPr="005B5134">
        <w:rPr>
          <w:b/>
          <w:noProof/>
        </w:rPr>
        <w:drawing>
          <wp:inline distT="0" distB="0" distL="0" distR="0" wp14:anchorId="1E148F84" wp14:editId="58B31A55">
            <wp:extent cx="5457825" cy="2402168"/>
            <wp:effectExtent l="19050" t="19050" r="9525"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65993" cy="2405763"/>
                    </a:xfrm>
                    <a:prstGeom prst="rect">
                      <a:avLst/>
                    </a:prstGeom>
                    <a:ln>
                      <a:solidFill>
                        <a:schemeClr val="accent1"/>
                      </a:solidFill>
                    </a:ln>
                  </pic:spPr>
                </pic:pic>
              </a:graphicData>
            </a:graphic>
          </wp:inline>
        </w:drawing>
      </w:r>
    </w:p>
    <w:p w14:paraId="09A55534" w14:textId="710593FE" w:rsidR="005B5134" w:rsidRDefault="005B5134" w:rsidP="005B5134">
      <w:pPr>
        <w:pStyle w:val="Figure"/>
      </w:pPr>
      <w:r>
        <w:t xml:space="preserve">Screenshot of the As Built Drawing Edit Screen with new Job Card field </w:t>
      </w:r>
      <w:r w:rsidR="00F56AFE">
        <w:t>highlighted</w:t>
      </w:r>
    </w:p>
    <w:p w14:paraId="2F91181E" w14:textId="1B9BBEEB" w:rsidR="00C773D4" w:rsidRDefault="00CA1C97" w:rsidP="00535EB8">
      <w:pPr>
        <w:rPr>
          <w:rFonts w:eastAsia="Times New Roman"/>
          <w:b/>
          <w:snapToGrid w:val="0"/>
          <w:color w:val="884C91"/>
          <w:sz w:val="24"/>
          <w:szCs w:val="24"/>
        </w:rPr>
      </w:pPr>
      <w:r>
        <w:t>As Built Drawings now have a Job Card field, which can be set on screen, via import and via the API.</w:t>
      </w:r>
    </w:p>
    <w:p w14:paraId="0C7516F2" w14:textId="5DD0D53B" w:rsidR="007D4827" w:rsidRDefault="007D4827" w:rsidP="007D4827">
      <w:pPr>
        <w:pStyle w:val="Heading2"/>
      </w:pPr>
      <w:r>
        <w:t xml:space="preserve">Job Card Authorised Person Permissions </w:t>
      </w:r>
    </w:p>
    <w:p w14:paraId="02FE0667" w14:textId="1AE21469" w:rsidR="007D4827" w:rsidRDefault="007D4827" w:rsidP="007D4827">
      <w:pPr>
        <w:rPr>
          <w:b/>
        </w:rPr>
      </w:pPr>
      <w:r>
        <w:rPr>
          <w:b/>
        </w:rPr>
        <w:t>For more detail see Section</w:t>
      </w:r>
      <w:r w:rsidR="00430DA6">
        <w:rPr>
          <w:b/>
        </w:rPr>
        <w:t xml:space="preserve"> 13.3.2.1 and</w:t>
      </w:r>
      <w:r>
        <w:rPr>
          <w:b/>
        </w:rPr>
        <w:t xml:space="preserve"> </w:t>
      </w:r>
      <w:r w:rsidR="00430DA6">
        <w:rPr>
          <w:b/>
        </w:rPr>
        <w:t>23.4</w:t>
      </w:r>
      <w:r>
        <w:rPr>
          <w:b/>
        </w:rPr>
        <w:t xml:space="preserve"> of the v1.15 Functional Specification</w:t>
      </w:r>
    </w:p>
    <w:p w14:paraId="6E35B711" w14:textId="52FC17AD" w:rsidR="00430DA6" w:rsidRDefault="00430DA6" w:rsidP="00430DA6">
      <w:r>
        <w:t>Authorised Persons now have a “Sign Off Job Cards” permission. T</w:t>
      </w:r>
      <w:r w:rsidRPr="002B6927">
        <w:t xml:space="preserve">he user </w:t>
      </w:r>
      <w:r>
        <w:t>will require this permission to Sign off, Accept and Assign Job Cards.</w:t>
      </w:r>
    </w:p>
    <w:p w14:paraId="664851A4" w14:textId="465F1328" w:rsidR="007D4827" w:rsidRDefault="007D4827" w:rsidP="007D4827">
      <w:pPr>
        <w:pStyle w:val="Heading2"/>
      </w:pPr>
      <w:r>
        <w:lastRenderedPageBreak/>
        <w:t xml:space="preserve"> Single Drawing Attachment </w:t>
      </w:r>
    </w:p>
    <w:p w14:paraId="7F70F192" w14:textId="3712F373" w:rsidR="007D4827" w:rsidRDefault="007D4827" w:rsidP="007D4827">
      <w:pPr>
        <w:rPr>
          <w:b/>
        </w:rPr>
      </w:pPr>
      <w:r>
        <w:rPr>
          <w:b/>
        </w:rPr>
        <w:t xml:space="preserve">For more detail see Section </w:t>
      </w:r>
      <w:r w:rsidR="00964933">
        <w:rPr>
          <w:b/>
        </w:rPr>
        <w:t>24.4.2 and 33.5.4</w:t>
      </w:r>
      <w:r>
        <w:rPr>
          <w:b/>
        </w:rPr>
        <w:t xml:space="preserve"> of the v1.15 Functional Specification</w:t>
      </w:r>
    </w:p>
    <w:p w14:paraId="284CAE5B" w14:textId="671302FA" w:rsidR="00430DA6" w:rsidRDefault="00430DA6" w:rsidP="00430DA6">
      <w:r>
        <w:t xml:space="preserve">Uploading Attachments to Drawings can now be restricted to one Attachment per Drawing </w:t>
      </w:r>
      <w:r w:rsidR="00CE0CBD">
        <w:t>via</w:t>
      </w:r>
      <w:r>
        <w:t xml:space="preserve"> the Level C “Single Drawing Attachments” feature.</w:t>
      </w:r>
      <w:r w:rsidR="00CE0CBD">
        <w:t xml:space="preserve"> The Attachment Grid</w:t>
      </w:r>
      <w:r w:rsidR="00C53B03">
        <w:t xml:space="preserve">, </w:t>
      </w:r>
      <w:r w:rsidR="00CE0CBD">
        <w:t>on the Drawing View Page</w:t>
      </w:r>
      <w:r w:rsidR="00C53B03">
        <w:t xml:space="preserve">, </w:t>
      </w:r>
      <w:r w:rsidR="00702CE2">
        <w:t xml:space="preserve">now displays a “Replace Attachment” button in place of the “Upload New” button, when one attachment already exists on a Drawing. </w:t>
      </w:r>
    </w:p>
    <w:p w14:paraId="5F661CB7" w14:textId="24326038" w:rsidR="00702CE2" w:rsidRPr="002B6927" w:rsidRDefault="00702CE2" w:rsidP="00430DA6">
      <w:r>
        <w:rPr>
          <w:noProof/>
        </w:rPr>
        <w:drawing>
          <wp:inline distT="0" distB="0" distL="0" distR="0" wp14:anchorId="3BA1F9EB" wp14:editId="299C26C3">
            <wp:extent cx="6120130" cy="1228090"/>
            <wp:effectExtent l="19050" t="19050" r="1397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placeAttachment.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1228090"/>
                    </a:xfrm>
                    <a:prstGeom prst="rect">
                      <a:avLst/>
                    </a:prstGeom>
                    <a:ln>
                      <a:solidFill>
                        <a:schemeClr val="accent1"/>
                      </a:solidFill>
                    </a:ln>
                  </pic:spPr>
                </pic:pic>
              </a:graphicData>
            </a:graphic>
          </wp:inline>
        </w:drawing>
      </w:r>
    </w:p>
    <w:p w14:paraId="3015E7A4" w14:textId="22BE7989" w:rsidR="00702CE2" w:rsidRDefault="00702CE2" w:rsidP="00702CE2">
      <w:pPr>
        <w:pStyle w:val="Figure"/>
      </w:pPr>
      <w:r>
        <w:t>Replace Attachment Button on Drawing Attachments Grid</w:t>
      </w:r>
    </w:p>
    <w:p w14:paraId="4300C862" w14:textId="2A870056" w:rsidR="00974879" w:rsidRDefault="00702CE2" w:rsidP="00430DA6">
      <w:r>
        <w:t xml:space="preserve">The “Replace Attachment” button </w:t>
      </w:r>
      <w:r w:rsidRPr="002B6927">
        <w:t>ask</w:t>
      </w:r>
      <w:r>
        <w:t xml:space="preserve">s the User </w:t>
      </w:r>
      <w:r w:rsidRPr="002B6927">
        <w:t xml:space="preserve">to confirm deleting the </w:t>
      </w:r>
      <w:r>
        <w:t xml:space="preserve">current </w:t>
      </w:r>
      <w:r w:rsidRPr="002B6927">
        <w:t>Attac</w:t>
      </w:r>
      <w:r>
        <w:t>hment, then o</w:t>
      </w:r>
      <w:r w:rsidRPr="002B6927" w:rsidDel="00572393">
        <w:t>pens</w:t>
      </w:r>
      <w:r w:rsidRPr="002B6927">
        <w:t xml:space="preserve"> </w:t>
      </w:r>
      <w:r>
        <w:t>the</w:t>
      </w:r>
      <w:r w:rsidRPr="002B6927">
        <w:t xml:space="preserve"> File Selector allowing the user to select one file</w:t>
      </w:r>
      <w:r>
        <w:t xml:space="preserve">. When trying to add an attachment via the </w:t>
      </w:r>
      <w:r w:rsidR="00423C4E">
        <w:t xml:space="preserve">Upload </w:t>
      </w:r>
      <w:r>
        <w:t xml:space="preserve">Attachments page, </w:t>
      </w:r>
      <w:r w:rsidR="00423C4E">
        <w:t>an Error message notifies the User if the Drawing selected already has an Attachment.</w:t>
      </w:r>
    </w:p>
    <w:p w14:paraId="02122AD3" w14:textId="13152A7A" w:rsidR="00423C4E" w:rsidRDefault="00F85A72" w:rsidP="00430DA6">
      <w:r w:rsidRPr="00F85A72">
        <w:rPr>
          <w:noProof/>
        </w:rPr>
        <w:drawing>
          <wp:inline distT="0" distB="0" distL="0" distR="0" wp14:anchorId="2E0B4EBB" wp14:editId="5EE07082">
            <wp:extent cx="6120130" cy="2455545"/>
            <wp:effectExtent l="19050" t="19050" r="13970" b="209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2455545"/>
                    </a:xfrm>
                    <a:prstGeom prst="rect">
                      <a:avLst/>
                    </a:prstGeom>
                    <a:ln>
                      <a:solidFill>
                        <a:schemeClr val="accent1"/>
                      </a:solidFill>
                    </a:ln>
                  </pic:spPr>
                </pic:pic>
              </a:graphicData>
            </a:graphic>
          </wp:inline>
        </w:drawing>
      </w:r>
    </w:p>
    <w:p w14:paraId="2665435F" w14:textId="16D3B2D7" w:rsidR="00423C4E" w:rsidRDefault="00423C4E" w:rsidP="00423C4E">
      <w:pPr>
        <w:pStyle w:val="Figure"/>
      </w:pPr>
      <w:r>
        <w:t>Multiple Attachments Error on Upload Attachments Page</w:t>
      </w:r>
    </w:p>
    <w:p w14:paraId="03DC615E" w14:textId="77777777" w:rsidR="00CF0179" w:rsidRDefault="00CF0179">
      <w:pPr>
        <w:spacing w:after="0" w:line="240" w:lineRule="auto"/>
        <w:jc w:val="left"/>
        <w:rPr>
          <w:rFonts w:eastAsia="Times New Roman"/>
          <w:b/>
          <w:snapToGrid w:val="0"/>
          <w:color w:val="884C91"/>
          <w:sz w:val="24"/>
          <w:szCs w:val="24"/>
        </w:rPr>
      </w:pPr>
      <w:r>
        <w:br w:type="page"/>
      </w:r>
    </w:p>
    <w:p w14:paraId="6BC05949" w14:textId="36BCCB9F" w:rsidR="00D60B68" w:rsidRDefault="00D60B68" w:rsidP="00D60B68">
      <w:pPr>
        <w:pStyle w:val="Heading2"/>
        <w:numPr>
          <w:ilvl w:val="1"/>
          <w:numId w:val="2"/>
        </w:numPr>
      </w:pPr>
      <w:r>
        <w:lastRenderedPageBreak/>
        <w:t xml:space="preserve">Digital Document included in Work Pack Generation </w:t>
      </w:r>
    </w:p>
    <w:p w14:paraId="4D2E256D" w14:textId="77777777" w:rsidR="00D60B68" w:rsidRDefault="00D60B68" w:rsidP="00D60B68">
      <w:pPr>
        <w:rPr>
          <w:b/>
        </w:rPr>
      </w:pPr>
      <w:r>
        <w:rPr>
          <w:b/>
        </w:rPr>
        <w:t>For more detail see Section 23.2.6 of the v1.15 Functional Specification</w:t>
      </w:r>
    </w:p>
    <w:p w14:paraId="7E5EB39D" w14:textId="77777777" w:rsidR="00D60B68" w:rsidRDefault="00D60B68" w:rsidP="00D60B68">
      <w:pPr>
        <w:rPr>
          <w:b/>
        </w:rPr>
      </w:pPr>
      <w:r>
        <w:t>If the Work Pack has a Work Pack Type which has a Digital Document, then there will be the appropriate Digital Document for the Work Pack generated and included at the end of the Generated Work Pack PDF file.</w:t>
      </w:r>
    </w:p>
    <w:p w14:paraId="43213378" w14:textId="77777777" w:rsidR="00D60B68" w:rsidRDefault="00D60B68" w:rsidP="00D60B68">
      <w:pPr>
        <w:pStyle w:val="Heading2"/>
        <w:numPr>
          <w:ilvl w:val="0"/>
          <w:numId w:val="0"/>
        </w:numPr>
      </w:pPr>
    </w:p>
    <w:p w14:paraId="6B7512F7" w14:textId="1A54D2A1" w:rsidR="00583C0D" w:rsidRDefault="00583C0D" w:rsidP="00583C0D">
      <w:pPr>
        <w:pStyle w:val="Heading2"/>
        <w:numPr>
          <w:ilvl w:val="1"/>
          <w:numId w:val="2"/>
        </w:numPr>
      </w:pPr>
      <w:r>
        <w:t>Tag ITR/PWL Auto Allocation Messages</w:t>
      </w:r>
    </w:p>
    <w:p w14:paraId="1D38DE91" w14:textId="240080E1" w:rsidR="00583C0D" w:rsidRPr="00583C0D" w:rsidRDefault="00583C0D" w:rsidP="00583C0D">
      <w:r>
        <w:t>The Tag ITR/PWL Auto Allocation Messages have been improved so that if there are no matching rows for the current Equipment Type then the message next to the Tag ITRs says there is no Matching Field in the Tag ITR/PWL Matrix.</w:t>
      </w:r>
    </w:p>
    <w:p w14:paraId="4B5F4180" w14:textId="77777777" w:rsidR="00423C4E" w:rsidRPr="0050597C" w:rsidRDefault="00423C4E" w:rsidP="00430DA6"/>
    <w:sectPr w:rsidR="00423C4E" w:rsidRPr="0050597C" w:rsidSect="00B4205E">
      <w:headerReference w:type="default" r:id="rId23"/>
      <w:footerReference w:type="default" r:id="rId24"/>
      <w:headerReference w:type="first" r:id="rId25"/>
      <w:pgSz w:w="11906" w:h="16838" w:code="9"/>
      <w:pgMar w:top="851" w:right="1134" w:bottom="567" w:left="1134" w:header="1701" w:footer="85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671343" w14:textId="77777777" w:rsidR="00EC26DB" w:rsidRDefault="00EC26DB" w:rsidP="00DE3F25">
      <w:pPr>
        <w:spacing w:after="0" w:line="240" w:lineRule="auto"/>
      </w:pPr>
      <w:r>
        <w:separator/>
      </w:r>
    </w:p>
  </w:endnote>
  <w:endnote w:type="continuationSeparator" w:id="0">
    <w:p w14:paraId="34011A1D" w14:textId="77777777" w:rsidR="00EC26DB" w:rsidRDefault="00EC26DB" w:rsidP="00DE3F25">
      <w:pPr>
        <w:spacing w:after="0" w:line="240" w:lineRule="auto"/>
      </w:pPr>
      <w:r>
        <w:continuationSeparator/>
      </w:r>
    </w:p>
  </w:endnote>
  <w:endnote w:type="continuationNotice" w:id="1">
    <w:p w14:paraId="05F5E9A8" w14:textId="77777777" w:rsidR="00EC26DB" w:rsidRDefault="00EC26D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DaxlinePro-Bold">
    <w:altName w:val="Times New Roman"/>
    <w:panose1 w:val="00000000000000000000"/>
    <w:charset w:val="00"/>
    <w:family w:val="modern"/>
    <w:notTrueType/>
    <w:pitch w:val="variable"/>
    <w:sig w:usb0="A00002EF" w:usb1="4000A4F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38C09B" w14:textId="2EFBC69C" w:rsidR="00EC26DB" w:rsidRPr="00B4205E" w:rsidRDefault="00EC26DB" w:rsidP="00B4205E">
    <w:pPr>
      <w:spacing w:after="0" w:line="260" w:lineRule="exact"/>
      <w:jc w:val="left"/>
    </w:pPr>
    <w:r w:rsidRPr="00B4205E">
      <w:rPr>
        <w:rFonts w:ascii="Arial" w:eastAsia="Times New Roman" w:hAnsi="Arial" w:cs="Tahoma"/>
        <w:noProof/>
        <w:sz w:val="18"/>
        <w:szCs w:val="18"/>
        <w:lang w:eastAsia="en-GB"/>
      </w:rPr>
      <w:drawing>
        <wp:anchor distT="0" distB="0" distL="114300" distR="114300" simplePos="0" relativeHeight="251658242" behindDoc="1" locked="0" layoutInCell="1" allowOverlap="1" wp14:anchorId="4EFF27DD" wp14:editId="0AC47CFE">
          <wp:simplePos x="0" y="0"/>
          <wp:positionH relativeFrom="page">
            <wp:align>right</wp:align>
          </wp:positionH>
          <wp:positionV relativeFrom="page">
            <wp:align>bottom</wp:align>
          </wp:positionV>
          <wp:extent cx="1651635" cy="935355"/>
          <wp:effectExtent l="0" t="0" r="571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dot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51635" cy="935355"/>
                  </a:xfrm>
                  <a:prstGeom prst="rect">
                    <a:avLst/>
                  </a:prstGeom>
                </pic:spPr>
              </pic:pic>
            </a:graphicData>
          </a:graphic>
          <wp14:sizeRelH relativeFrom="page">
            <wp14:pctWidth>0</wp14:pctWidth>
          </wp14:sizeRelH>
          <wp14:sizeRelV relativeFrom="page">
            <wp14:pctHeight>0</wp14:pctHeight>
          </wp14:sizeRelV>
        </wp:anchor>
      </w:drawing>
    </w:r>
    <w:r w:rsidRPr="00B4205E">
      <w:rPr>
        <w:rFonts w:ascii="Arial" w:eastAsia="Times New Roman" w:hAnsi="Arial" w:cs="Tahoma"/>
        <w:sz w:val="18"/>
        <w:szCs w:val="18"/>
        <w:lang w:eastAsia="en-GB"/>
      </w:rPr>
      <w:br/>
    </w:r>
    <w:r w:rsidRPr="00B4205E">
      <w:rPr>
        <w:rFonts w:ascii="Arial" w:eastAsia="Times New Roman" w:hAnsi="Arial" w:cs="Tahoma"/>
        <w:sz w:val="18"/>
        <w:szCs w:val="18"/>
        <w:lang w:eastAsia="en-GB"/>
      </w:rPr>
      <w:fldChar w:fldCharType="begin"/>
    </w:r>
    <w:r w:rsidRPr="00B4205E">
      <w:rPr>
        <w:rFonts w:ascii="Arial" w:eastAsia="Times New Roman" w:hAnsi="Arial" w:cs="Tahoma"/>
        <w:sz w:val="18"/>
        <w:szCs w:val="18"/>
        <w:lang w:eastAsia="en-GB"/>
      </w:rPr>
      <w:instrText xml:space="preserve"> PAGE  \* Arabic  \* MERGEFORMAT </w:instrText>
    </w:r>
    <w:r w:rsidRPr="00B4205E">
      <w:rPr>
        <w:rFonts w:ascii="Arial" w:eastAsia="Times New Roman" w:hAnsi="Arial" w:cs="Tahoma"/>
        <w:sz w:val="18"/>
        <w:szCs w:val="18"/>
        <w:lang w:eastAsia="en-GB"/>
      </w:rPr>
      <w:fldChar w:fldCharType="separate"/>
    </w:r>
    <w:r w:rsidRPr="00B4205E">
      <w:rPr>
        <w:rFonts w:ascii="Arial" w:eastAsia="Times New Roman" w:hAnsi="Arial" w:cs="Tahoma"/>
        <w:sz w:val="18"/>
        <w:szCs w:val="18"/>
        <w:lang w:eastAsia="en-GB"/>
      </w:rPr>
      <w:t>2</w:t>
    </w:r>
    <w:r w:rsidRPr="00B4205E">
      <w:rPr>
        <w:rFonts w:ascii="Arial" w:eastAsia="Times New Roman" w:hAnsi="Arial" w:cs="Tahoma"/>
        <w:sz w:val="18"/>
        <w:szCs w:val="18"/>
        <w:lang w:eastAsia="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C9F55" w14:textId="77777777" w:rsidR="00EC26DB" w:rsidRDefault="00EC26DB" w:rsidP="00DE3F25">
      <w:pPr>
        <w:spacing w:after="0" w:line="240" w:lineRule="auto"/>
      </w:pPr>
      <w:bookmarkStart w:id="0" w:name="_Hlk520705609"/>
      <w:bookmarkEnd w:id="0"/>
      <w:r>
        <w:separator/>
      </w:r>
    </w:p>
  </w:footnote>
  <w:footnote w:type="continuationSeparator" w:id="0">
    <w:p w14:paraId="43C70B5D" w14:textId="77777777" w:rsidR="00EC26DB" w:rsidRDefault="00EC26DB" w:rsidP="00DE3F25">
      <w:pPr>
        <w:spacing w:after="0" w:line="240" w:lineRule="auto"/>
      </w:pPr>
      <w:r>
        <w:continuationSeparator/>
      </w:r>
    </w:p>
  </w:footnote>
  <w:footnote w:type="continuationNotice" w:id="1">
    <w:p w14:paraId="4C088036" w14:textId="77777777" w:rsidR="00EC26DB" w:rsidRDefault="00EC26D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A5A52E" w14:textId="6D58A8CF" w:rsidR="00EC26DB" w:rsidRDefault="00EC26DB" w:rsidP="00A45BBC">
    <w:pPr>
      <w:pStyle w:val="Header"/>
      <w:tabs>
        <w:tab w:val="clear" w:pos="4513"/>
        <w:tab w:val="clear" w:pos="9026"/>
        <w:tab w:val="left" w:pos="8550"/>
      </w:tabs>
    </w:pPr>
    <w:r>
      <w:rPr>
        <w:noProof/>
        <w:lang w:eastAsia="en-GB"/>
      </w:rPr>
      <w:drawing>
        <wp:anchor distT="0" distB="0" distL="114300" distR="114300" simplePos="0" relativeHeight="251658241" behindDoc="1" locked="0" layoutInCell="1" allowOverlap="1" wp14:anchorId="7E3CDC30" wp14:editId="0762B037">
          <wp:simplePos x="0" y="0"/>
          <wp:positionH relativeFrom="page">
            <wp:align>right</wp:align>
          </wp:positionH>
          <wp:positionV relativeFrom="page">
            <wp:align>top</wp:align>
          </wp:positionV>
          <wp:extent cx="2160905" cy="97790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160905" cy="9779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9F508F" w14:textId="08FA45E1" w:rsidR="00EC26DB" w:rsidRDefault="00EC26DB" w:rsidP="00A45BBC">
    <w:pPr>
      <w:pStyle w:val="Header"/>
      <w:tabs>
        <w:tab w:val="clear" w:pos="4513"/>
        <w:tab w:val="clear" w:pos="9026"/>
        <w:tab w:val="left" w:pos="900"/>
      </w:tabs>
    </w:pPr>
    <w:r>
      <w:rPr>
        <w:rFonts w:cs="Arial"/>
        <w:noProof/>
        <w:lang w:eastAsia="en-GB"/>
      </w:rPr>
      <w:drawing>
        <wp:anchor distT="0" distB="0" distL="114300" distR="114300" simplePos="0" relativeHeight="251658240" behindDoc="1" locked="0" layoutInCell="1" allowOverlap="1" wp14:anchorId="5ED1DBDB" wp14:editId="15C92F1F">
          <wp:simplePos x="0" y="0"/>
          <wp:positionH relativeFrom="page">
            <wp:align>left</wp:align>
          </wp:positionH>
          <wp:positionV relativeFrom="page">
            <wp:align>bottom</wp:align>
          </wp:positionV>
          <wp:extent cx="7558405" cy="10691495"/>
          <wp:effectExtent l="0" t="0" r="444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ument covers ASSET A43.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8405" cy="1069149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47DC1"/>
    <w:multiLevelType w:val="hybridMultilevel"/>
    <w:tmpl w:val="55CE37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9D576E"/>
    <w:multiLevelType w:val="hybridMultilevel"/>
    <w:tmpl w:val="E0FE34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392705"/>
    <w:multiLevelType w:val="hybridMultilevel"/>
    <w:tmpl w:val="51E43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BE1C84"/>
    <w:multiLevelType w:val="hybridMultilevel"/>
    <w:tmpl w:val="4394E01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35127D"/>
    <w:multiLevelType w:val="hybridMultilevel"/>
    <w:tmpl w:val="E688AD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29D3EF7"/>
    <w:multiLevelType w:val="hybridMultilevel"/>
    <w:tmpl w:val="7FC05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C25864"/>
    <w:multiLevelType w:val="hybridMultilevel"/>
    <w:tmpl w:val="A42A8E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AC77C4E"/>
    <w:multiLevelType w:val="hybridMultilevel"/>
    <w:tmpl w:val="A06488E6"/>
    <w:lvl w:ilvl="0" w:tplc="263AFA1E">
      <w:start w:val="1"/>
      <w:numFmt w:val="decimal"/>
      <w:pStyle w:val="Figure"/>
      <w:lvlText w:val="Figur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8" w15:restartNumberingAfterBreak="0">
    <w:nsid w:val="1B460A2B"/>
    <w:multiLevelType w:val="hybridMultilevel"/>
    <w:tmpl w:val="6E88B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51332A"/>
    <w:multiLevelType w:val="hybridMultilevel"/>
    <w:tmpl w:val="03845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0C7EAF"/>
    <w:multiLevelType w:val="hybridMultilevel"/>
    <w:tmpl w:val="9BF0C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D84093"/>
    <w:multiLevelType w:val="hybridMultilevel"/>
    <w:tmpl w:val="15B88B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F935DD4"/>
    <w:multiLevelType w:val="hybridMultilevel"/>
    <w:tmpl w:val="40709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0EA447E"/>
    <w:multiLevelType w:val="hybridMultilevel"/>
    <w:tmpl w:val="39141E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2AB7B53"/>
    <w:multiLevelType w:val="hybridMultilevel"/>
    <w:tmpl w:val="03D0B3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33B1CBB"/>
    <w:multiLevelType w:val="hybridMultilevel"/>
    <w:tmpl w:val="CFFC8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69A6E59"/>
    <w:multiLevelType w:val="hybridMultilevel"/>
    <w:tmpl w:val="515816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BFF62FE"/>
    <w:multiLevelType w:val="hybridMultilevel"/>
    <w:tmpl w:val="3B3252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15:restartNumberingAfterBreak="0">
    <w:nsid w:val="3D57713F"/>
    <w:multiLevelType w:val="hybridMultilevel"/>
    <w:tmpl w:val="8F8EC4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D967054"/>
    <w:multiLevelType w:val="hybridMultilevel"/>
    <w:tmpl w:val="469E92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2003941"/>
    <w:multiLevelType w:val="hybridMultilevel"/>
    <w:tmpl w:val="64E882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422096B"/>
    <w:multiLevelType w:val="hybridMultilevel"/>
    <w:tmpl w:val="121C0B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93B2EAF"/>
    <w:multiLevelType w:val="hybridMultilevel"/>
    <w:tmpl w:val="53F8C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99C2365"/>
    <w:multiLevelType w:val="hybridMultilevel"/>
    <w:tmpl w:val="4CF83B3C"/>
    <w:lvl w:ilvl="0" w:tplc="11B6D782">
      <w:numFmt w:val="bullet"/>
      <w:lvlText w:val="-"/>
      <w:lvlJc w:val="left"/>
      <w:pPr>
        <w:ind w:left="720" w:hanging="360"/>
      </w:pPr>
      <w:rPr>
        <w:rFonts w:ascii="Calibri" w:eastAsia="Calibri" w:hAnsi="Calibri"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AC117DC"/>
    <w:multiLevelType w:val="hybridMultilevel"/>
    <w:tmpl w:val="111A5B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C0777F3"/>
    <w:multiLevelType w:val="multilevel"/>
    <w:tmpl w:val="238C000C"/>
    <w:lvl w:ilvl="0">
      <w:start w:val="1"/>
      <w:numFmt w:val="decimal"/>
      <w:pStyle w:val="Heading1"/>
      <w:lvlText w:val="%1."/>
      <w:lvlJc w:val="left"/>
      <w:pPr>
        <w:ind w:left="567" w:hanging="567"/>
      </w:pPr>
      <w:rPr>
        <w:rFonts w:hint="default"/>
      </w:rPr>
    </w:lvl>
    <w:lvl w:ilvl="1">
      <w:start w:val="1"/>
      <w:numFmt w:val="decimal"/>
      <w:pStyle w:val="Heading2"/>
      <w:lvlText w:val="%1.%2."/>
      <w:lvlJc w:val="left"/>
      <w:pPr>
        <w:ind w:left="567" w:hanging="567"/>
      </w:pPr>
      <w:rPr>
        <w:rFonts w:hint="default"/>
      </w:rPr>
    </w:lvl>
    <w:lvl w:ilvl="2">
      <w:start w:val="1"/>
      <w:numFmt w:val="decimal"/>
      <w:pStyle w:val="Heading3"/>
      <w:lvlText w:val="%1.%2.%3."/>
      <w:lvlJc w:val="left"/>
      <w:pPr>
        <w:ind w:left="567" w:hanging="567"/>
      </w:pPr>
      <w:rPr>
        <w:rFonts w:hint="default"/>
      </w:rPr>
    </w:lvl>
    <w:lvl w:ilvl="3">
      <w:start w:val="1"/>
      <w:numFmt w:val="decimal"/>
      <w:pStyle w:val="Heading4"/>
      <w:lvlText w:val="%1.%2.%3.%4."/>
      <w:lvlJc w:val="left"/>
      <w:pPr>
        <w:ind w:left="0" w:firstLine="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lowerLetter"/>
      <w:pStyle w:val="Heading5"/>
      <w:lvlText w:val="%1.%2.%3.%4.%5."/>
      <w:lvlJc w:val="left"/>
      <w:pPr>
        <w:ind w:left="567" w:hanging="567"/>
      </w:pPr>
      <w:rPr>
        <w:rFonts w:hint="default"/>
      </w:rPr>
    </w:lvl>
    <w:lvl w:ilvl="5">
      <w:start w:val="1"/>
      <w:numFmt w:val="lowerRoman"/>
      <w:lvlText w:val="%6."/>
      <w:lvlJc w:val="right"/>
      <w:pPr>
        <w:ind w:left="567" w:hanging="567"/>
      </w:pPr>
      <w:rPr>
        <w:rFonts w:hint="default"/>
      </w:rPr>
    </w:lvl>
    <w:lvl w:ilvl="6">
      <w:start w:val="1"/>
      <w:numFmt w:val="decimal"/>
      <w:lvlText w:val="%7."/>
      <w:lvlJc w:val="left"/>
      <w:pPr>
        <w:ind w:left="567" w:hanging="567"/>
      </w:pPr>
      <w:rPr>
        <w:rFonts w:hint="default"/>
      </w:rPr>
    </w:lvl>
    <w:lvl w:ilvl="7">
      <w:start w:val="1"/>
      <w:numFmt w:val="lowerLetter"/>
      <w:lvlText w:val="%8."/>
      <w:lvlJc w:val="left"/>
      <w:pPr>
        <w:ind w:left="567" w:hanging="567"/>
      </w:pPr>
      <w:rPr>
        <w:rFonts w:hint="default"/>
      </w:rPr>
    </w:lvl>
    <w:lvl w:ilvl="8">
      <w:start w:val="1"/>
      <w:numFmt w:val="lowerRoman"/>
      <w:lvlText w:val="%9."/>
      <w:lvlJc w:val="right"/>
      <w:pPr>
        <w:ind w:left="567" w:hanging="567"/>
      </w:pPr>
      <w:rPr>
        <w:rFonts w:hint="default"/>
      </w:rPr>
    </w:lvl>
  </w:abstractNum>
  <w:abstractNum w:abstractNumId="26" w15:restartNumberingAfterBreak="0">
    <w:nsid w:val="4CC575E2"/>
    <w:multiLevelType w:val="hybridMultilevel"/>
    <w:tmpl w:val="4E34B6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DFA4247"/>
    <w:multiLevelType w:val="hybridMultilevel"/>
    <w:tmpl w:val="DE501E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24328CC"/>
    <w:multiLevelType w:val="hybridMultilevel"/>
    <w:tmpl w:val="C34E3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29973EC"/>
    <w:multiLevelType w:val="hybridMultilevel"/>
    <w:tmpl w:val="B302DA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2AE1DB1"/>
    <w:multiLevelType w:val="hybridMultilevel"/>
    <w:tmpl w:val="8EA868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F2B2DB2"/>
    <w:multiLevelType w:val="hybridMultilevel"/>
    <w:tmpl w:val="1292AC3A"/>
    <w:lvl w:ilvl="0" w:tplc="5C7C8BB2">
      <w:start w:val="1"/>
      <w:numFmt w:val="decimal"/>
      <w:pStyle w:val="Table"/>
      <w:lvlText w:val="Table %1."/>
      <w:lvlJc w:val="left"/>
      <w:pPr>
        <w:ind w:left="1440" w:hanging="360"/>
      </w:pPr>
      <w:rPr>
        <w:rFonts w:hint="default"/>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32" w15:restartNumberingAfterBreak="0">
    <w:nsid w:val="61C7538A"/>
    <w:multiLevelType w:val="hybridMultilevel"/>
    <w:tmpl w:val="3E54A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257022C"/>
    <w:multiLevelType w:val="hybridMultilevel"/>
    <w:tmpl w:val="06B80A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B7E123D"/>
    <w:multiLevelType w:val="hybridMultilevel"/>
    <w:tmpl w:val="9E78E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CD04296"/>
    <w:multiLevelType w:val="hybridMultilevel"/>
    <w:tmpl w:val="708C33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51F74EA"/>
    <w:multiLevelType w:val="hybridMultilevel"/>
    <w:tmpl w:val="3210F0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5DB2D6D"/>
    <w:multiLevelType w:val="multilevel"/>
    <w:tmpl w:val="AD1A64AE"/>
    <w:lvl w:ilvl="0">
      <w:start w:val="1"/>
      <w:numFmt w:val="decimal"/>
      <w:lvlText w:val="SECTION %1."/>
      <w:lvlJc w:val="left"/>
      <w:pPr>
        <w:ind w:left="360" w:hanging="360"/>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8" w15:restartNumberingAfterBreak="0">
    <w:nsid w:val="7DB73097"/>
    <w:multiLevelType w:val="hybridMultilevel"/>
    <w:tmpl w:val="BEC890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7"/>
  </w:num>
  <w:num w:numId="2">
    <w:abstractNumId w:val="25"/>
  </w:num>
  <w:num w:numId="3">
    <w:abstractNumId w:val="25"/>
  </w:num>
  <w:num w:numId="4">
    <w:abstractNumId w:val="31"/>
  </w:num>
  <w:num w:numId="5">
    <w:abstractNumId w:val="7"/>
  </w:num>
  <w:num w:numId="6">
    <w:abstractNumId w:val="19"/>
  </w:num>
  <w:num w:numId="7">
    <w:abstractNumId w:val="24"/>
  </w:num>
  <w:num w:numId="8">
    <w:abstractNumId w:val="11"/>
  </w:num>
  <w:num w:numId="9">
    <w:abstractNumId w:val="30"/>
  </w:num>
  <w:num w:numId="10">
    <w:abstractNumId w:val="0"/>
  </w:num>
  <w:num w:numId="11">
    <w:abstractNumId w:val="1"/>
  </w:num>
  <w:num w:numId="12">
    <w:abstractNumId w:val="12"/>
  </w:num>
  <w:num w:numId="13">
    <w:abstractNumId w:val="34"/>
  </w:num>
  <w:num w:numId="14">
    <w:abstractNumId w:val="2"/>
  </w:num>
  <w:num w:numId="15">
    <w:abstractNumId w:val="20"/>
  </w:num>
  <w:num w:numId="16">
    <w:abstractNumId w:val="10"/>
  </w:num>
  <w:num w:numId="17">
    <w:abstractNumId w:val="26"/>
  </w:num>
  <w:num w:numId="18">
    <w:abstractNumId w:val="15"/>
  </w:num>
  <w:num w:numId="19">
    <w:abstractNumId w:val="28"/>
  </w:num>
  <w:num w:numId="20">
    <w:abstractNumId w:val="32"/>
  </w:num>
  <w:num w:numId="21">
    <w:abstractNumId w:val="27"/>
  </w:num>
  <w:num w:numId="22">
    <w:abstractNumId w:val="21"/>
  </w:num>
  <w:num w:numId="23">
    <w:abstractNumId w:val="33"/>
  </w:num>
  <w:num w:numId="24">
    <w:abstractNumId w:val="38"/>
  </w:num>
  <w:num w:numId="25">
    <w:abstractNumId w:val="14"/>
  </w:num>
  <w:num w:numId="26">
    <w:abstractNumId w:val="22"/>
  </w:num>
  <w:num w:numId="27">
    <w:abstractNumId w:val="18"/>
  </w:num>
  <w:num w:numId="28">
    <w:abstractNumId w:val="8"/>
  </w:num>
  <w:num w:numId="29">
    <w:abstractNumId w:val="29"/>
  </w:num>
  <w:num w:numId="30">
    <w:abstractNumId w:val="3"/>
  </w:num>
  <w:num w:numId="31">
    <w:abstractNumId w:val="9"/>
  </w:num>
  <w:num w:numId="32">
    <w:abstractNumId w:val="23"/>
  </w:num>
  <w:num w:numId="33">
    <w:abstractNumId w:val="36"/>
  </w:num>
  <w:num w:numId="34">
    <w:abstractNumId w:val="35"/>
  </w:num>
  <w:num w:numId="35">
    <w:abstractNumId w:val="16"/>
  </w:num>
  <w:num w:numId="36">
    <w:abstractNumId w:val="13"/>
  </w:num>
  <w:num w:numId="37">
    <w:abstractNumId w:val="4"/>
  </w:num>
  <w:num w:numId="38">
    <w:abstractNumId w:val="3"/>
  </w:num>
  <w:num w:numId="39">
    <w:abstractNumId w:val="29"/>
  </w:num>
  <w:num w:numId="4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5"/>
  </w:num>
  <w:num w:numId="42">
    <w:abstractNumId w:val="6"/>
  </w:num>
  <w:num w:numId="43">
    <w:abstractNumId w:val="7"/>
    <w:lvlOverride w:ilvl="0">
      <w:startOverride w:val="1"/>
    </w:lvlOverride>
  </w:num>
  <w:num w:numId="44">
    <w:abstractNumId w:val="7"/>
    <w:lvlOverride w:ilvl="0">
      <w:startOverride w:val="1"/>
    </w:lvlOverride>
  </w:num>
  <w:num w:numId="45">
    <w:abstractNumId w:val="7"/>
    <w:lvlOverride w:ilvl="0">
      <w:startOverride w:val="1"/>
    </w:lvlOverride>
  </w:num>
  <w:num w:numId="46">
    <w:abstractNumId w:val="7"/>
    <w:lvlOverride w:ilvl="0">
      <w:startOverride w:val="1"/>
    </w:lvlOverride>
  </w:num>
  <w:num w:numId="47">
    <w:abstractNumId w:val="7"/>
    <w:lvlOverride w:ilvl="0">
      <w:startOverride w:val="1"/>
    </w:lvlOverride>
  </w:num>
  <w:num w:numId="4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7"/>
    <w:lvlOverride w:ilvl="0">
      <w:startOverride w:val="1"/>
    </w:lvlOverride>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documentProtection w:edit="readOnly" w:enforcement="0"/>
  <w:defaultTabStop w:val="720"/>
  <w:drawingGridHorizontalSpacing w:val="110"/>
  <w:displayHorizontalDrawingGridEvery w:val="2"/>
  <w:characterSpacingControl w:val="doNotCompress"/>
  <w:hdrShapeDefaults>
    <o:shapedefaults v:ext="edit" spidmax="4710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7C7"/>
    <w:rsid w:val="00000B1C"/>
    <w:rsid w:val="0000145E"/>
    <w:rsid w:val="00001C46"/>
    <w:rsid w:val="000026B0"/>
    <w:rsid w:val="00002D57"/>
    <w:rsid w:val="00004325"/>
    <w:rsid w:val="00004960"/>
    <w:rsid w:val="00004E37"/>
    <w:rsid w:val="00005382"/>
    <w:rsid w:val="00005C0E"/>
    <w:rsid w:val="0000675D"/>
    <w:rsid w:val="00006B3B"/>
    <w:rsid w:val="00006E19"/>
    <w:rsid w:val="00007921"/>
    <w:rsid w:val="00007B6C"/>
    <w:rsid w:val="0001025C"/>
    <w:rsid w:val="0001057C"/>
    <w:rsid w:val="00010BC2"/>
    <w:rsid w:val="0001157B"/>
    <w:rsid w:val="00011594"/>
    <w:rsid w:val="00011868"/>
    <w:rsid w:val="00011ADE"/>
    <w:rsid w:val="00011FD1"/>
    <w:rsid w:val="000121F7"/>
    <w:rsid w:val="0001276A"/>
    <w:rsid w:val="00013D6A"/>
    <w:rsid w:val="00014187"/>
    <w:rsid w:val="00014EBA"/>
    <w:rsid w:val="00016158"/>
    <w:rsid w:val="00016BCE"/>
    <w:rsid w:val="00016D12"/>
    <w:rsid w:val="000170F6"/>
    <w:rsid w:val="00017EA2"/>
    <w:rsid w:val="000204B8"/>
    <w:rsid w:val="0002053A"/>
    <w:rsid w:val="000214C3"/>
    <w:rsid w:val="00021890"/>
    <w:rsid w:val="0002243B"/>
    <w:rsid w:val="000237FB"/>
    <w:rsid w:val="00023B6D"/>
    <w:rsid w:val="0002402C"/>
    <w:rsid w:val="00024421"/>
    <w:rsid w:val="0002447A"/>
    <w:rsid w:val="000258A2"/>
    <w:rsid w:val="00025C78"/>
    <w:rsid w:val="00025D88"/>
    <w:rsid w:val="00027AFE"/>
    <w:rsid w:val="0003012A"/>
    <w:rsid w:val="00030254"/>
    <w:rsid w:val="0003043E"/>
    <w:rsid w:val="000304B6"/>
    <w:rsid w:val="00030D1C"/>
    <w:rsid w:val="000312D3"/>
    <w:rsid w:val="000315E5"/>
    <w:rsid w:val="00031632"/>
    <w:rsid w:val="00031944"/>
    <w:rsid w:val="00035232"/>
    <w:rsid w:val="000353BF"/>
    <w:rsid w:val="000353E4"/>
    <w:rsid w:val="00035AE9"/>
    <w:rsid w:val="00036397"/>
    <w:rsid w:val="000365D6"/>
    <w:rsid w:val="000367E4"/>
    <w:rsid w:val="000375FE"/>
    <w:rsid w:val="000400D4"/>
    <w:rsid w:val="00041021"/>
    <w:rsid w:val="00041809"/>
    <w:rsid w:val="00041AC7"/>
    <w:rsid w:val="00041B35"/>
    <w:rsid w:val="00041E17"/>
    <w:rsid w:val="000422E6"/>
    <w:rsid w:val="0004293D"/>
    <w:rsid w:val="000432C2"/>
    <w:rsid w:val="000446F3"/>
    <w:rsid w:val="000452CF"/>
    <w:rsid w:val="0004597D"/>
    <w:rsid w:val="00046702"/>
    <w:rsid w:val="00046A7F"/>
    <w:rsid w:val="00047888"/>
    <w:rsid w:val="00047F86"/>
    <w:rsid w:val="000500BB"/>
    <w:rsid w:val="000502AF"/>
    <w:rsid w:val="000504A9"/>
    <w:rsid w:val="00050B47"/>
    <w:rsid w:val="000512E7"/>
    <w:rsid w:val="0005139B"/>
    <w:rsid w:val="00051E23"/>
    <w:rsid w:val="0005267C"/>
    <w:rsid w:val="000527FD"/>
    <w:rsid w:val="000533D4"/>
    <w:rsid w:val="000548AC"/>
    <w:rsid w:val="0005543E"/>
    <w:rsid w:val="00055467"/>
    <w:rsid w:val="00055D37"/>
    <w:rsid w:val="0005767F"/>
    <w:rsid w:val="00060682"/>
    <w:rsid w:val="000627C5"/>
    <w:rsid w:val="0006318D"/>
    <w:rsid w:val="0006329D"/>
    <w:rsid w:val="00063EE5"/>
    <w:rsid w:val="000640BD"/>
    <w:rsid w:val="000642F2"/>
    <w:rsid w:val="0006438D"/>
    <w:rsid w:val="00064AE8"/>
    <w:rsid w:val="000652EC"/>
    <w:rsid w:val="00066D38"/>
    <w:rsid w:val="0006764F"/>
    <w:rsid w:val="0006784A"/>
    <w:rsid w:val="00067EA6"/>
    <w:rsid w:val="000705ED"/>
    <w:rsid w:val="00070CD4"/>
    <w:rsid w:val="00071154"/>
    <w:rsid w:val="00071D38"/>
    <w:rsid w:val="00072CC0"/>
    <w:rsid w:val="00073013"/>
    <w:rsid w:val="0007343F"/>
    <w:rsid w:val="0007353E"/>
    <w:rsid w:val="00073707"/>
    <w:rsid w:val="00074249"/>
    <w:rsid w:val="0007435E"/>
    <w:rsid w:val="00074576"/>
    <w:rsid w:val="00074B35"/>
    <w:rsid w:val="00074B73"/>
    <w:rsid w:val="000752D2"/>
    <w:rsid w:val="00075DE0"/>
    <w:rsid w:val="000761A3"/>
    <w:rsid w:val="00076E01"/>
    <w:rsid w:val="00077EB5"/>
    <w:rsid w:val="00080BA3"/>
    <w:rsid w:val="0008145A"/>
    <w:rsid w:val="00081EDE"/>
    <w:rsid w:val="00081FA5"/>
    <w:rsid w:val="00082DDC"/>
    <w:rsid w:val="00083645"/>
    <w:rsid w:val="00084346"/>
    <w:rsid w:val="000849F6"/>
    <w:rsid w:val="00085409"/>
    <w:rsid w:val="000857A1"/>
    <w:rsid w:val="00085F41"/>
    <w:rsid w:val="00086254"/>
    <w:rsid w:val="00086700"/>
    <w:rsid w:val="00087916"/>
    <w:rsid w:val="00087B0B"/>
    <w:rsid w:val="00090553"/>
    <w:rsid w:val="0009055E"/>
    <w:rsid w:val="00090EC9"/>
    <w:rsid w:val="0009172A"/>
    <w:rsid w:val="00091FE8"/>
    <w:rsid w:val="0009234D"/>
    <w:rsid w:val="00093606"/>
    <w:rsid w:val="000936D7"/>
    <w:rsid w:val="000941F8"/>
    <w:rsid w:val="00094268"/>
    <w:rsid w:val="000944F6"/>
    <w:rsid w:val="00094B6B"/>
    <w:rsid w:val="00094C61"/>
    <w:rsid w:val="000955F0"/>
    <w:rsid w:val="00095680"/>
    <w:rsid w:val="000960B1"/>
    <w:rsid w:val="000965DA"/>
    <w:rsid w:val="00096834"/>
    <w:rsid w:val="00096B09"/>
    <w:rsid w:val="0009764E"/>
    <w:rsid w:val="00097879"/>
    <w:rsid w:val="000A0B0A"/>
    <w:rsid w:val="000A0CB0"/>
    <w:rsid w:val="000A1102"/>
    <w:rsid w:val="000A1207"/>
    <w:rsid w:val="000A2482"/>
    <w:rsid w:val="000A2DFA"/>
    <w:rsid w:val="000A37D3"/>
    <w:rsid w:val="000A47CF"/>
    <w:rsid w:val="000A4A70"/>
    <w:rsid w:val="000A4AFE"/>
    <w:rsid w:val="000A632F"/>
    <w:rsid w:val="000A6535"/>
    <w:rsid w:val="000A6978"/>
    <w:rsid w:val="000B04AE"/>
    <w:rsid w:val="000B0808"/>
    <w:rsid w:val="000B1BB9"/>
    <w:rsid w:val="000B1BF3"/>
    <w:rsid w:val="000B2366"/>
    <w:rsid w:val="000B2544"/>
    <w:rsid w:val="000B2CAA"/>
    <w:rsid w:val="000B2D83"/>
    <w:rsid w:val="000B3F99"/>
    <w:rsid w:val="000B4A33"/>
    <w:rsid w:val="000B4B88"/>
    <w:rsid w:val="000B4DD6"/>
    <w:rsid w:val="000B5491"/>
    <w:rsid w:val="000B5556"/>
    <w:rsid w:val="000B55BB"/>
    <w:rsid w:val="000B59A9"/>
    <w:rsid w:val="000B5B8B"/>
    <w:rsid w:val="000B6344"/>
    <w:rsid w:val="000B7444"/>
    <w:rsid w:val="000B7466"/>
    <w:rsid w:val="000C0236"/>
    <w:rsid w:val="000C14C9"/>
    <w:rsid w:val="000C187E"/>
    <w:rsid w:val="000C3499"/>
    <w:rsid w:val="000C34EB"/>
    <w:rsid w:val="000C3B8E"/>
    <w:rsid w:val="000C3FAC"/>
    <w:rsid w:val="000C4612"/>
    <w:rsid w:val="000C4DB4"/>
    <w:rsid w:val="000C4E50"/>
    <w:rsid w:val="000C5381"/>
    <w:rsid w:val="000C6464"/>
    <w:rsid w:val="000C6D54"/>
    <w:rsid w:val="000D009A"/>
    <w:rsid w:val="000D0410"/>
    <w:rsid w:val="000D07F6"/>
    <w:rsid w:val="000D13F2"/>
    <w:rsid w:val="000D2367"/>
    <w:rsid w:val="000D2552"/>
    <w:rsid w:val="000D4152"/>
    <w:rsid w:val="000D439A"/>
    <w:rsid w:val="000D473C"/>
    <w:rsid w:val="000D4E0F"/>
    <w:rsid w:val="000D4EAA"/>
    <w:rsid w:val="000D50DD"/>
    <w:rsid w:val="000D6C1C"/>
    <w:rsid w:val="000D6EB6"/>
    <w:rsid w:val="000D7121"/>
    <w:rsid w:val="000D7585"/>
    <w:rsid w:val="000D7672"/>
    <w:rsid w:val="000E1240"/>
    <w:rsid w:val="000E1677"/>
    <w:rsid w:val="000E2056"/>
    <w:rsid w:val="000E3752"/>
    <w:rsid w:val="000E4551"/>
    <w:rsid w:val="000E5533"/>
    <w:rsid w:val="000E5999"/>
    <w:rsid w:val="000E59BC"/>
    <w:rsid w:val="000E6A5F"/>
    <w:rsid w:val="000E6B0A"/>
    <w:rsid w:val="000F0358"/>
    <w:rsid w:val="000F178F"/>
    <w:rsid w:val="000F27AF"/>
    <w:rsid w:val="000F2D03"/>
    <w:rsid w:val="000F32BF"/>
    <w:rsid w:val="000F46E4"/>
    <w:rsid w:val="000F49D6"/>
    <w:rsid w:val="000F4E68"/>
    <w:rsid w:val="000F4E6F"/>
    <w:rsid w:val="000F5161"/>
    <w:rsid w:val="000F6B14"/>
    <w:rsid w:val="000F6BBD"/>
    <w:rsid w:val="000F7080"/>
    <w:rsid w:val="000F7B00"/>
    <w:rsid w:val="001006F5"/>
    <w:rsid w:val="00100C3B"/>
    <w:rsid w:val="001010C2"/>
    <w:rsid w:val="00101E1A"/>
    <w:rsid w:val="001024A4"/>
    <w:rsid w:val="001028AB"/>
    <w:rsid w:val="00102C97"/>
    <w:rsid w:val="00102CE5"/>
    <w:rsid w:val="00103293"/>
    <w:rsid w:val="00103C89"/>
    <w:rsid w:val="001053BE"/>
    <w:rsid w:val="001058FD"/>
    <w:rsid w:val="00106DAD"/>
    <w:rsid w:val="00106F9F"/>
    <w:rsid w:val="00106FF5"/>
    <w:rsid w:val="00107188"/>
    <w:rsid w:val="0010746C"/>
    <w:rsid w:val="001077A0"/>
    <w:rsid w:val="001105A6"/>
    <w:rsid w:val="001107B2"/>
    <w:rsid w:val="00111187"/>
    <w:rsid w:val="00112B9F"/>
    <w:rsid w:val="00112CA8"/>
    <w:rsid w:val="00113032"/>
    <w:rsid w:val="00115268"/>
    <w:rsid w:val="00115B44"/>
    <w:rsid w:val="00115E0D"/>
    <w:rsid w:val="001166C5"/>
    <w:rsid w:val="001200C8"/>
    <w:rsid w:val="00120FE8"/>
    <w:rsid w:val="00121203"/>
    <w:rsid w:val="0012155B"/>
    <w:rsid w:val="001239E5"/>
    <w:rsid w:val="00123DAA"/>
    <w:rsid w:val="00124A9D"/>
    <w:rsid w:val="00125755"/>
    <w:rsid w:val="00125863"/>
    <w:rsid w:val="00125FB1"/>
    <w:rsid w:val="00125FE2"/>
    <w:rsid w:val="001266B6"/>
    <w:rsid w:val="001266E8"/>
    <w:rsid w:val="00126AB8"/>
    <w:rsid w:val="0013099A"/>
    <w:rsid w:val="00131BF5"/>
    <w:rsid w:val="00131C68"/>
    <w:rsid w:val="00132A1C"/>
    <w:rsid w:val="001339D2"/>
    <w:rsid w:val="00133E67"/>
    <w:rsid w:val="00134672"/>
    <w:rsid w:val="00134E16"/>
    <w:rsid w:val="00135045"/>
    <w:rsid w:val="00135517"/>
    <w:rsid w:val="0013613C"/>
    <w:rsid w:val="001368C9"/>
    <w:rsid w:val="00137087"/>
    <w:rsid w:val="00137196"/>
    <w:rsid w:val="00137370"/>
    <w:rsid w:val="00137873"/>
    <w:rsid w:val="00137993"/>
    <w:rsid w:val="00137B58"/>
    <w:rsid w:val="001402A8"/>
    <w:rsid w:val="0014084B"/>
    <w:rsid w:val="00141F99"/>
    <w:rsid w:val="00142211"/>
    <w:rsid w:val="00142225"/>
    <w:rsid w:val="0014249A"/>
    <w:rsid w:val="00142C01"/>
    <w:rsid w:val="00143351"/>
    <w:rsid w:val="0014422D"/>
    <w:rsid w:val="00144332"/>
    <w:rsid w:val="00144600"/>
    <w:rsid w:val="0014473B"/>
    <w:rsid w:val="001451E8"/>
    <w:rsid w:val="0014597D"/>
    <w:rsid w:val="00146086"/>
    <w:rsid w:val="00146A46"/>
    <w:rsid w:val="00146C95"/>
    <w:rsid w:val="00146E21"/>
    <w:rsid w:val="00147CF3"/>
    <w:rsid w:val="00150311"/>
    <w:rsid w:val="0015032D"/>
    <w:rsid w:val="0015093F"/>
    <w:rsid w:val="00151A31"/>
    <w:rsid w:val="00153098"/>
    <w:rsid w:val="001543F4"/>
    <w:rsid w:val="00154F8F"/>
    <w:rsid w:val="00155CB4"/>
    <w:rsid w:val="001560B5"/>
    <w:rsid w:val="001567C0"/>
    <w:rsid w:val="00156997"/>
    <w:rsid w:val="00156CA2"/>
    <w:rsid w:val="00156F02"/>
    <w:rsid w:val="00157B8A"/>
    <w:rsid w:val="00160179"/>
    <w:rsid w:val="001601B6"/>
    <w:rsid w:val="001602BE"/>
    <w:rsid w:val="001604F9"/>
    <w:rsid w:val="00161932"/>
    <w:rsid w:val="00161B11"/>
    <w:rsid w:val="00162242"/>
    <w:rsid w:val="00162AC7"/>
    <w:rsid w:val="00163682"/>
    <w:rsid w:val="00163C24"/>
    <w:rsid w:val="001641CE"/>
    <w:rsid w:val="0016499F"/>
    <w:rsid w:val="00164A7A"/>
    <w:rsid w:val="001650C3"/>
    <w:rsid w:val="001660A9"/>
    <w:rsid w:val="001661D7"/>
    <w:rsid w:val="00166F87"/>
    <w:rsid w:val="00167738"/>
    <w:rsid w:val="001677D0"/>
    <w:rsid w:val="0017042D"/>
    <w:rsid w:val="00170594"/>
    <w:rsid w:val="00170A14"/>
    <w:rsid w:val="0017155E"/>
    <w:rsid w:val="00171608"/>
    <w:rsid w:val="0017168D"/>
    <w:rsid w:val="00172A4B"/>
    <w:rsid w:val="00172B8E"/>
    <w:rsid w:val="00172F1E"/>
    <w:rsid w:val="00173226"/>
    <w:rsid w:val="001733E9"/>
    <w:rsid w:val="0017544D"/>
    <w:rsid w:val="00175CE5"/>
    <w:rsid w:val="00175EE0"/>
    <w:rsid w:val="00175F3C"/>
    <w:rsid w:val="0017615F"/>
    <w:rsid w:val="00177462"/>
    <w:rsid w:val="001779D7"/>
    <w:rsid w:val="00180DDA"/>
    <w:rsid w:val="00181CD7"/>
    <w:rsid w:val="00181EEA"/>
    <w:rsid w:val="00182EAF"/>
    <w:rsid w:val="00183927"/>
    <w:rsid w:val="00183D6C"/>
    <w:rsid w:val="00183F29"/>
    <w:rsid w:val="00184761"/>
    <w:rsid w:val="001847D7"/>
    <w:rsid w:val="00184E1C"/>
    <w:rsid w:val="001879B5"/>
    <w:rsid w:val="00187C52"/>
    <w:rsid w:val="00187CA6"/>
    <w:rsid w:val="001905EF"/>
    <w:rsid w:val="0019063B"/>
    <w:rsid w:val="00190A58"/>
    <w:rsid w:val="00190E74"/>
    <w:rsid w:val="00191861"/>
    <w:rsid w:val="00191A94"/>
    <w:rsid w:val="00191C74"/>
    <w:rsid w:val="00191DEF"/>
    <w:rsid w:val="0019274D"/>
    <w:rsid w:val="00193013"/>
    <w:rsid w:val="001934E3"/>
    <w:rsid w:val="00193D54"/>
    <w:rsid w:val="001940C3"/>
    <w:rsid w:val="00194DD8"/>
    <w:rsid w:val="00194F30"/>
    <w:rsid w:val="001950BA"/>
    <w:rsid w:val="001959D0"/>
    <w:rsid w:val="00195BAF"/>
    <w:rsid w:val="00195DDD"/>
    <w:rsid w:val="00196455"/>
    <w:rsid w:val="00197C3B"/>
    <w:rsid w:val="001A1FC3"/>
    <w:rsid w:val="001A3DD2"/>
    <w:rsid w:val="001A4098"/>
    <w:rsid w:val="001A41C2"/>
    <w:rsid w:val="001A48BD"/>
    <w:rsid w:val="001A4D3D"/>
    <w:rsid w:val="001A55D1"/>
    <w:rsid w:val="001A5ADA"/>
    <w:rsid w:val="001A5E40"/>
    <w:rsid w:val="001A6327"/>
    <w:rsid w:val="001A638F"/>
    <w:rsid w:val="001A664F"/>
    <w:rsid w:val="001A7070"/>
    <w:rsid w:val="001A7B37"/>
    <w:rsid w:val="001A7B94"/>
    <w:rsid w:val="001B0555"/>
    <w:rsid w:val="001B0D58"/>
    <w:rsid w:val="001B0EBA"/>
    <w:rsid w:val="001B1081"/>
    <w:rsid w:val="001B1AA6"/>
    <w:rsid w:val="001B214C"/>
    <w:rsid w:val="001B24A7"/>
    <w:rsid w:val="001B311C"/>
    <w:rsid w:val="001B3182"/>
    <w:rsid w:val="001B3568"/>
    <w:rsid w:val="001B3BC4"/>
    <w:rsid w:val="001B3C56"/>
    <w:rsid w:val="001B46A5"/>
    <w:rsid w:val="001B4771"/>
    <w:rsid w:val="001B498A"/>
    <w:rsid w:val="001B5A6B"/>
    <w:rsid w:val="001B5FC5"/>
    <w:rsid w:val="001B69A1"/>
    <w:rsid w:val="001B6D0D"/>
    <w:rsid w:val="001B7BA3"/>
    <w:rsid w:val="001C051D"/>
    <w:rsid w:val="001C0C16"/>
    <w:rsid w:val="001C0E4C"/>
    <w:rsid w:val="001C1891"/>
    <w:rsid w:val="001C1C94"/>
    <w:rsid w:val="001C235B"/>
    <w:rsid w:val="001C4120"/>
    <w:rsid w:val="001C4559"/>
    <w:rsid w:val="001C4926"/>
    <w:rsid w:val="001C5E4C"/>
    <w:rsid w:val="001C6F3A"/>
    <w:rsid w:val="001C7228"/>
    <w:rsid w:val="001D117A"/>
    <w:rsid w:val="001D130B"/>
    <w:rsid w:val="001D28A7"/>
    <w:rsid w:val="001D2F4D"/>
    <w:rsid w:val="001D31B9"/>
    <w:rsid w:val="001D3D93"/>
    <w:rsid w:val="001D3EEF"/>
    <w:rsid w:val="001D472C"/>
    <w:rsid w:val="001D4AC9"/>
    <w:rsid w:val="001D52DF"/>
    <w:rsid w:val="001D53A0"/>
    <w:rsid w:val="001D5AEB"/>
    <w:rsid w:val="001D68BE"/>
    <w:rsid w:val="001D711E"/>
    <w:rsid w:val="001D726F"/>
    <w:rsid w:val="001D7EBE"/>
    <w:rsid w:val="001E0775"/>
    <w:rsid w:val="001E0B4C"/>
    <w:rsid w:val="001E14A2"/>
    <w:rsid w:val="001E1AC5"/>
    <w:rsid w:val="001E1E83"/>
    <w:rsid w:val="001E2283"/>
    <w:rsid w:val="001E258F"/>
    <w:rsid w:val="001E2728"/>
    <w:rsid w:val="001E3292"/>
    <w:rsid w:val="001E33C1"/>
    <w:rsid w:val="001E5566"/>
    <w:rsid w:val="001E6D3C"/>
    <w:rsid w:val="001E7561"/>
    <w:rsid w:val="001E76F8"/>
    <w:rsid w:val="001E7925"/>
    <w:rsid w:val="001E7CCE"/>
    <w:rsid w:val="001F15B8"/>
    <w:rsid w:val="001F3FB9"/>
    <w:rsid w:val="001F407B"/>
    <w:rsid w:val="001F4348"/>
    <w:rsid w:val="001F4830"/>
    <w:rsid w:val="001F54FB"/>
    <w:rsid w:val="001F6089"/>
    <w:rsid w:val="001F66C8"/>
    <w:rsid w:val="001F7A65"/>
    <w:rsid w:val="00200CF7"/>
    <w:rsid w:val="0020144D"/>
    <w:rsid w:val="00202225"/>
    <w:rsid w:val="0020247C"/>
    <w:rsid w:val="00202C1F"/>
    <w:rsid w:val="00202D24"/>
    <w:rsid w:val="00204B49"/>
    <w:rsid w:val="002053B7"/>
    <w:rsid w:val="002057BD"/>
    <w:rsid w:val="0020590C"/>
    <w:rsid w:val="00206484"/>
    <w:rsid w:val="002070CD"/>
    <w:rsid w:val="00207134"/>
    <w:rsid w:val="00207A01"/>
    <w:rsid w:val="00207B48"/>
    <w:rsid w:val="002100A5"/>
    <w:rsid w:val="0021136C"/>
    <w:rsid w:val="002117D9"/>
    <w:rsid w:val="00212692"/>
    <w:rsid w:val="0021295B"/>
    <w:rsid w:val="00212D00"/>
    <w:rsid w:val="00213249"/>
    <w:rsid w:val="002133E4"/>
    <w:rsid w:val="00214080"/>
    <w:rsid w:val="00214941"/>
    <w:rsid w:val="002159F6"/>
    <w:rsid w:val="00215D1B"/>
    <w:rsid w:val="0021625B"/>
    <w:rsid w:val="00217044"/>
    <w:rsid w:val="00217147"/>
    <w:rsid w:val="00217EEE"/>
    <w:rsid w:val="00220604"/>
    <w:rsid w:val="0022064B"/>
    <w:rsid w:val="00221505"/>
    <w:rsid w:val="00221935"/>
    <w:rsid w:val="00222526"/>
    <w:rsid w:val="00223262"/>
    <w:rsid w:val="002243C9"/>
    <w:rsid w:val="002248A9"/>
    <w:rsid w:val="00224F94"/>
    <w:rsid w:val="00225165"/>
    <w:rsid w:val="002252FC"/>
    <w:rsid w:val="0022577C"/>
    <w:rsid w:val="00225826"/>
    <w:rsid w:val="00225D98"/>
    <w:rsid w:val="00227746"/>
    <w:rsid w:val="0023002C"/>
    <w:rsid w:val="002302D4"/>
    <w:rsid w:val="00230973"/>
    <w:rsid w:val="0023139A"/>
    <w:rsid w:val="00231EA5"/>
    <w:rsid w:val="002326AC"/>
    <w:rsid w:val="002326BB"/>
    <w:rsid w:val="00232D96"/>
    <w:rsid w:val="00234077"/>
    <w:rsid w:val="00234C17"/>
    <w:rsid w:val="00235269"/>
    <w:rsid w:val="00235285"/>
    <w:rsid w:val="00235EFD"/>
    <w:rsid w:val="00236427"/>
    <w:rsid w:val="00236EF0"/>
    <w:rsid w:val="0023722B"/>
    <w:rsid w:val="00240F03"/>
    <w:rsid w:val="002410AF"/>
    <w:rsid w:val="00241232"/>
    <w:rsid w:val="002422A3"/>
    <w:rsid w:val="00242900"/>
    <w:rsid w:val="00243F98"/>
    <w:rsid w:val="00244646"/>
    <w:rsid w:val="002460E4"/>
    <w:rsid w:val="0024644F"/>
    <w:rsid w:val="00246B31"/>
    <w:rsid w:val="00246BC6"/>
    <w:rsid w:val="002472A3"/>
    <w:rsid w:val="00247EC5"/>
    <w:rsid w:val="00250F16"/>
    <w:rsid w:val="00251035"/>
    <w:rsid w:val="00251163"/>
    <w:rsid w:val="00251B09"/>
    <w:rsid w:val="00252065"/>
    <w:rsid w:val="002524F1"/>
    <w:rsid w:val="002526A8"/>
    <w:rsid w:val="002532D5"/>
    <w:rsid w:val="00253544"/>
    <w:rsid w:val="0025386A"/>
    <w:rsid w:val="00253CB7"/>
    <w:rsid w:val="0025453F"/>
    <w:rsid w:val="002545B3"/>
    <w:rsid w:val="00254682"/>
    <w:rsid w:val="00254C3B"/>
    <w:rsid w:val="00254FDF"/>
    <w:rsid w:val="002556A5"/>
    <w:rsid w:val="00255964"/>
    <w:rsid w:val="002564A7"/>
    <w:rsid w:val="002571C7"/>
    <w:rsid w:val="00257A7B"/>
    <w:rsid w:val="00260584"/>
    <w:rsid w:val="00261B2F"/>
    <w:rsid w:val="00261B34"/>
    <w:rsid w:val="00262274"/>
    <w:rsid w:val="002625EA"/>
    <w:rsid w:val="00263242"/>
    <w:rsid w:val="00264407"/>
    <w:rsid w:val="00264A0F"/>
    <w:rsid w:val="0026502F"/>
    <w:rsid w:val="00265500"/>
    <w:rsid w:val="00265C39"/>
    <w:rsid w:val="00266DFD"/>
    <w:rsid w:val="002670B2"/>
    <w:rsid w:val="002670E8"/>
    <w:rsid w:val="002671A3"/>
    <w:rsid w:val="00267501"/>
    <w:rsid w:val="002678B4"/>
    <w:rsid w:val="00267DBA"/>
    <w:rsid w:val="00271B94"/>
    <w:rsid w:val="00272139"/>
    <w:rsid w:val="00272387"/>
    <w:rsid w:val="0027241E"/>
    <w:rsid w:val="00273949"/>
    <w:rsid w:val="00273990"/>
    <w:rsid w:val="002740F0"/>
    <w:rsid w:val="0027482F"/>
    <w:rsid w:val="0027549C"/>
    <w:rsid w:val="00275F5B"/>
    <w:rsid w:val="0027678E"/>
    <w:rsid w:val="00276EF4"/>
    <w:rsid w:val="0027760E"/>
    <w:rsid w:val="00277B86"/>
    <w:rsid w:val="00280C35"/>
    <w:rsid w:val="002815B3"/>
    <w:rsid w:val="00281BEA"/>
    <w:rsid w:val="00281E9E"/>
    <w:rsid w:val="00281FDD"/>
    <w:rsid w:val="002827CC"/>
    <w:rsid w:val="0028308F"/>
    <w:rsid w:val="00284CF0"/>
    <w:rsid w:val="00284EA8"/>
    <w:rsid w:val="00285266"/>
    <w:rsid w:val="00285956"/>
    <w:rsid w:val="00286CB0"/>
    <w:rsid w:val="00286DD5"/>
    <w:rsid w:val="002870D0"/>
    <w:rsid w:val="00287362"/>
    <w:rsid w:val="0028775D"/>
    <w:rsid w:val="00287A8B"/>
    <w:rsid w:val="00287D33"/>
    <w:rsid w:val="002907E6"/>
    <w:rsid w:val="00291B32"/>
    <w:rsid w:val="00293115"/>
    <w:rsid w:val="00293FD4"/>
    <w:rsid w:val="00294D60"/>
    <w:rsid w:val="00295318"/>
    <w:rsid w:val="00295A5E"/>
    <w:rsid w:val="002968CA"/>
    <w:rsid w:val="00296B0A"/>
    <w:rsid w:val="002A01EE"/>
    <w:rsid w:val="002A0A77"/>
    <w:rsid w:val="002A0D1C"/>
    <w:rsid w:val="002A1F75"/>
    <w:rsid w:val="002A23D7"/>
    <w:rsid w:val="002A3366"/>
    <w:rsid w:val="002A3B15"/>
    <w:rsid w:val="002A3E4F"/>
    <w:rsid w:val="002A4A15"/>
    <w:rsid w:val="002A6D3D"/>
    <w:rsid w:val="002A763D"/>
    <w:rsid w:val="002B0305"/>
    <w:rsid w:val="002B0994"/>
    <w:rsid w:val="002B0EED"/>
    <w:rsid w:val="002B1D54"/>
    <w:rsid w:val="002B26B5"/>
    <w:rsid w:val="002B3DE0"/>
    <w:rsid w:val="002B4026"/>
    <w:rsid w:val="002B4E08"/>
    <w:rsid w:val="002B5CA6"/>
    <w:rsid w:val="002B5DC5"/>
    <w:rsid w:val="002B6359"/>
    <w:rsid w:val="002B6D9F"/>
    <w:rsid w:val="002B733F"/>
    <w:rsid w:val="002C162E"/>
    <w:rsid w:val="002C2379"/>
    <w:rsid w:val="002C29B6"/>
    <w:rsid w:val="002C2DB0"/>
    <w:rsid w:val="002C3239"/>
    <w:rsid w:val="002C360D"/>
    <w:rsid w:val="002C3755"/>
    <w:rsid w:val="002C379E"/>
    <w:rsid w:val="002C3909"/>
    <w:rsid w:val="002C399B"/>
    <w:rsid w:val="002C433D"/>
    <w:rsid w:val="002C450D"/>
    <w:rsid w:val="002C565E"/>
    <w:rsid w:val="002C56A7"/>
    <w:rsid w:val="002C5825"/>
    <w:rsid w:val="002C58FD"/>
    <w:rsid w:val="002C6914"/>
    <w:rsid w:val="002C6AA3"/>
    <w:rsid w:val="002C7070"/>
    <w:rsid w:val="002C7861"/>
    <w:rsid w:val="002C7895"/>
    <w:rsid w:val="002D03A3"/>
    <w:rsid w:val="002D088B"/>
    <w:rsid w:val="002D1980"/>
    <w:rsid w:val="002D24AE"/>
    <w:rsid w:val="002D2905"/>
    <w:rsid w:val="002D3CCA"/>
    <w:rsid w:val="002D41C2"/>
    <w:rsid w:val="002D4787"/>
    <w:rsid w:val="002D53C5"/>
    <w:rsid w:val="002D5597"/>
    <w:rsid w:val="002D6363"/>
    <w:rsid w:val="002D6655"/>
    <w:rsid w:val="002D7638"/>
    <w:rsid w:val="002D78BD"/>
    <w:rsid w:val="002E024A"/>
    <w:rsid w:val="002E02D5"/>
    <w:rsid w:val="002E0DCF"/>
    <w:rsid w:val="002E0E38"/>
    <w:rsid w:val="002E0EB4"/>
    <w:rsid w:val="002E13F3"/>
    <w:rsid w:val="002E14CF"/>
    <w:rsid w:val="002E18C8"/>
    <w:rsid w:val="002E4010"/>
    <w:rsid w:val="002E428F"/>
    <w:rsid w:val="002E524D"/>
    <w:rsid w:val="002E60B1"/>
    <w:rsid w:val="002E6FD6"/>
    <w:rsid w:val="002F0ADC"/>
    <w:rsid w:val="002F0DAA"/>
    <w:rsid w:val="002F149E"/>
    <w:rsid w:val="002F1C59"/>
    <w:rsid w:val="002F1D01"/>
    <w:rsid w:val="002F248E"/>
    <w:rsid w:val="002F28AB"/>
    <w:rsid w:val="002F2B6B"/>
    <w:rsid w:val="002F2F5B"/>
    <w:rsid w:val="002F3499"/>
    <w:rsid w:val="002F36AC"/>
    <w:rsid w:val="002F4023"/>
    <w:rsid w:val="002F57B0"/>
    <w:rsid w:val="002F57E9"/>
    <w:rsid w:val="002F5930"/>
    <w:rsid w:val="002F6A6D"/>
    <w:rsid w:val="002F6B07"/>
    <w:rsid w:val="002F6B7F"/>
    <w:rsid w:val="002F6DF7"/>
    <w:rsid w:val="0030041D"/>
    <w:rsid w:val="00300B99"/>
    <w:rsid w:val="00300C0A"/>
    <w:rsid w:val="00300D2F"/>
    <w:rsid w:val="00301314"/>
    <w:rsid w:val="003015B8"/>
    <w:rsid w:val="003026A3"/>
    <w:rsid w:val="003034D3"/>
    <w:rsid w:val="003037FF"/>
    <w:rsid w:val="00303F55"/>
    <w:rsid w:val="00304021"/>
    <w:rsid w:val="0030409B"/>
    <w:rsid w:val="003044A4"/>
    <w:rsid w:val="00304B7E"/>
    <w:rsid w:val="00305745"/>
    <w:rsid w:val="00306271"/>
    <w:rsid w:val="003101B9"/>
    <w:rsid w:val="003102C7"/>
    <w:rsid w:val="00311B99"/>
    <w:rsid w:val="00311D50"/>
    <w:rsid w:val="003125ED"/>
    <w:rsid w:val="003127BA"/>
    <w:rsid w:val="00312A8D"/>
    <w:rsid w:val="003139B9"/>
    <w:rsid w:val="00314CB6"/>
    <w:rsid w:val="00314D0A"/>
    <w:rsid w:val="0031554A"/>
    <w:rsid w:val="00316964"/>
    <w:rsid w:val="00320C3D"/>
    <w:rsid w:val="003219A1"/>
    <w:rsid w:val="00322009"/>
    <w:rsid w:val="00323A4E"/>
    <w:rsid w:val="00323AF7"/>
    <w:rsid w:val="003241C7"/>
    <w:rsid w:val="00324856"/>
    <w:rsid w:val="003256D6"/>
    <w:rsid w:val="00326170"/>
    <w:rsid w:val="0032723F"/>
    <w:rsid w:val="0033052A"/>
    <w:rsid w:val="00330732"/>
    <w:rsid w:val="00330A13"/>
    <w:rsid w:val="00330C29"/>
    <w:rsid w:val="00332D0A"/>
    <w:rsid w:val="00334A7E"/>
    <w:rsid w:val="00334ABF"/>
    <w:rsid w:val="00334B39"/>
    <w:rsid w:val="00334D78"/>
    <w:rsid w:val="003351A1"/>
    <w:rsid w:val="0033530F"/>
    <w:rsid w:val="00335EB1"/>
    <w:rsid w:val="0033607F"/>
    <w:rsid w:val="00336359"/>
    <w:rsid w:val="00337538"/>
    <w:rsid w:val="00337575"/>
    <w:rsid w:val="003376BD"/>
    <w:rsid w:val="003401EE"/>
    <w:rsid w:val="00340E2D"/>
    <w:rsid w:val="00342166"/>
    <w:rsid w:val="003421A3"/>
    <w:rsid w:val="003421B5"/>
    <w:rsid w:val="00342669"/>
    <w:rsid w:val="003426FE"/>
    <w:rsid w:val="0034332B"/>
    <w:rsid w:val="003445CE"/>
    <w:rsid w:val="003445E9"/>
    <w:rsid w:val="00344CB1"/>
    <w:rsid w:val="003451A1"/>
    <w:rsid w:val="00345518"/>
    <w:rsid w:val="00345B08"/>
    <w:rsid w:val="003474AE"/>
    <w:rsid w:val="00351BB3"/>
    <w:rsid w:val="003524BA"/>
    <w:rsid w:val="003535AA"/>
    <w:rsid w:val="0035405B"/>
    <w:rsid w:val="00354172"/>
    <w:rsid w:val="00354B19"/>
    <w:rsid w:val="003559AA"/>
    <w:rsid w:val="00355FEC"/>
    <w:rsid w:val="00356727"/>
    <w:rsid w:val="00357BA3"/>
    <w:rsid w:val="00357CEA"/>
    <w:rsid w:val="0036040D"/>
    <w:rsid w:val="00360481"/>
    <w:rsid w:val="00360CE8"/>
    <w:rsid w:val="003611BF"/>
    <w:rsid w:val="0036224D"/>
    <w:rsid w:val="0036231E"/>
    <w:rsid w:val="00362D35"/>
    <w:rsid w:val="00362DB9"/>
    <w:rsid w:val="00362DEE"/>
    <w:rsid w:val="00363D7E"/>
    <w:rsid w:val="00364B6C"/>
    <w:rsid w:val="00364E00"/>
    <w:rsid w:val="003660CB"/>
    <w:rsid w:val="00366BDD"/>
    <w:rsid w:val="003672A7"/>
    <w:rsid w:val="003678AB"/>
    <w:rsid w:val="00367C22"/>
    <w:rsid w:val="00367F28"/>
    <w:rsid w:val="00371819"/>
    <w:rsid w:val="00372742"/>
    <w:rsid w:val="00373FAE"/>
    <w:rsid w:val="00374B7B"/>
    <w:rsid w:val="00375509"/>
    <w:rsid w:val="003756AC"/>
    <w:rsid w:val="003756F7"/>
    <w:rsid w:val="00375904"/>
    <w:rsid w:val="0037607C"/>
    <w:rsid w:val="00376302"/>
    <w:rsid w:val="0037650B"/>
    <w:rsid w:val="00376AD4"/>
    <w:rsid w:val="00377308"/>
    <w:rsid w:val="00377504"/>
    <w:rsid w:val="0038004D"/>
    <w:rsid w:val="00380795"/>
    <w:rsid w:val="0038125E"/>
    <w:rsid w:val="00381661"/>
    <w:rsid w:val="00382493"/>
    <w:rsid w:val="0038278C"/>
    <w:rsid w:val="00383A7F"/>
    <w:rsid w:val="00383C41"/>
    <w:rsid w:val="00384255"/>
    <w:rsid w:val="003851FF"/>
    <w:rsid w:val="00385522"/>
    <w:rsid w:val="003855E9"/>
    <w:rsid w:val="00385635"/>
    <w:rsid w:val="00385B66"/>
    <w:rsid w:val="003860FE"/>
    <w:rsid w:val="0038695D"/>
    <w:rsid w:val="00386DB0"/>
    <w:rsid w:val="0039030C"/>
    <w:rsid w:val="003912AE"/>
    <w:rsid w:val="0039130B"/>
    <w:rsid w:val="0039135E"/>
    <w:rsid w:val="00391CC4"/>
    <w:rsid w:val="003928F0"/>
    <w:rsid w:val="00392AB9"/>
    <w:rsid w:val="00392CD5"/>
    <w:rsid w:val="00393151"/>
    <w:rsid w:val="00393821"/>
    <w:rsid w:val="00393C52"/>
    <w:rsid w:val="0039493C"/>
    <w:rsid w:val="00395581"/>
    <w:rsid w:val="00395FC3"/>
    <w:rsid w:val="003970A6"/>
    <w:rsid w:val="00397373"/>
    <w:rsid w:val="003978EE"/>
    <w:rsid w:val="00397C44"/>
    <w:rsid w:val="003A04D2"/>
    <w:rsid w:val="003A0AA6"/>
    <w:rsid w:val="003A0D23"/>
    <w:rsid w:val="003A1F63"/>
    <w:rsid w:val="003A2046"/>
    <w:rsid w:val="003A2684"/>
    <w:rsid w:val="003A2898"/>
    <w:rsid w:val="003A2BA0"/>
    <w:rsid w:val="003A4642"/>
    <w:rsid w:val="003A6BC4"/>
    <w:rsid w:val="003A6FA9"/>
    <w:rsid w:val="003A72BB"/>
    <w:rsid w:val="003B0281"/>
    <w:rsid w:val="003B08D5"/>
    <w:rsid w:val="003B136D"/>
    <w:rsid w:val="003B1610"/>
    <w:rsid w:val="003B206D"/>
    <w:rsid w:val="003B2872"/>
    <w:rsid w:val="003B2937"/>
    <w:rsid w:val="003B2A0D"/>
    <w:rsid w:val="003B399B"/>
    <w:rsid w:val="003B40B4"/>
    <w:rsid w:val="003B48FD"/>
    <w:rsid w:val="003B4DEE"/>
    <w:rsid w:val="003B4FFF"/>
    <w:rsid w:val="003B561E"/>
    <w:rsid w:val="003B61DD"/>
    <w:rsid w:val="003B7DE3"/>
    <w:rsid w:val="003B7EDF"/>
    <w:rsid w:val="003C027D"/>
    <w:rsid w:val="003C0C33"/>
    <w:rsid w:val="003C17B8"/>
    <w:rsid w:val="003C1EAD"/>
    <w:rsid w:val="003C1FB5"/>
    <w:rsid w:val="003C2807"/>
    <w:rsid w:val="003C31C2"/>
    <w:rsid w:val="003C3E12"/>
    <w:rsid w:val="003C4277"/>
    <w:rsid w:val="003C44DA"/>
    <w:rsid w:val="003C48C7"/>
    <w:rsid w:val="003C4AA6"/>
    <w:rsid w:val="003C651D"/>
    <w:rsid w:val="003C6DDE"/>
    <w:rsid w:val="003C6E5C"/>
    <w:rsid w:val="003C7924"/>
    <w:rsid w:val="003C7DB0"/>
    <w:rsid w:val="003D032D"/>
    <w:rsid w:val="003D068D"/>
    <w:rsid w:val="003D06E8"/>
    <w:rsid w:val="003D0F84"/>
    <w:rsid w:val="003D105E"/>
    <w:rsid w:val="003D286C"/>
    <w:rsid w:val="003D3EA7"/>
    <w:rsid w:val="003D451C"/>
    <w:rsid w:val="003D4D4B"/>
    <w:rsid w:val="003D544F"/>
    <w:rsid w:val="003D5DBE"/>
    <w:rsid w:val="003D6FF2"/>
    <w:rsid w:val="003E0A5A"/>
    <w:rsid w:val="003E13EC"/>
    <w:rsid w:val="003E1946"/>
    <w:rsid w:val="003E1DE0"/>
    <w:rsid w:val="003E32B1"/>
    <w:rsid w:val="003E34F4"/>
    <w:rsid w:val="003E3583"/>
    <w:rsid w:val="003E5C92"/>
    <w:rsid w:val="003E5D3D"/>
    <w:rsid w:val="003E74FA"/>
    <w:rsid w:val="003E756F"/>
    <w:rsid w:val="003E7A2F"/>
    <w:rsid w:val="003E7F93"/>
    <w:rsid w:val="003E7FAF"/>
    <w:rsid w:val="003F000C"/>
    <w:rsid w:val="003F06AB"/>
    <w:rsid w:val="003F0B58"/>
    <w:rsid w:val="003F0F10"/>
    <w:rsid w:val="003F142B"/>
    <w:rsid w:val="003F371E"/>
    <w:rsid w:val="003F44A4"/>
    <w:rsid w:val="003F4EA2"/>
    <w:rsid w:val="003F5077"/>
    <w:rsid w:val="003F5382"/>
    <w:rsid w:val="003F686D"/>
    <w:rsid w:val="003F69F8"/>
    <w:rsid w:val="003F709A"/>
    <w:rsid w:val="003F79C7"/>
    <w:rsid w:val="003F79F5"/>
    <w:rsid w:val="003F7B46"/>
    <w:rsid w:val="00400FF5"/>
    <w:rsid w:val="00401DAD"/>
    <w:rsid w:val="00402B88"/>
    <w:rsid w:val="00403744"/>
    <w:rsid w:val="00403D93"/>
    <w:rsid w:val="0040417B"/>
    <w:rsid w:val="00404F0B"/>
    <w:rsid w:val="00405EDD"/>
    <w:rsid w:val="0040668A"/>
    <w:rsid w:val="00407386"/>
    <w:rsid w:val="0040759C"/>
    <w:rsid w:val="00410004"/>
    <w:rsid w:val="0041106B"/>
    <w:rsid w:val="0041177D"/>
    <w:rsid w:val="00412235"/>
    <w:rsid w:val="00412727"/>
    <w:rsid w:val="004127A1"/>
    <w:rsid w:val="0041282F"/>
    <w:rsid w:val="00412FF4"/>
    <w:rsid w:val="004131B2"/>
    <w:rsid w:val="00413905"/>
    <w:rsid w:val="00413A37"/>
    <w:rsid w:val="004145DE"/>
    <w:rsid w:val="004148EE"/>
    <w:rsid w:val="0041572E"/>
    <w:rsid w:val="00415CB4"/>
    <w:rsid w:val="00416308"/>
    <w:rsid w:val="00416E7D"/>
    <w:rsid w:val="00417019"/>
    <w:rsid w:val="00417CE8"/>
    <w:rsid w:val="00417F79"/>
    <w:rsid w:val="0042040A"/>
    <w:rsid w:val="00420A7F"/>
    <w:rsid w:val="00420C06"/>
    <w:rsid w:val="00420C4B"/>
    <w:rsid w:val="00421D25"/>
    <w:rsid w:val="00422900"/>
    <w:rsid w:val="00422A5E"/>
    <w:rsid w:val="00422FFF"/>
    <w:rsid w:val="00423C4E"/>
    <w:rsid w:val="004248FF"/>
    <w:rsid w:val="004249AA"/>
    <w:rsid w:val="00426846"/>
    <w:rsid w:val="00426C90"/>
    <w:rsid w:val="0042702F"/>
    <w:rsid w:val="004275C7"/>
    <w:rsid w:val="00427EDE"/>
    <w:rsid w:val="0043001B"/>
    <w:rsid w:val="00430098"/>
    <w:rsid w:val="00430737"/>
    <w:rsid w:val="00430DA6"/>
    <w:rsid w:val="00431D04"/>
    <w:rsid w:val="004328DF"/>
    <w:rsid w:val="00432A86"/>
    <w:rsid w:val="0043305B"/>
    <w:rsid w:val="004332D4"/>
    <w:rsid w:val="00433356"/>
    <w:rsid w:val="00433E52"/>
    <w:rsid w:val="00434BFD"/>
    <w:rsid w:val="00434CFA"/>
    <w:rsid w:val="00435161"/>
    <w:rsid w:val="00435A18"/>
    <w:rsid w:val="00436B4F"/>
    <w:rsid w:val="00441301"/>
    <w:rsid w:val="004421FC"/>
    <w:rsid w:val="0044293B"/>
    <w:rsid w:val="0044355D"/>
    <w:rsid w:val="0044365B"/>
    <w:rsid w:val="004438AA"/>
    <w:rsid w:val="004439B1"/>
    <w:rsid w:val="00443F98"/>
    <w:rsid w:val="00444A35"/>
    <w:rsid w:val="00445C26"/>
    <w:rsid w:val="00446BA2"/>
    <w:rsid w:val="00447723"/>
    <w:rsid w:val="004501AE"/>
    <w:rsid w:val="00450327"/>
    <w:rsid w:val="0045057D"/>
    <w:rsid w:val="00450F7C"/>
    <w:rsid w:val="0045187E"/>
    <w:rsid w:val="004537D3"/>
    <w:rsid w:val="00454425"/>
    <w:rsid w:val="00454531"/>
    <w:rsid w:val="00454F73"/>
    <w:rsid w:val="00455409"/>
    <w:rsid w:val="0045623E"/>
    <w:rsid w:val="0045624D"/>
    <w:rsid w:val="00456374"/>
    <w:rsid w:val="004565A0"/>
    <w:rsid w:val="00456816"/>
    <w:rsid w:val="004572C1"/>
    <w:rsid w:val="004579A1"/>
    <w:rsid w:val="00457E0E"/>
    <w:rsid w:val="00460183"/>
    <w:rsid w:val="00460C77"/>
    <w:rsid w:val="00461269"/>
    <w:rsid w:val="004628B6"/>
    <w:rsid w:val="00464B28"/>
    <w:rsid w:val="00465367"/>
    <w:rsid w:val="00465CB1"/>
    <w:rsid w:val="00466D3B"/>
    <w:rsid w:val="00466EC5"/>
    <w:rsid w:val="00466FDA"/>
    <w:rsid w:val="0046747B"/>
    <w:rsid w:val="0046754C"/>
    <w:rsid w:val="004675B8"/>
    <w:rsid w:val="004677E9"/>
    <w:rsid w:val="004706B1"/>
    <w:rsid w:val="00470F8E"/>
    <w:rsid w:val="0047144C"/>
    <w:rsid w:val="0047152F"/>
    <w:rsid w:val="00472418"/>
    <w:rsid w:val="00472EEC"/>
    <w:rsid w:val="0047385C"/>
    <w:rsid w:val="00474545"/>
    <w:rsid w:val="0047466E"/>
    <w:rsid w:val="004749D9"/>
    <w:rsid w:val="004772D8"/>
    <w:rsid w:val="004773C7"/>
    <w:rsid w:val="004800B0"/>
    <w:rsid w:val="00480792"/>
    <w:rsid w:val="0048129F"/>
    <w:rsid w:val="0048185E"/>
    <w:rsid w:val="004869E6"/>
    <w:rsid w:val="00487043"/>
    <w:rsid w:val="00487612"/>
    <w:rsid w:val="00487F00"/>
    <w:rsid w:val="00487F43"/>
    <w:rsid w:val="00490A13"/>
    <w:rsid w:val="00490E28"/>
    <w:rsid w:val="00491B69"/>
    <w:rsid w:val="00491BD0"/>
    <w:rsid w:val="00491DF0"/>
    <w:rsid w:val="00492242"/>
    <w:rsid w:val="00492768"/>
    <w:rsid w:val="004929EA"/>
    <w:rsid w:val="004938BA"/>
    <w:rsid w:val="004947EF"/>
    <w:rsid w:val="0049501C"/>
    <w:rsid w:val="004951E2"/>
    <w:rsid w:val="0049572C"/>
    <w:rsid w:val="00495A25"/>
    <w:rsid w:val="00496203"/>
    <w:rsid w:val="00496444"/>
    <w:rsid w:val="00497B8D"/>
    <w:rsid w:val="00497C5C"/>
    <w:rsid w:val="004A0EEE"/>
    <w:rsid w:val="004A1758"/>
    <w:rsid w:val="004A17CE"/>
    <w:rsid w:val="004A1968"/>
    <w:rsid w:val="004A328F"/>
    <w:rsid w:val="004A3F99"/>
    <w:rsid w:val="004A4963"/>
    <w:rsid w:val="004A4B84"/>
    <w:rsid w:val="004A4E0C"/>
    <w:rsid w:val="004A5575"/>
    <w:rsid w:val="004A641D"/>
    <w:rsid w:val="004A695E"/>
    <w:rsid w:val="004A6C5B"/>
    <w:rsid w:val="004A6E6D"/>
    <w:rsid w:val="004A74C3"/>
    <w:rsid w:val="004A78AE"/>
    <w:rsid w:val="004A7F86"/>
    <w:rsid w:val="004B08EE"/>
    <w:rsid w:val="004B0AAC"/>
    <w:rsid w:val="004B0B63"/>
    <w:rsid w:val="004B11A0"/>
    <w:rsid w:val="004B18E2"/>
    <w:rsid w:val="004B1B27"/>
    <w:rsid w:val="004B1BA5"/>
    <w:rsid w:val="004B1CFF"/>
    <w:rsid w:val="004B27A3"/>
    <w:rsid w:val="004B2F82"/>
    <w:rsid w:val="004B309E"/>
    <w:rsid w:val="004B30B1"/>
    <w:rsid w:val="004B36D8"/>
    <w:rsid w:val="004B378C"/>
    <w:rsid w:val="004B400F"/>
    <w:rsid w:val="004B4306"/>
    <w:rsid w:val="004B471F"/>
    <w:rsid w:val="004B56C2"/>
    <w:rsid w:val="004B6A72"/>
    <w:rsid w:val="004B6C52"/>
    <w:rsid w:val="004B712D"/>
    <w:rsid w:val="004C0116"/>
    <w:rsid w:val="004C0636"/>
    <w:rsid w:val="004C270B"/>
    <w:rsid w:val="004C2908"/>
    <w:rsid w:val="004C33AD"/>
    <w:rsid w:val="004C44E3"/>
    <w:rsid w:val="004C4ACC"/>
    <w:rsid w:val="004C4EC9"/>
    <w:rsid w:val="004C56C7"/>
    <w:rsid w:val="004C5937"/>
    <w:rsid w:val="004C6257"/>
    <w:rsid w:val="004C6B4D"/>
    <w:rsid w:val="004C6E3A"/>
    <w:rsid w:val="004C7025"/>
    <w:rsid w:val="004C75B7"/>
    <w:rsid w:val="004D09C1"/>
    <w:rsid w:val="004D26AD"/>
    <w:rsid w:val="004D30D3"/>
    <w:rsid w:val="004D3924"/>
    <w:rsid w:val="004D3B36"/>
    <w:rsid w:val="004D409D"/>
    <w:rsid w:val="004D48D9"/>
    <w:rsid w:val="004D4AC6"/>
    <w:rsid w:val="004D786B"/>
    <w:rsid w:val="004D7AF8"/>
    <w:rsid w:val="004E05C7"/>
    <w:rsid w:val="004E1ADF"/>
    <w:rsid w:val="004E2432"/>
    <w:rsid w:val="004E3868"/>
    <w:rsid w:val="004E3C7E"/>
    <w:rsid w:val="004E3F2A"/>
    <w:rsid w:val="004E4967"/>
    <w:rsid w:val="004E615C"/>
    <w:rsid w:val="004E6A6C"/>
    <w:rsid w:val="004E6C3E"/>
    <w:rsid w:val="004E6D4B"/>
    <w:rsid w:val="004E71D0"/>
    <w:rsid w:val="004E736E"/>
    <w:rsid w:val="004E7A45"/>
    <w:rsid w:val="004E7BBB"/>
    <w:rsid w:val="004F05F0"/>
    <w:rsid w:val="004F09A2"/>
    <w:rsid w:val="004F0A77"/>
    <w:rsid w:val="004F1538"/>
    <w:rsid w:val="004F186E"/>
    <w:rsid w:val="004F1CAB"/>
    <w:rsid w:val="004F2376"/>
    <w:rsid w:val="004F2C24"/>
    <w:rsid w:val="004F5AE0"/>
    <w:rsid w:val="004F5AE4"/>
    <w:rsid w:val="004F69E5"/>
    <w:rsid w:val="004F6B05"/>
    <w:rsid w:val="00500BC0"/>
    <w:rsid w:val="00500C0E"/>
    <w:rsid w:val="005017D9"/>
    <w:rsid w:val="005017DA"/>
    <w:rsid w:val="00501ACE"/>
    <w:rsid w:val="00501C0C"/>
    <w:rsid w:val="0050267A"/>
    <w:rsid w:val="00503046"/>
    <w:rsid w:val="005031F1"/>
    <w:rsid w:val="00504574"/>
    <w:rsid w:val="00504B7B"/>
    <w:rsid w:val="0050560B"/>
    <w:rsid w:val="0050597C"/>
    <w:rsid w:val="00505D10"/>
    <w:rsid w:val="005068F5"/>
    <w:rsid w:val="00507377"/>
    <w:rsid w:val="00510D75"/>
    <w:rsid w:val="00510EFF"/>
    <w:rsid w:val="0051132D"/>
    <w:rsid w:val="005125B1"/>
    <w:rsid w:val="00512770"/>
    <w:rsid w:val="00512961"/>
    <w:rsid w:val="00512E87"/>
    <w:rsid w:val="00513655"/>
    <w:rsid w:val="00513859"/>
    <w:rsid w:val="0051489C"/>
    <w:rsid w:val="005149EC"/>
    <w:rsid w:val="005152AF"/>
    <w:rsid w:val="00515FC7"/>
    <w:rsid w:val="00516F49"/>
    <w:rsid w:val="00517CF4"/>
    <w:rsid w:val="00517D00"/>
    <w:rsid w:val="00520135"/>
    <w:rsid w:val="005216E4"/>
    <w:rsid w:val="00521A29"/>
    <w:rsid w:val="005220E9"/>
    <w:rsid w:val="00522888"/>
    <w:rsid w:val="00522A9A"/>
    <w:rsid w:val="0052389E"/>
    <w:rsid w:val="0052444A"/>
    <w:rsid w:val="0052551E"/>
    <w:rsid w:val="00525A02"/>
    <w:rsid w:val="00525BC3"/>
    <w:rsid w:val="00525E99"/>
    <w:rsid w:val="005265F5"/>
    <w:rsid w:val="00527000"/>
    <w:rsid w:val="00527B19"/>
    <w:rsid w:val="00530029"/>
    <w:rsid w:val="00530DA0"/>
    <w:rsid w:val="00530F3E"/>
    <w:rsid w:val="00531049"/>
    <w:rsid w:val="00531813"/>
    <w:rsid w:val="00531B25"/>
    <w:rsid w:val="00532161"/>
    <w:rsid w:val="00533E4C"/>
    <w:rsid w:val="00534A9A"/>
    <w:rsid w:val="00534E17"/>
    <w:rsid w:val="005356F9"/>
    <w:rsid w:val="00535778"/>
    <w:rsid w:val="00535EB8"/>
    <w:rsid w:val="0053641C"/>
    <w:rsid w:val="0053644D"/>
    <w:rsid w:val="00536B88"/>
    <w:rsid w:val="00537ADD"/>
    <w:rsid w:val="00542892"/>
    <w:rsid w:val="005428F1"/>
    <w:rsid w:val="00542910"/>
    <w:rsid w:val="0054358F"/>
    <w:rsid w:val="00544AB8"/>
    <w:rsid w:val="00545288"/>
    <w:rsid w:val="0054543A"/>
    <w:rsid w:val="00545D4F"/>
    <w:rsid w:val="00546579"/>
    <w:rsid w:val="00546E8C"/>
    <w:rsid w:val="0054710D"/>
    <w:rsid w:val="005473A8"/>
    <w:rsid w:val="0054746C"/>
    <w:rsid w:val="00547712"/>
    <w:rsid w:val="005479EE"/>
    <w:rsid w:val="00547FA6"/>
    <w:rsid w:val="00550D37"/>
    <w:rsid w:val="00551AAF"/>
    <w:rsid w:val="00551D6D"/>
    <w:rsid w:val="00553654"/>
    <w:rsid w:val="00553A49"/>
    <w:rsid w:val="00553A71"/>
    <w:rsid w:val="00553FF3"/>
    <w:rsid w:val="005540A9"/>
    <w:rsid w:val="00554F21"/>
    <w:rsid w:val="005553DC"/>
    <w:rsid w:val="00555557"/>
    <w:rsid w:val="00555A7C"/>
    <w:rsid w:val="005561B9"/>
    <w:rsid w:val="00556444"/>
    <w:rsid w:val="005579AB"/>
    <w:rsid w:val="00557ABA"/>
    <w:rsid w:val="00557D6A"/>
    <w:rsid w:val="00557FC4"/>
    <w:rsid w:val="00560679"/>
    <w:rsid w:val="005606CD"/>
    <w:rsid w:val="00560E9B"/>
    <w:rsid w:val="00561108"/>
    <w:rsid w:val="005611A4"/>
    <w:rsid w:val="0056164D"/>
    <w:rsid w:val="00561AA1"/>
    <w:rsid w:val="00562907"/>
    <w:rsid w:val="005632DF"/>
    <w:rsid w:val="00563568"/>
    <w:rsid w:val="005640CD"/>
    <w:rsid w:val="00564A67"/>
    <w:rsid w:val="00564D1E"/>
    <w:rsid w:val="00564D55"/>
    <w:rsid w:val="00565B4D"/>
    <w:rsid w:val="00566E16"/>
    <w:rsid w:val="005673B7"/>
    <w:rsid w:val="00567543"/>
    <w:rsid w:val="00567DEB"/>
    <w:rsid w:val="0057053F"/>
    <w:rsid w:val="0057197B"/>
    <w:rsid w:val="00572393"/>
    <w:rsid w:val="0057284C"/>
    <w:rsid w:val="00572FED"/>
    <w:rsid w:val="005749CC"/>
    <w:rsid w:val="00574EE6"/>
    <w:rsid w:val="0057559C"/>
    <w:rsid w:val="00575F18"/>
    <w:rsid w:val="00575F1B"/>
    <w:rsid w:val="00577C63"/>
    <w:rsid w:val="00577E5C"/>
    <w:rsid w:val="00577EBF"/>
    <w:rsid w:val="005809B2"/>
    <w:rsid w:val="00581C62"/>
    <w:rsid w:val="005820E1"/>
    <w:rsid w:val="0058322E"/>
    <w:rsid w:val="0058385E"/>
    <w:rsid w:val="00583C0D"/>
    <w:rsid w:val="00584609"/>
    <w:rsid w:val="00586186"/>
    <w:rsid w:val="00586307"/>
    <w:rsid w:val="00586BC4"/>
    <w:rsid w:val="00586ECE"/>
    <w:rsid w:val="00587018"/>
    <w:rsid w:val="00587A42"/>
    <w:rsid w:val="00587C70"/>
    <w:rsid w:val="0059042B"/>
    <w:rsid w:val="00592449"/>
    <w:rsid w:val="005927B3"/>
    <w:rsid w:val="00592FE5"/>
    <w:rsid w:val="00593495"/>
    <w:rsid w:val="00593B96"/>
    <w:rsid w:val="005944E3"/>
    <w:rsid w:val="00594ABC"/>
    <w:rsid w:val="0059512D"/>
    <w:rsid w:val="00595FB6"/>
    <w:rsid w:val="00597511"/>
    <w:rsid w:val="005A0EE4"/>
    <w:rsid w:val="005A1099"/>
    <w:rsid w:val="005A2668"/>
    <w:rsid w:val="005A37DC"/>
    <w:rsid w:val="005A47AB"/>
    <w:rsid w:val="005A4D6C"/>
    <w:rsid w:val="005A4E0B"/>
    <w:rsid w:val="005A535C"/>
    <w:rsid w:val="005A6FCC"/>
    <w:rsid w:val="005A729B"/>
    <w:rsid w:val="005A776B"/>
    <w:rsid w:val="005A7CE9"/>
    <w:rsid w:val="005B1949"/>
    <w:rsid w:val="005B25A8"/>
    <w:rsid w:val="005B2D5C"/>
    <w:rsid w:val="005B5134"/>
    <w:rsid w:val="005B5B3A"/>
    <w:rsid w:val="005B72C6"/>
    <w:rsid w:val="005B7DE1"/>
    <w:rsid w:val="005B7EDE"/>
    <w:rsid w:val="005C0352"/>
    <w:rsid w:val="005C083B"/>
    <w:rsid w:val="005C0A95"/>
    <w:rsid w:val="005C0C7E"/>
    <w:rsid w:val="005C122D"/>
    <w:rsid w:val="005C2139"/>
    <w:rsid w:val="005C21BF"/>
    <w:rsid w:val="005C2FCC"/>
    <w:rsid w:val="005C34B4"/>
    <w:rsid w:val="005C3B90"/>
    <w:rsid w:val="005C4094"/>
    <w:rsid w:val="005C41ED"/>
    <w:rsid w:val="005C4C3C"/>
    <w:rsid w:val="005C4CF3"/>
    <w:rsid w:val="005C588A"/>
    <w:rsid w:val="005C5911"/>
    <w:rsid w:val="005C5A76"/>
    <w:rsid w:val="005C60A5"/>
    <w:rsid w:val="005C7346"/>
    <w:rsid w:val="005C76D7"/>
    <w:rsid w:val="005D0309"/>
    <w:rsid w:val="005D11BF"/>
    <w:rsid w:val="005D126C"/>
    <w:rsid w:val="005D1703"/>
    <w:rsid w:val="005D36E7"/>
    <w:rsid w:val="005D45F5"/>
    <w:rsid w:val="005D46A2"/>
    <w:rsid w:val="005D499B"/>
    <w:rsid w:val="005D52C9"/>
    <w:rsid w:val="005D5A26"/>
    <w:rsid w:val="005D6014"/>
    <w:rsid w:val="005D683A"/>
    <w:rsid w:val="005D6DBE"/>
    <w:rsid w:val="005D7028"/>
    <w:rsid w:val="005E07BF"/>
    <w:rsid w:val="005E11CC"/>
    <w:rsid w:val="005E131D"/>
    <w:rsid w:val="005E1534"/>
    <w:rsid w:val="005E1B6C"/>
    <w:rsid w:val="005E2E6A"/>
    <w:rsid w:val="005E3375"/>
    <w:rsid w:val="005E413E"/>
    <w:rsid w:val="005E4166"/>
    <w:rsid w:val="005E42BB"/>
    <w:rsid w:val="005E4ECF"/>
    <w:rsid w:val="005E502E"/>
    <w:rsid w:val="005E5357"/>
    <w:rsid w:val="005E5AD4"/>
    <w:rsid w:val="005E6032"/>
    <w:rsid w:val="005E6402"/>
    <w:rsid w:val="005E7625"/>
    <w:rsid w:val="005E7C2A"/>
    <w:rsid w:val="005F0A4F"/>
    <w:rsid w:val="005F0E82"/>
    <w:rsid w:val="005F126F"/>
    <w:rsid w:val="005F2369"/>
    <w:rsid w:val="005F2D8E"/>
    <w:rsid w:val="005F35D8"/>
    <w:rsid w:val="005F3E54"/>
    <w:rsid w:val="005F4987"/>
    <w:rsid w:val="005F4AD0"/>
    <w:rsid w:val="005F4D21"/>
    <w:rsid w:val="005F55A0"/>
    <w:rsid w:val="005F589B"/>
    <w:rsid w:val="005F65D5"/>
    <w:rsid w:val="005F6E58"/>
    <w:rsid w:val="005F7B7A"/>
    <w:rsid w:val="00600BC9"/>
    <w:rsid w:val="006015FA"/>
    <w:rsid w:val="00601643"/>
    <w:rsid w:val="006018E3"/>
    <w:rsid w:val="00601977"/>
    <w:rsid w:val="00601C76"/>
    <w:rsid w:val="00601EBF"/>
    <w:rsid w:val="00603E2D"/>
    <w:rsid w:val="00603F61"/>
    <w:rsid w:val="00604FC2"/>
    <w:rsid w:val="006056CB"/>
    <w:rsid w:val="00605B0A"/>
    <w:rsid w:val="0060607C"/>
    <w:rsid w:val="0060613A"/>
    <w:rsid w:val="00606541"/>
    <w:rsid w:val="006069CD"/>
    <w:rsid w:val="0061002C"/>
    <w:rsid w:val="00610D69"/>
    <w:rsid w:val="006110C4"/>
    <w:rsid w:val="006110CB"/>
    <w:rsid w:val="006113BF"/>
    <w:rsid w:val="00611AEC"/>
    <w:rsid w:val="00611B36"/>
    <w:rsid w:val="006120A0"/>
    <w:rsid w:val="0061210C"/>
    <w:rsid w:val="006133B3"/>
    <w:rsid w:val="00613854"/>
    <w:rsid w:val="0061393C"/>
    <w:rsid w:val="006143DC"/>
    <w:rsid w:val="00614FD4"/>
    <w:rsid w:val="006150C2"/>
    <w:rsid w:val="00615704"/>
    <w:rsid w:val="00616396"/>
    <w:rsid w:val="00616421"/>
    <w:rsid w:val="0061649B"/>
    <w:rsid w:val="00616F43"/>
    <w:rsid w:val="00617A76"/>
    <w:rsid w:val="0062092A"/>
    <w:rsid w:val="00620AA4"/>
    <w:rsid w:val="00620D3B"/>
    <w:rsid w:val="00621194"/>
    <w:rsid w:val="00621292"/>
    <w:rsid w:val="006217B8"/>
    <w:rsid w:val="00621CC6"/>
    <w:rsid w:val="00622F2A"/>
    <w:rsid w:val="00623680"/>
    <w:rsid w:val="006243F7"/>
    <w:rsid w:val="006250DE"/>
    <w:rsid w:val="0062540A"/>
    <w:rsid w:val="006273B9"/>
    <w:rsid w:val="00627DB7"/>
    <w:rsid w:val="00630730"/>
    <w:rsid w:val="00631901"/>
    <w:rsid w:val="00631E0B"/>
    <w:rsid w:val="00633864"/>
    <w:rsid w:val="00634330"/>
    <w:rsid w:val="00636315"/>
    <w:rsid w:val="006365F4"/>
    <w:rsid w:val="00637432"/>
    <w:rsid w:val="0063744E"/>
    <w:rsid w:val="00640CF8"/>
    <w:rsid w:val="006426FD"/>
    <w:rsid w:val="00643AB9"/>
    <w:rsid w:val="00644AF5"/>
    <w:rsid w:val="0064515E"/>
    <w:rsid w:val="006451C4"/>
    <w:rsid w:val="006453E1"/>
    <w:rsid w:val="0064793B"/>
    <w:rsid w:val="00647D8F"/>
    <w:rsid w:val="00650508"/>
    <w:rsid w:val="00650ABD"/>
    <w:rsid w:val="00650B1B"/>
    <w:rsid w:val="00651463"/>
    <w:rsid w:val="0065167B"/>
    <w:rsid w:val="00652A4B"/>
    <w:rsid w:val="0065367B"/>
    <w:rsid w:val="00653F00"/>
    <w:rsid w:val="0065487C"/>
    <w:rsid w:val="006552BB"/>
    <w:rsid w:val="006557D6"/>
    <w:rsid w:val="00657168"/>
    <w:rsid w:val="006572C6"/>
    <w:rsid w:val="0065763E"/>
    <w:rsid w:val="00657B71"/>
    <w:rsid w:val="00660370"/>
    <w:rsid w:val="00661255"/>
    <w:rsid w:val="006618F4"/>
    <w:rsid w:val="00662F61"/>
    <w:rsid w:val="00663135"/>
    <w:rsid w:val="0066384B"/>
    <w:rsid w:val="00664382"/>
    <w:rsid w:val="006643BE"/>
    <w:rsid w:val="00664832"/>
    <w:rsid w:val="006664B9"/>
    <w:rsid w:val="006671D0"/>
    <w:rsid w:val="006671FB"/>
    <w:rsid w:val="00667B1C"/>
    <w:rsid w:val="00667B69"/>
    <w:rsid w:val="006704D8"/>
    <w:rsid w:val="00670821"/>
    <w:rsid w:val="00670C73"/>
    <w:rsid w:val="00670DE8"/>
    <w:rsid w:val="00671B2F"/>
    <w:rsid w:val="00674236"/>
    <w:rsid w:val="006747F5"/>
    <w:rsid w:val="00674938"/>
    <w:rsid w:val="00674F5F"/>
    <w:rsid w:val="00675A43"/>
    <w:rsid w:val="00676335"/>
    <w:rsid w:val="0067654F"/>
    <w:rsid w:val="00677726"/>
    <w:rsid w:val="00680770"/>
    <w:rsid w:val="0068092F"/>
    <w:rsid w:val="006823CE"/>
    <w:rsid w:val="00685451"/>
    <w:rsid w:val="00685DA5"/>
    <w:rsid w:val="00685FDD"/>
    <w:rsid w:val="00686647"/>
    <w:rsid w:val="00686955"/>
    <w:rsid w:val="00686E2C"/>
    <w:rsid w:val="00686F40"/>
    <w:rsid w:val="00687144"/>
    <w:rsid w:val="00687C9B"/>
    <w:rsid w:val="00687EE1"/>
    <w:rsid w:val="00691DD6"/>
    <w:rsid w:val="00692203"/>
    <w:rsid w:val="0069268E"/>
    <w:rsid w:val="006935C0"/>
    <w:rsid w:val="0069404D"/>
    <w:rsid w:val="00694388"/>
    <w:rsid w:val="00694B88"/>
    <w:rsid w:val="00694D8E"/>
    <w:rsid w:val="00695365"/>
    <w:rsid w:val="00695663"/>
    <w:rsid w:val="00695862"/>
    <w:rsid w:val="0069649C"/>
    <w:rsid w:val="00696561"/>
    <w:rsid w:val="006966DC"/>
    <w:rsid w:val="00696B10"/>
    <w:rsid w:val="00697004"/>
    <w:rsid w:val="006971DE"/>
    <w:rsid w:val="0069783A"/>
    <w:rsid w:val="00697CBD"/>
    <w:rsid w:val="006A05C9"/>
    <w:rsid w:val="006A0729"/>
    <w:rsid w:val="006A0958"/>
    <w:rsid w:val="006A0EDA"/>
    <w:rsid w:val="006A1657"/>
    <w:rsid w:val="006A239A"/>
    <w:rsid w:val="006A363B"/>
    <w:rsid w:val="006A6EFB"/>
    <w:rsid w:val="006A7A22"/>
    <w:rsid w:val="006A7C60"/>
    <w:rsid w:val="006B0903"/>
    <w:rsid w:val="006B0A7F"/>
    <w:rsid w:val="006B143B"/>
    <w:rsid w:val="006B1465"/>
    <w:rsid w:val="006B34D3"/>
    <w:rsid w:val="006B34FF"/>
    <w:rsid w:val="006B3722"/>
    <w:rsid w:val="006B49F9"/>
    <w:rsid w:val="006B5711"/>
    <w:rsid w:val="006B603C"/>
    <w:rsid w:val="006B6186"/>
    <w:rsid w:val="006B62FE"/>
    <w:rsid w:val="006B66B7"/>
    <w:rsid w:val="006B68D9"/>
    <w:rsid w:val="006B692C"/>
    <w:rsid w:val="006B7093"/>
    <w:rsid w:val="006B798E"/>
    <w:rsid w:val="006B79D9"/>
    <w:rsid w:val="006C0C8F"/>
    <w:rsid w:val="006C1414"/>
    <w:rsid w:val="006C39CF"/>
    <w:rsid w:val="006C3A23"/>
    <w:rsid w:val="006C473B"/>
    <w:rsid w:val="006C525C"/>
    <w:rsid w:val="006C5CA2"/>
    <w:rsid w:val="006C6A3C"/>
    <w:rsid w:val="006C7C52"/>
    <w:rsid w:val="006C7CF3"/>
    <w:rsid w:val="006C7E76"/>
    <w:rsid w:val="006D1A89"/>
    <w:rsid w:val="006D2052"/>
    <w:rsid w:val="006D224E"/>
    <w:rsid w:val="006D2520"/>
    <w:rsid w:val="006D2B52"/>
    <w:rsid w:val="006D46EE"/>
    <w:rsid w:val="006D4A3E"/>
    <w:rsid w:val="006D4CFA"/>
    <w:rsid w:val="006D4F9B"/>
    <w:rsid w:val="006D5AA2"/>
    <w:rsid w:val="006D5C6B"/>
    <w:rsid w:val="006D669C"/>
    <w:rsid w:val="006D6A73"/>
    <w:rsid w:val="006D6F88"/>
    <w:rsid w:val="006D71B4"/>
    <w:rsid w:val="006D7A14"/>
    <w:rsid w:val="006E0970"/>
    <w:rsid w:val="006E16EA"/>
    <w:rsid w:val="006E1B1B"/>
    <w:rsid w:val="006E243B"/>
    <w:rsid w:val="006E2D88"/>
    <w:rsid w:val="006E3AA6"/>
    <w:rsid w:val="006E433D"/>
    <w:rsid w:val="006E680A"/>
    <w:rsid w:val="006E7EA5"/>
    <w:rsid w:val="006F021D"/>
    <w:rsid w:val="006F0B6B"/>
    <w:rsid w:val="006F1F20"/>
    <w:rsid w:val="006F3911"/>
    <w:rsid w:val="006F3CAF"/>
    <w:rsid w:val="006F3FF4"/>
    <w:rsid w:val="006F4D9D"/>
    <w:rsid w:val="006F5127"/>
    <w:rsid w:val="006F52F9"/>
    <w:rsid w:val="006F6F8E"/>
    <w:rsid w:val="006F7D5B"/>
    <w:rsid w:val="00701828"/>
    <w:rsid w:val="00702622"/>
    <w:rsid w:val="00702CE2"/>
    <w:rsid w:val="00702FBC"/>
    <w:rsid w:val="00703125"/>
    <w:rsid w:val="007041FD"/>
    <w:rsid w:val="00704CAF"/>
    <w:rsid w:val="00705069"/>
    <w:rsid w:val="00705245"/>
    <w:rsid w:val="0070595C"/>
    <w:rsid w:val="00706052"/>
    <w:rsid w:val="00706FFC"/>
    <w:rsid w:val="007076AB"/>
    <w:rsid w:val="00710BB9"/>
    <w:rsid w:val="0071155D"/>
    <w:rsid w:val="00711AA7"/>
    <w:rsid w:val="0071275E"/>
    <w:rsid w:val="00712C62"/>
    <w:rsid w:val="007130A9"/>
    <w:rsid w:val="0071402D"/>
    <w:rsid w:val="00715BBB"/>
    <w:rsid w:val="00716BF5"/>
    <w:rsid w:val="00716F62"/>
    <w:rsid w:val="0071703F"/>
    <w:rsid w:val="00717085"/>
    <w:rsid w:val="00717672"/>
    <w:rsid w:val="00717D65"/>
    <w:rsid w:val="0072038D"/>
    <w:rsid w:val="007205E2"/>
    <w:rsid w:val="00720999"/>
    <w:rsid w:val="00720B43"/>
    <w:rsid w:val="0072174F"/>
    <w:rsid w:val="007220AB"/>
    <w:rsid w:val="007227DB"/>
    <w:rsid w:val="00723838"/>
    <w:rsid w:val="00724C21"/>
    <w:rsid w:val="00724E46"/>
    <w:rsid w:val="00726F87"/>
    <w:rsid w:val="007272C7"/>
    <w:rsid w:val="00730702"/>
    <w:rsid w:val="00730A0D"/>
    <w:rsid w:val="00730D8A"/>
    <w:rsid w:val="00730F67"/>
    <w:rsid w:val="00731E5A"/>
    <w:rsid w:val="0073249D"/>
    <w:rsid w:val="007326E7"/>
    <w:rsid w:val="00733303"/>
    <w:rsid w:val="00733A7F"/>
    <w:rsid w:val="007341A1"/>
    <w:rsid w:val="00734521"/>
    <w:rsid w:val="00734B3D"/>
    <w:rsid w:val="00735D6D"/>
    <w:rsid w:val="00736DC6"/>
    <w:rsid w:val="00737552"/>
    <w:rsid w:val="00737EBF"/>
    <w:rsid w:val="007400A6"/>
    <w:rsid w:val="00740CB3"/>
    <w:rsid w:val="00741B3D"/>
    <w:rsid w:val="0074262A"/>
    <w:rsid w:val="007433AF"/>
    <w:rsid w:val="00743610"/>
    <w:rsid w:val="007439D9"/>
    <w:rsid w:val="00744654"/>
    <w:rsid w:val="00744C50"/>
    <w:rsid w:val="00745935"/>
    <w:rsid w:val="00745F74"/>
    <w:rsid w:val="0074645C"/>
    <w:rsid w:val="00746C67"/>
    <w:rsid w:val="00746E7A"/>
    <w:rsid w:val="0074708D"/>
    <w:rsid w:val="00747263"/>
    <w:rsid w:val="0074760C"/>
    <w:rsid w:val="00747DCD"/>
    <w:rsid w:val="0075043B"/>
    <w:rsid w:val="00751326"/>
    <w:rsid w:val="00751E45"/>
    <w:rsid w:val="00752016"/>
    <w:rsid w:val="00752721"/>
    <w:rsid w:val="007532D6"/>
    <w:rsid w:val="0075366B"/>
    <w:rsid w:val="007539D4"/>
    <w:rsid w:val="007540DB"/>
    <w:rsid w:val="00754985"/>
    <w:rsid w:val="0075564A"/>
    <w:rsid w:val="00756F07"/>
    <w:rsid w:val="0075702B"/>
    <w:rsid w:val="00757DD3"/>
    <w:rsid w:val="007608E5"/>
    <w:rsid w:val="00760B79"/>
    <w:rsid w:val="0076130C"/>
    <w:rsid w:val="007617B7"/>
    <w:rsid w:val="00763432"/>
    <w:rsid w:val="007636B1"/>
    <w:rsid w:val="00764D09"/>
    <w:rsid w:val="00764F52"/>
    <w:rsid w:val="00765E00"/>
    <w:rsid w:val="00765F7C"/>
    <w:rsid w:val="00766A01"/>
    <w:rsid w:val="007710C9"/>
    <w:rsid w:val="00771541"/>
    <w:rsid w:val="007719D8"/>
    <w:rsid w:val="00771B93"/>
    <w:rsid w:val="007727D0"/>
    <w:rsid w:val="007731BA"/>
    <w:rsid w:val="007731F6"/>
    <w:rsid w:val="00773590"/>
    <w:rsid w:val="007738E8"/>
    <w:rsid w:val="00773BBA"/>
    <w:rsid w:val="007740FB"/>
    <w:rsid w:val="0077451D"/>
    <w:rsid w:val="00776364"/>
    <w:rsid w:val="00776B6E"/>
    <w:rsid w:val="00776ECB"/>
    <w:rsid w:val="00776ED9"/>
    <w:rsid w:val="0077724B"/>
    <w:rsid w:val="007776DD"/>
    <w:rsid w:val="00780024"/>
    <w:rsid w:val="00780895"/>
    <w:rsid w:val="007810D1"/>
    <w:rsid w:val="007813D8"/>
    <w:rsid w:val="00781562"/>
    <w:rsid w:val="00781A18"/>
    <w:rsid w:val="00781AC5"/>
    <w:rsid w:val="0078278F"/>
    <w:rsid w:val="007829EA"/>
    <w:rsid w:val="00783818"/>
    <w:rsid w:val="00784984"/>
    <w:rsid w:val="00784D68"/>
    <w:rsid w:val="00784DDF"/>
    <w:rsid w:val="00784E48"/>
    <w:rsid w:val="00784E52"/>
    <w:rsid w:val="00785403"/>
    <w:rsid w:val="00785528"/>
    <w:rsid w:val="007861D8"/>
    <w:rsid w:val="0078621D"/>
    <w:rsid w:val="00786F77"/>
    <w:rsid w:val="00787505"/>
    <w:rsid w:val="00787BC7"/>
    <w:rsid w:val="007933FA"/>
    <w:rsid w:val="00793D45"/>
    <w:rsid w:val="00794E78"/>
    <w:rsid w:val="00796D2F"/>
    <w:rsid w:val="0079705E"/>
    <w:rsid w:val="00797457"/>
    <w:rsid w:val="0079777A"/>
    <w:rsid w:val="00797A96"/>
    <w:rsid w:val="00797CE6"/>
    <w:rsid w:val="00797F0B"/>
    <w:rsid w:val="007A01CC"/>
    <w:rsid w:val="007A0520"/>
    <w:rsid w:val="007A2CC0"/>
    <w:rsid w:val="007A3350"/>
    <w:rsid w:val="007A3C31"/>
    <w:rsid w:val="007A420C"/>
    <w:rsid w:val="007A44D2"/>
    <w:rsid w:val="007A475E"/>
    <w:rsid w:val="007A47F3"/>
    <w:rsid w:val="007A5EE4"/>
    <w:rsid w:val="007A678D"/>
    <w:rsid w:val="007A6B1A"/>
    <w:rsid w:val="007A76DA"/>
    <w:rsid w:val="007B0567"/>
    <w:rsid w:val="007B0E3D"/>
    <w:rsid w:val="007B0EEE"/>
    <w:rsid w:val="007B1F63"/>
    <w:rsid w:val="007B25A3"/>
    <w:rsid w:val="007B261D"/>
    <w:rsid w:val="007B48FD"/>
    <w:rsid w:val="007B5738"/>
    <w:rsid w:val="007B5904"/>
    <w:rsid w:val="007B5A4D"/>
    <w:rsid w:val="007B62B5"/>
    <w:rsid w:val="007B642E"/>
    <w:rsid w:val="007B6804"/>
    <w:rsid w:val="007B6AEB"/>
    <w:rsid w:val="007B7854"/>
    <w:rsid w:val="007B7A5A"/>
    <w:rsid w:val="007C015D"/>
    <w:rsid w:val="007C060A"/>
    <w:rsid w:val="007C1DA0"/>
    <w:rsid w:val="007C2378"/>
    <w:rsid w:val="007C2481"/>
    <w:rsid w:val="007C2B2B"/>
    <w:rsid w:val="007C2B6D"/>
    <w:rsid w:val="007C38B6"/>
    <w:rsid w:val="007C3ECC"/>
    <w:rsid w:val="007C3F9A"/>
    <w:rsid w:val="007C4299"/>
    <w:rsid w:val="007C6146"/>
    <w:rsid w:val="007C6BA0"/>
    <w:rsid w:val="007C7525"/>
    <w:rsid w:val="007C7766"/>
    <w:rsid w:val="007C7B54"/>
    <w:rsid w:val="007D06B6"/>
    <w:rsid w:val="007D093A"/>
    <w:rsid w:val="007D1971"/>
    <w:rsid w:val="007D21E5"/>
    <w:rsid w:val="007D259E"/>
    <w:rsid w:val="007D2947"/>
    <w:rsid w:val="007D3043"/>
    <w:rsid w:val="007D3E21"/>
    <w:rsid w:val="007D4012"/>
    <w:rsid w:val="007D42E0"/>
    <w:rsid w:val="007D4827"/>
    <w:rsid w:val="007D4BAE"/>
    <w:rsid w:val="007D4EDE"/>
    <w:rsid w:val="007D5B2E"/>
    <w:rsid w:val="007D5F2D"/>
    <w:rsid w:val="007D7F54"/>
    <w:rsid w:val="007E0BE9"/>
    <w:rsid w:val="007E1430"/>
    <w:rsid w:val="007E2249"/>
    <w:rsid w:val="007E40FD"/>
    <w:rsid w:val="007E421B"/>
    <w:rsid w:val="007E481B"/>
    <w:rsid w:val="007E4B7B"/>
    <w:rsid w:val="007E4D53"/>
    <w:rsid w:val="007E501D"/>
    <w:rsid w:val="007E5258"/>
    <w:rsid w:val="007E5974"/>
    <w:rsid w:val="007E5DC4"/>
    <w:rsid w:val="007E5E52"/>
    <w:rsid w:val="007E6A68"/>
    <w:rsid w:val="007E78F8"/>
    <w:rsid w:val="007F1032"/>
    <w:rsid w:val="007F13E5"/>
    <w:rsid w:val="007F2076"/>
    <w:rsid w:val="007F22FA"/>
    <w:rsid w:val="007F23FB"/>
    <w:rsid w:val="007F259B"/>
    <w:rsid w:val="007F34DF"/>
    <w:rsid w:val="007F4749"/>
    <w:rsid w:val="007F5028"/>
    <w:rsid w:val="007F5D2C"/>
    <w:rsid w:val="007F725D"/>
    <w:rsid w:val="007F77AE"/>
    <w:rsid w:val="007F7B0A"/>
    <w:rsid w:val="007F7C96"/>
    <w:rsid w:val="0080003A"/>
    <w:rsid w:val="00800D6A"/>
    <w:rsid w:val="00800ED0"/>
    <w:rsid w:val="00800F40"/>
    <w:rsid w:val="008012CF"/>
    <w:rsid w:val="008018B6"/>
    <w:rsid w:val="008018F1"/>
    <w:rsid w:val="00801E98"/>
    <w:rsid w:val="00802940"/>
    <w:rsid w:val="00802BA8"/>
    <w:rsid w:val="00802FD8"/>
    <w:rsid w:val="00803697"/>
    <w:rsid w:val="00803EBB"/>
    <w:rsid w:val="008046B8"/>
    <w:rsid w:val="008046E1"/>
    <w:rsid w:val="00804A1B"/>
    <w:rsid w:val="0080540D"/>
    <w:rsid w:val="00805793"/>
    <w:rsid w:val="00805A9B"/>
    <w:rsid w:val="00805AB6"/>
    <w:rsid w:val="00805B55"/>
    <w:rsid w:val="00805E1D"/>
    <w:rsid w:val="00806D8F"/>
    <w:rsid w:val="00807368"/>
    <w:rsid w:val="00807B46"/>
    <w:rsid w:val="00807ED2"/>
    <w:rsid w:val="00810D19"/>
    <w:rsid w:val="00810FD7"/>
    <w:rsid w:val="00811083"/>
    <w:rsid w:val="00811416"/>
    <w:rsid w:val="00812D54"/>
    <w:rsid w:val="0081311E"/>
    <w:rsid w:val="00813731"/>
    <w:rsid w:val="008138E5"/>
    <w:rsid w:val="00813AD3"/>
    <w:rsid w:val="0081414A"/>
    <w:rsid w:val="00815204"/>
    <w:rsid w:val="008165ED"/>
    <w:rsid w:val="008169D0"/>
    <w:rsid w:val="0081760E"/>
    <w:rsid w:val="00817876"/>
    <w:rsid w:val="00817BFA"/>
    <w:rsid w:val="00817CC6"/>
    <w:rsid w:val="00820281"/>
    <w:rsid w:val="00820AE6"/>
    <w:rsid w:val="00820C57"/>
    <w:rsid w:val="00820D3B"/>
    <w:rsid w:val="008215B2"/>
    <w:rsid w:val="00821A8A"/>
    <w:rsid w:val="00821DC7"/>
    <w:rsid w:val="00821FEE"/>
    <w:rsid w:val="00822F05"/>
    <w:rsid w:val="00824AAE"/>
    <w:rsid w:val="00825949"/>
    <w:rsid w:val="00825E44"/>
    <w:rsid w:val="00826C00"/>
    <w:rsid w:val="00826C50"/>
    <w:rsid w:val="00826FF0"/>
    <w:rsid w:val="00827CD1"/>
    <w:rsid w:val="00827E6D"/>
    <w:rsid w:val="00830EDE"/>
    <w:rsid w:val="008317CF"/>
    <w:rsid w:val="00831D89"/>
    <w:rsid w:val="0083279F"/>
    <w:rsid w:val="00832935"/>
    <w:rsid w:val="00833BCE"/>
    <w:rsid w:val="00833FFE"/>
    <w:rsid w:val="008341CD"/>
    <w:rsid w:val="0083421D"/>
    <w:rsid w:val="00834408"/>
    <w:rsid w:val="00834490"/>
    <w:rsid w:val="00834AB3"/>
    <w:rsid w:val="00834CA1"/>
    <w:rsid w:val="00835515"/>
    <w:rsid w:val="00835551"/>
    <w:rsid w:val="0083600E"/>
    <w:rsid w:val="008365A4"/>
    <w:rsid w:val="008369B5"/>
    <w:rsid w:val="008400A4"/>
    <w:rsid w:val="00840DC1"/>
    <w:rsid w:val="00842A89"/>
    <w:rsid w:val="00844363"/>
    <w:rsid w:val="00844C3C"/>
    <w:rsid w:val="00845074"/>
    <w:rsid w:val="008457D8"/>
    <w:rsid w:val="00846E46"/>
    <w:rsid w:val="00846ED1"/>
    <w:rsid w:val="00847572"/>
    <w:rsid w:val="0084769D"/>
    <w:rsid w:val="008502C4"/>
    <w:rsid w:val="00851B9C"/>
    <w:rsid w:val="00851DDA"/>
    <w:rsid w:val="00853644"/>
    <w:rsid w:val="008538AC"/>
    <w:rsid w:val="00854384"/>
    <w:rsid w:val="00854506"/>
    <w:rsid w:val="00854F3E"/>
    <w:rsid w:val="008559EC"/>
    <w:rsid w:val="00855E4E"/>
    <w:rsid w:val="00856E46"/>
    <w:rsid w:val="00857077"/>
    <w:rsid w:val="008573A4"/>
    <w:rsid w:val="008578B2"/>
    <w:rsid w:val="00857DBA"/>
    <w:rsid w:val="00860E14"/>
    <w:rsid w:val="008613AA"/>
    <w:rsid w:val="008614C8"/>
    <w:rsid w:val="00861C53"/>
    <w:rsid w:val="0086289B"/>
    <w:rsid w:val="00862996"/>
    <w:rsid w:val="00862CE5"/>
    <w:rsid w:val="0086318E"/>
    <w:rsid w:val="008632A6"/>
    <w:rsid w:val="00863661"/>
    <w:rsid w:val="008638E9"/>
    <w:rsid w:val="00863D28"/>
    <w:rsid w:val="00863DC0"/>
    <w:rsid w:val="0086525C"/>
    <w:rsid w:val="008652CF"/>
    <w:rsid w:val="00866F0E"/>
    <w:rsid w:val="008673E8"/>
    <w:rsid w:val="0086782B"/>
    <w:rsid w:val="00867E25"/>
    <w:rsid w:val="008703D5"/>
    <w:rsid w:val="00870569"/>
    <w:rsid w:val="00871325"/>
    <w:rsid w:val="008725DD"/>
    <w:rsid w:val="008727D0"/>
    <w:rsid w:val="008728AC"/>
    <w:rsid w:val="00873255"/>
    <w:rsid w:val="008732E5"/>
    <w:rsid w:val="008735DA"/>
    <w:rsid w:val="00874183"/>
    <w:rsid w:val="00874979"/>
    <w:rsid w:val="00874ABA"/>
    <w:rsid w:val="008750BC"/>
    <w:rsid w:val="00880B47"/>
    <w:rsid w:val="00881CD8"/>
    <w:rsid w:val="00881DB9"/>
    <w:rsid w:val="008826F3"/>
    <w:rsid w:val="00882A6F"/>
    <w:rsid w:val="00883E86"/>
    <w:rsid w:val="0088430A"/>
    <w:rsid w:val="008852F0"/>
    <w:rsid w:val="00886982"/>
    <w:rsid w:val="00886C02"/>
    <w:rsid w:val="00886FDF"/>
    <w:rsid w:val="00887E2B"/>
    <w:rsid w:val="008909EF"/>
    <w:rsid w:val="008911AC"/>
    <w:rsid w:val="0089131B"/>
    <w:rsid w:val="00891931"/>
    <w:rsid w:val="00891CC7"/>
    <w:rsid w:val="008920FC"/>
    <w:rsid w:val="008929FC"/>
    <w:rsid w:val="00892FD7"/>
    <w:rsid w:val="00893070"/>
    <w:rsid w:val="008934C9"/>
    <w:rsid w:val="00893ED7"/>
    <w:rsid w:val="00894D10"/>
    <w:rsid w:val="00896296"/>
    <w:rsid w:val="00896ADB"/>
    <w:rsid w:val="00896FCD"/>
    <w:rsid w:val="008A0651"/>
    <w:rsid w:val="008A0BD6"/>
    <w:rsid w:val="008A1FE7"/>
    <w:rsid w:val="008A23E1"/>
    <w:rsid w:val="008A254D"/>
    <w:rsid w:val="008A26F9"/>
    <w:rsid w:val="008A2B86"/>
    <w:rsid w:val="008A2E3A"/>
    <w:rsid w:val="008A3D11"/>
    <w:rsid w:val="008A40BE"/>
    <w:rsid w:val="008A4353"/>
    <w:rsid w:val="008A4C6A"/>
    <w:rsid w:val="008A5737"/>
    <w:rsid w:val="008A5F21"/>
    <w:rsid w:val="008A61CB"/>
    <w:rsid w:val="008A6435"/>
    <w:rsid w:val="008A69DE"/>
    <w:rsid w:val="008A6BDD"/>
    <w:rsid w:val="008A7A56"/>
    <w:rsid w:val="008B01D5"/>
    <w:rsid w:val="008B1032"/>
    <w:rsid w:val="008B1202"/>
    <w:rsid w:val="008B1A7C"/>
    <w:rsid w:val="008B2480"/>
    <w:rsid w:val="008B2D2F"/>
    <w:rsid w:val="008B3110"/>
    <w:rsid w:val="008B36B7"/>
    <w:rsid w:val="008B43D0"/>
    <w:rsid w:val="008B4FB3"/>
    <w:rsid w:val="008B52BC"/>
    <w:rsid w:val="008B5680"/>
    <w:rsid w:val="008B589D"/>
    <w:rsid w:val="008B6581"/>
    <w:rsid w:val="008B7DD5"/>
    <w:rsid w:val="008C0056"/>
    <w:rsid w:val="008C0AE1"/>
    <w:rsid w:val="008C0BD6"/>
    <w:rsid w:val="008C12A8"/>
    <w:rsid w:val="008C1CFC"/>
    <w:rsid w:val="008C1D58"/>
    <w:rsid w:val="008C1D72"/>
    <w:rsid w:val="008C2BF6"/>
    <w:rsid w:val="008C3958"/>
    <w:rsid w:val="008C5239"/>
    <w:rsid w:val="008C5E20"/>
    <w:rsid w:val="008C61A5"/>
    <w:rsid w:val="008C6AC5"/>
    <w:rsid w:val="008C6D85"/>
    <w:rsid w:val="008C732E"/>
    <w:rsid w:val="008C7746"/>
    <w:rsid w:val="008D01E5"/>
    <w:rsid w:val="008D04D7"/>
    <w:rsid w:val="008D0AC8"/>
    <w:rsid w:val="008D13A7"/>
    <w:rsid w:val="008D17ED"/>
    <w:rsid w:val="008D1C52"/>
    <w:rsid w:val="008D2B47"/>
    <w:rsid w:val="008D2C90"/>
    <w:rsid w:val="008D3467"/>
    <w:rsid w:val="008D46BF"/>
    <w:rsid w:val="008D50E6"/>
    <w:rsid w:val="008D65FE"/>
    <w:rsid w:val="008D6FA2"/>
    <w:rsid w:val="008D7481"/>
    <w:rsid w:val="008D78D2"/>
    <w:rsid w:val="008D7F3E"/>
    <w:rsid w:val="008E04DD"/>
    <w:rsid w:val="008E069A"/>
    <w:rsid w:val="008E1B4C"/>
    <w:rsid w:val="008E337B"/>
    <w:rsid w:val="008E36DB"/>
    <w:rsid w:val="008E3B6A"/>
    <w:rsid w:val="008E422E"/>
    <w:rsid w:val="008E4B95"/>
    <w:rsid w:val="008E4E5C"/>
    <w:rsid w:val="008E50E8"/>
    <w:rsid w:val="008E5254"/>
    <w:rsid w:val="008E5322"/>
    <w:rsid w:val="008E5473"/>
    <w:rsid w:val="008E551A"/>
    <w:rsid w:val="008E5CE8"/>
    <w:rsid w:val="008E5E06"/>
    <w:rsid w:val="008E7741"/>
    <w:rsid w:val="008E7F4F"/>
    <w:rsid w:val="008F119B"/>
    <w:rsid w:val="008F18F8"/>
    <w:rsid w:val="008F1A19"/>
    <w:rsid w:val="008F380F"/>
    <w:rsid w:val="008F3833"/>
    <w:rsid w:val="008F3906"/>
    <w:rsid w:val="008F3E74"/>
    <w:rsid w:val="008F446F"/>
    <w:rsid w:val="008F469B"/>
    <w:rsid w:val="008F587C"/>
    <w:rsid w:val="008F5D15"/>
    <w:rsid w:val="008F5F39"/>
    <w:rsid w:val="008F6239"/>
    <w:rsid w:val="008F6287"/>
    <w:rsid w:val="0090013D"/>
    <w:rsid w:val="0090073B"/>
    <w:rsid w:val="00900800"/>
    <w:rsid w:val="009028FA"/>
    <w:rsid w:val="00902C46"/>
    <w:rsid w:val="0090378D"/>
    <w:rsid w:val="00903D36"/>
    <w:rsid w:val="00904910"/>
    <w:rsid w:val="00904A82"/>
    <w:rsid w:val="00905C94"/>
    <w:rsid w:val="0090608C"/>
    <w:rsid w:val="00906570"/>
    <w:rsid w:val="009065A1"/>
    <w:rsid w:val="0090678B"/>
    <w:rsid w:val="00910096"/>
    <w:rsid w:val="00910D66"/>
    <w:rsid w:val="00910DF4"/>
    <w:rsid w:val="0091132F"/>
    <w:rsid w:val="00911D16"/>
    <w:rsid w:val="00911EE0"/>
    <w:rsid w:val="009129E7"/>
    <w:rsid w:val="009130D3"/>
    <w:rsid w:val="00913ADD"/>
    <w:rsid w:val="00913D05"/>
    <w:rsid w:val="00914713"/>
    <w:rsid w:val="0091492B"/>
    <w:rsid w:val="00914F95"/>
    <w:rsid w:val="00915294"/>
    <w:rsid w:val="00915D56"/>
    <w:rsid w:val="009164C6"/>
    <w:rsid w:val="00916675"/>
    <w:rsid w:val="00916924"/>
    <w:rsid w:val="00916D03"/>
    <w:rsid w:val="00916DE2"/>
    <w:rsid w:val="00916F5D"/>
    <w:rsid w:val="009170D9"/>
    <w:rsid w:val="00917453"/>
    <w:rsid w:val="00920391"/>
    <w:rsid w:val="00921D6D"/>
    <w:rsid w:val="00921FB8"/>
    <w:rsid w:val="00922220"/>
    <w:rsid w:val="009226A1"/>
    <w:rsid w:val="00923653"/>
    <w:rsid w:val="00923912"/>
    <w:rsid w:val="00924E70"/>
    <w:rsid w:val="00925349"/>
    <w:rsid w:val="009269F9"/>
    <w:rsid w:val="00927DE3"/>
    <w:rsid w:val="00930A92"/>
    <w:rsid w:val="009314F0"/>
    <w:rsid w:val="00931782"/>
    <w:rsid w:val="00931B16"/>
    <w:rsid w:val="00932466"/>
    <w:rsid w:val="0093281F"/>
    <w:rsid w:val="009329FF"/>
    <w:rsid w:val="00932DF0"/>
    <w:rsid w:val="0093386A"/>
    <w:rsid w:val="009344E3"/>
    <w:rsid w:val="00936BED"/>
    <w:rsid w:val="0093764D"/>
    <w:rsid w:val="00937C2E"/>
    <w:rsid w:val="009407D5"/>
    <w:rsid w:val="009411F6"/>
    <w:rsid w:val="009413D5"/>
    <w:rsid w:val="009415A0"/>
    <w:rsid w:val="00941A46"/>
    <w:rsid w:val="00941BD3"/>
    <w:rsid w:val="00942555"/>
    <w:rsid w:val="00943051"/>
    <w:rsid w:val="00944BC7"/>
    <w:rsid w:val="00944F7E"/>
    <w:rsid w:val="00944F9F"/>
    <w:rsid w:val="00944FA5"/>
    <w:rsid w:val="00945349"/>
    <w:rsid w:val="00945638"/>
    <w:rsid w:val="00945E3B"/>
    <w:rsid w:val="009460EC"/>
    <w:rsid w:val="00946E5E"/>
    <w:rsid w:val="00947445"/>
    <w:rsid w:val="0095076C"/>
    <w:rsid w:val="00950A39"/>
    <w:rsid w:val="00952617"/>
    <w:rsid w:val="00953366"/>
    <w:rsid w:val="00953AA7"/>
    <w:rsid w:val="00953B9F"/>
    <w:rsid w:val="00953E60"/>
    <w:rsid w:val="00954460"/>
    <w:rsid w:val="00954536"/>
    <w:rsid w:val="00954CA2"/>
    <w:rsid w:val="00955136"/>
    <w:rsid w:val="00955251"/>
    <w:rsid w:val="009554D2"/>
    <w:rsid w:val="00955BD9"/>
    <w:rsid w:val="00956208"/>
    <w:rsid w:val="00956226"/>
    <w:rsid w:val="009563EC"/>
    <w:rsid w:val="00956758"/>
    <w:rsid w:val="00956EC6"/>
    <w:rsid w:val="00957E4B"/>
    <w:rsid w:val="009601CB"/>
    <w:rsid w:val="009612B3"/>
    <w:rsid w:val="0096140A"/>
    <w:rsid w:val="0096145E"/>
    <w:rsid w:val="0096198E"/>
    <w:rsid w:val="00961AD6"/>
    <w:rsid w:val="00961B08"/>
    <w:rsid w:val="00961BA9"/>
    <w:rsid w:val="009623BC"/>
    <w:rsid w:val="009624E6"/>
    <w:rsid w:val="00962C07"/>
    <w:rsid w:val="00963A1D"/>
    <w:rsid w:val="00964933"/>
    <w:rsid w:val="00966737"/>
    <w:rsid w:val="0096682E"/>
    <w:rsid w:val="00967DE7"/>
    <w:rsid w:val="00970308"/>
    <w:rsid w:val="00970494"/>
    <w:rsid w:val="00970C8B"/>
    <w:rsid w:val="009711E3"/>
    <w:rsid w:val="00971F4A"/>
    <w:rsid w:val="00973332"/>
    <w:rsid w:val="00973598"/>
    <w:rsid w:val="009737DF"/>
    <w:rsid w:val="00973999"/>
    <w:rsid w:val="009747C5"/>
    <w:rsid w:val="00974879"/>
    <w:rsid w:val="00974943"/>
    <w:rsid w:val="00974A32"/>
    <w:rsid w:val="00975512"/>
    <w:rsid w:val="00975BDA"/>
    <w:rsid w:val="00976544"/>
    <w:rsid w:val="009765C2"/>
    <w:rsid w:val="00977518"/>
    <w:rsid w:val="00980942"/>
    <w:rsid w:val="00980D50"/>
    <w:rsid w:val="00980EE4"/>
    <w:rsid w:val="0098234A"/>
    <w:rsid w:val="009836FE"/>
    <w:rsid w:val="00983826"/>
    <w:rsid w:val="009848E9"/>
    <w:rsid w:val="00985420"/>
    <w:rsid w:val="009860AA"/>
    <w:rsid w:val="00991903"/>
    <w:rsid w:val="00992AA3"/>
    <w:rsid w:val="0099354C"/>
    <w:rsid w:val="009949D5"/>
    <w:rsid w:val="00994C88"/>
    <w:rsid w:val="00994F23"/>
    <w:rsid w:val="009951C3"/>
    <w:rsid w:val="00995A0B"/>
    <w:rsid w:val="00995B96"/>
    <w:rsid w:val="00996C4F"/>
    <w:rsid w:val="0099779A"/>
    <w:rsid w:val="00997E8A"/>
    <w:rsid w:val="009A17EC"/>
    <w:rsid w:val="009A1D39"/>
    <w:rsid w:val="009A262B"/>
    <w:rsid w:val="009A2A5B"/>
    <w:rsid w:val="009A2E18"/>
    <w:rsid w:val="009A31BF"/>
    <w:rsid w:val="009A3711"/>
    <w:rsid w:val="009A3786"/>
    <w:rsid w:val="009A43F1"/>
    <w:rsid w:val="009A466B"/>
    <w:rsid w:val="009A5311"/>
    <w:rsid w:val="009A5693"/>
    <w:rsid w:val="009A6647"/>
    <w:rsid w:val="009A6F33"/>
    <w:rsid w:val="009A70C7"/>
    <w:rsid w:val="009A71D3"/>
    <w:rsid w:val="009A75ED"/>
    <w:rsid w:val="009A78E3"/>
    <w:rsid w:val="009B0812"/>
    <w:rsid w:val="009B1784"/>
    <w:rsid w:val="009B1A20"/>
    <w:rsid w:val="009B1EAA"/>
    <w:rsid w:val="009B217F"/>
    <w:rsid w:val="009B3339"/>
    <w:rsid w:val="009B39AA"/>
    <w:rsid w:val="009B611A"/>
    <w:rsid w:val="009B6FB9"/>
    <w:rsid w:val="009B77FA"/>
    <w:rsid w:val="009C00CC"/>
    <w:rsid w:val="009C143E"/>
    <w:rsid w:val="009C1471"/>
    <w:rsid w:val="009C14A2"/>
    <w:rsid w:val="009C232A"/>
    <w:rsid w:val="009C245A"/>
    <w:rsid w:val="009C2B5F"/>
    <w:rsid w:val="009C2C5A"/>
    <w:rsid w:val="009C3160"/>
    <w:rsid w:val="009C3578"/>
    <w:rsid w:val="009C38E3"/>
    <w:rsid w:val="009C3D96"/>
    <w:rsid w:val="009C5186"/>
    <w:rsid w:val="009C5550"/>
    <w:rsid w:val="009C6709"/>
    <w:rsid w:val="009C6788"/>
    <w:rsid w:val="009D028A"/>
    <w:rsid w:val="009D0400"/>
    <w:rsid w:val="009D12C1"/>
    <w:rsid w:val="009D17FE"/>
    <w:rsid w:val="009D1C99"/>
    <w:rsid w:val="009D24F0"/>
    <w:rsid w:val="009D2FF0"/>
    <w:rsid w:val="009D3A84"/>
    <w:rsid w:val="009D51F8"/>
    <w:rsid w:val="009D530C"/>
    <w:rsid w:val="009D5572"/>
    <w:rsid w:val="009D5683"/>
    <w:rsid w:val="009D6723"/>
    <w:rsid w:val="009D7841"/>
    <w:rsid w:val="009D7C76"/>
    <w:rsid w:val="009E09F3"/>
    <w:rsid w:val="009E0B92"/>
    <w:rsid w:val="009E18B8"/>
    <w:rsid w:val="009E1CC6"/>
    <w:rsid w:val="009E27D0"/>
    <w:rsid w:val="009E28F4"/>
    <w:rsid w:val="009E3B7D"/>
    <w:rsid w:val="009E432D"/>
    <w:rsid w:val="009E439D"/>
    <w:rsid w:val="009E4637"/>
    <w:rsid w:val="009E5104"/>
    <w:rsid w:val="009E5276"/>
    <w:rsid w:val="009E5CFB"/>
    <w:rsid w:val="009E72E5"/>
    <w:rsid w:val="009E73F5"/>
    <w:rsid w:val="009F03D3"/>
    <w:rsid w:val="009F0BCA"/>
    <w:rsid w:val="009F198C"/>
    <w:rsid w:val="009F2218"/>
    <w:rsid w:val="009F2394"/>
    <w:rsid w:val="009F25DB"/>
    <w:rsid w:val="009F2C66"/>
    <w:rsid w:val="009F42B1"/>
    <w:rsid w:val="009F44FB"/>
    <w:rsid w:val="009F5332"/>
    <w:rsid w:val="009F6A6B"/>
    <w:rsid w:val="009F6AA1"/>
    <w:rsid w:val="009F75CD"/>
    <w:rsid w:val="009F76E1"/>
    <w:rsid w:val="00A00118"/>
    <w:rsid w:val="00A00E93"/>
    <w:rsid w:val="00A0110E"/>
    <w:rsid w:val="00A01D03"/>
    <w:rsid w:val="00A060DF"/>
    <w:rsid w:val="00A0673B"/>
    <w:rsid w:val="00A07D30"/>
    <w:rsid w:val="00A10720"/>
    <w:rsid w:val="00A10AD4"/>
    <w:rsid w:val="00A10C75"/>
    <w:rsid w:val="00A111C3"/>
    <w:rsid w:val="00A11279"/>
    <w:rsid w:val="00A1139F"/>
    <w:rsid w:val="00A12138"/>
    <w:rsid w:val="00A127BA"/>
    <w:rsid w:val="00A12B2B"/>
    <w:rsid w:val="00A14067"/>
    <w:rsid w:val="00A141C8"/>
    <w:rsid w:val="00A1420F"/>
    <w:rsid w:val="00A14322"/>
    <w:rsid w:val="00A1466A"/>
    <w:rsid w:val="00A14920"/>
    <w:rsid w:val="00A156DD"/>
    <w:rsid w:val="00A15B9A"/>
    <w:rsid w:val="00A167BA"/>
    <w:rsid w:val="00A17952"/>
    <w:rsid w:val="00A203B1"/>
    <w:rsid w:val="00A203F8"/>
    <w:rsid w:val="00A20403"/>
    <w:rsid w:val="00A2044D"/>
    <w:rsid w:val="00A20F67"/>
    <w:rsid w:val="00A210D9"/>
    <w:rsid w:val="00A2156E"/>
    <w:rsid w:val="00A22240"/>
    <w:rsid w:val="00A235D3"/>
    <w:rsid w:val="00A239DA"/>
    <w:rsid w:val="00A24C62"/>
    <w:rsid w:val="00A252B7"/>
    <w:rsid w:val="00A2556A"/>
    <w:rsid w:val="00A25A3A"/>
    <w:rsid w:val="00A2608E"/>
    <w:rsid w:val="00A26A30"/>
    <w:rsid w:val="00A26BDC"/>
    <w:rsid w:val="00A26FFE"/>
    <w:rsid w:val="00A272AB"/>
    <w:rsid w:val="00A30A08"/>
    <w:rsid w:val="00A30D24"/>
    <w:rsid w:val="00A314D7"/>
    <w:rsid w:val="00A31C72"/>
    <w:rsid w:val="00A3249A"/>
    <w:rsid w:val="00A328D3"/>
    <w:rsid w:val="00A33003"/>
    <w:rsid w:val="00A34FF1"/>
    <w:rsid w:val="00A359EB"/>
    <w:rsid w:val="00A41548"/>
    <w:rsid w:val="00A42590"/>
    <w:rsid w:val="00A443D5"/>
    <w:rsid w:val="00A448A3"/>
    <w:rsid w:val="00A4499C"/>
    <w:rsid w:val="00A44A79"/>
    <w:rsid w:val="00A44DC6"/>
    <w:rsid w:val="00A450F6"/>
    <w:rsid w:val="00A45BBC"/>
    <w:rsid w:val="00A4699B"/>
    <w:rsid w:val="00A46F0E"/>
    <w:rsid w:val="00A47C98"/>
    <w:rsid w:val="00A50A8E"/>
    <w:rsid w:val="00A50CA8"/>
    <w:rsid w:val="00A51339"/>
    <w:rsid w:val="00A51E47"/>
    <w:rsid w:val="00A51FE6"/>
    <w:rsid w:val="00A52478"/>
    <w:rsid w:val="00A52B62"/>
    <w:rsid w:val="00A53200"/>
    <w:rsid w:val="00A53976"/>
    <w:rsid w:val="00A53EE4"/>
    <w:rsid w:val="00A53EF0"/>
    <w:rsid w:val="00A54849"/>
    <w:rsid w:val="00A54A60"/>
    <w:rsid w:val="00A54A7F"/>
    <w:rsid w:val="00A54FAB"/>
    <w:rsid w:val="00A55211"/>
    <w:rsid w:val="00A5572D"/>
    <w:rsid w:val="00A557A9"/>
    <w:rsid w:val="00A56156"/>
    <w:rsid w:val="00A56190"/>
    <w:rsid w:val="00A56453"/>
    <w:rsid w:val="00A56970"/>
    <w:rsid w:val="00A56E1E"/>
    <w:rsid w:val="00A57179"/>
    <w:rsid w:val="00A571A2"/>
    <w:rsid w:val="00A57BD3"/>
    <w:rsid w:val="00A600ED"/>
    <w:rsid w:val="00A61BC4"/>
    <w:rsid w:val="00A63E4C"/>
    <w:rsid w:val="00A6409D"/>
    <w:rsid w:val="00A64676"/>
    <w:rsid w:val="00A6554D"/>
    <w:rsid w:val="00A66107"/>
    <w:rsid w:val="00A66189"/>
    <w:rsid w:val="00A667CE"/>
    <w:rsid w:val="00A6715B"/>
    <w:rsid w:val="00A67A30"/>
    <w:rsid w:val="00A67CF2"/>
    <w:rsid w:val="00A67D8C"/>
    <w:rsid w:val="00A70360"/>
    <w:rsid w:val="00A7079A"/>
    <w:rsid w:val="00A70B51"/>
    <w:rsid w:val="00A70D29"/>
    <w:rsid w:val="00A71010"/>
    <w:rsid w:val="00A722F7"/>
    <w:rsid w:val="00A729A1"/>
    <w:rsid w:val="00A72C6D"/>
    <w:rsid w:val="00A72FCF"/>
    <w:rsid w:val="00A73DF3"/>
    <w:rsid w:val="00A74049"/>
    <w:rsid w:val="00A7410D"/>
    <w:rsid w:val="00A744B0"/>
    <w:rsid w:val="00A7750D"/>
    <w:rsid w:val="00A77716"/>
    <w:rsid w:val="00A77A83"/>
    <w:rsid w:val="00A805E2"/>
    <w:rsid w:val="00A8067E"/>
    <w:rsid w:val="00A8102F"/>
    <w:rsid w:val="00A815D4"/>
    <w:rsid w:val="00A81B32"/>
    <w:rsid w:val="00A81DFE"/>
    <w:rsid w:val="00A8210F"/>
    <w:rsid w:val="00A828AB"/>
    <w:rsid w:val="00A82ACD"/>
    <w:rsid w:val="00A82D97"/>
    <w:rsid w:val="00A8301E"/>
    <w:rsid w:val="00A832A9"/>
    <w:rsid w:val="00A83BFA"/>
    <w:rsid w:val="00A83E28"/>
    <w:rsid w:val="00A84B4C"/>
    <w:rsid w:val="00A85200"/>
    <w:rsid w:val="00A852D8"/>
    <w:rsid w:val="00A855E9"/>
    <w:rsid w:val="00A855F1"/>
    <w:rsid w:val="00A86A52"/>
    <w:rsid w:val="00A86DD0"/>
    <w:rsid w:val="00A87386"/>
    <w:rsid w:val="00A87569"/>
    <w:rsid w:val="00A87DA8"/>
    <w:rsid w:val="00A90AF6"/>
    <w:rsid w:val="00A9211B"/>
    <w:rsid w:val="00A92473"/>
    <w:rsid w:val="00A9307A"/>
    <w:rsid w:val="00A93607"/>
    <w:rsid w:val="00A93898"/>
    <w:rsid w:val="00A93AC4"/>
    <w:rsid w:val="00A93DD3"/>
    <w:rsid w:val="00A93E18"/>
    <w:rsid w:val="00A94AEB"/>
    <w:rsid w:val="00A95656"/>
    <w:rsid w:val="00A956BA"/>
    <w:rsid w:val="00A95EDB"/>
    <w:rsid w:val="00A95F04"/>
    <w:rsid w:val="00A96D13"/>
    <w:rsid w:val="00A97B4F"/>
    <w:rsid w:val="00AA0983"/>
    <w:rsid w:val="00AA0D83"/>
    <w:rsid w:val="00AA1740"/>
    <w:rsid w:val="00AA1C4A"/>
    <w:rsid w:val="00AA238A"/>
    <w:rsid w:val="00AA260A"/>
    <w:rsid w:val="00AA28AF"/>
    <w:rsid w:val="00AA2EED"/>
    <w:rsid w:val="00AA37C3"/>
    <w:rsid w:val="00AA505C"/>
    <w:rsid w:val="00AA5479"/>
    <w:rsid w:val="00AA5C59"/>
    <w:rsid w:val="00AA5F44"/>
    <w:rsid w:val="00AA6E7F"/>
    <w:rsid w:val="00AA7DF7"/>
    <w:rsid w:val="00AB076E"/>
    <w:rsid w:val="00AB07A0"/>
    <w:rsid w:val="00AB07E4"/>
    <w:rsid w:val="00AB1E6D"/>
    <w:rsid w:val="00AB20DA"/>
    <w:rsid w:val="00AB221C"/>
    <w:rsid w:val="00AB26A6"/>
    <w:rsid w:val="00AB29EF"/>
    <w:rsid w:val="00AB3923"/>
    <w:rsid w:val="00AB556C"/>
    <w:rsid w:val="00AB632C"/>
    <w:rsid w:val="00AB766C"/>
    <w:rsid w:val="00AC0260"/>
    <w:rsid w:val="00AC05C8"/>
    <w:rsid w:val="00AC05EE"/>
    <w:rsid w:val="00AC0C10"/>
    <w:rsid w:val="00AC0D14"/>
    <w:rsid w:val="00AC0F44"/>
    <w:rsid w:val="00AC1794"/>
    <w:rsid w:val="00AC17E8"/>
    <w:rsid w:val="00AC1FC7"/>
    <w:rsid w:val="00AC249B"/>
    <w:rsid w:val="00AC286E"/>
    <w:rsid w:val="00AC2F6D"/>
    <w:rsid w:val="00AC3834"/>
    <w:rsid w:val="00AC4AD4"/>
    <w:rsid w:val="00AC4DB1"/>
    <w:rsid w:val="00AC5296"/>
    <w:rsid w:val="00AC5D7A"/>
    <w:rsid w:val="00AC5DD9"/>
    <w:rsid w:val="00AC5FC2"/>
    <w:rsid w:val="00AC65FA"/>
    <w:rsid w:val="00AC78DB"/>
    <w:rsid w:val="00AC7957"/>
    <w:rsid w:val="00AD0210"/>
    <w:rsid w:val="00AD1FFB"/>
    <w:rsid w:val="00AD305C"/>
    <w:rsid w:val="00AD32AC"/>
    <w:rsid w:val="00AD33D1"/>
    <w:rsid w:val="00AD47C7"/>
    <w:rsid w:val="00AD51EF"/>
    <w:rsid w:val="00AD53C9"/>
    <w:rsid w:val="00AD670A"/>
    <w:rsid w:val="00AD69A0"/>
    <w:rsid w:val="00AE06E7"/>
    <w:rsid w:val="00AE0752"/>
    <w:rsid w:val="00AE09FF"/>
    <w:rsid w:val="00AE1DC7"/>
    <w:rsid w:val="00AE2186"/>
    <w:rsid w:val="00AE2421"/>
    <w:rsid w:val="00AE4A09"/>
    <w:rsid w:val="00AE58D7"/>
    <w:rsid w:val="00AE6253"/>
    <w:rsid w:val="00AE691F"/>
    <w:rsid w:val="00AE6A47"/>
    <w:rsid w:val="00AE7110"/>
    <w:rsid w:val="00AE7804"/>
    <w:rsid w:val="00AE7A62"/>
    <w:rsid w:val="00AE7BCE"/>
    <w:rsid w:val="00AE7EE1"/>
    <w:rsid w:val="00AF19E0"/>
    <w:rsid w:val="00AF2308"/>
    <w:rsid w:val="00AF276A"/>
    <w:rsid w:val="00AF2989"/>
    <w:rsid w:val="00AF2C4E"/>
    <w:rsid w:val="00AF3448"/>
    <w:rsid w:val="00AF3805"/>
    <w:rsid w:val="00AF410D"/>
    <w:rsid w:val="00AF4492"/>
    <w:rsid w:val="00AF5000"/>
    <w:rsid w:val="00AF56FD"/>
    <w:rsid w:val="00AF5C45"/>
    <w:rsid w:val="00AF6116"/>
    <w:rsid w:val="00AF67EE"/>
    <w:rsid w:val="00AF733C"/>
    <w:rsid w:val="00B004ED"/>
    <w:rsid w:val="00B018E5"/>
    <w:rsid w:val="00B02102"/>
    <w:rsid w:val="00B037FE"/>
    <w:rsid w:val="00B03E6A"/>
    <w:rsid w:val="00B04DCF"/>
    <w:rsid w:val="00B06797"/>
    <w:rsid w:val="00B07A35"/>
    <w:rsid w:val="00B07EBE"/>
    <w:rsid w:val="00B1015F"/>
    <w:rsid w:val="00B10D7E"/>
    <w:rsid w:val="00B10F99"/>
    <w:rsid w:val="00B1191D"/>
    <w:rsid w:val="00B119BC"/>
    <w:rsid w:val="00B124B3"/>
    <w:rsid w:val="00B12FFE"/>
    <w:rsid w:val="00B1397E"/>
    <w:rsid w:val="00B14FFB"/>
    <w:rsid w:val="00B15085"/>
    <w:rsid w:val="00B1513B"/>
    <w:rsid w:val="00B17062"/>
    <w:rsid w:val="00B1794D"/>
    <w:rsid w:val="00B17ADF"/>
    <w:rsid w:val="00B20BD7"/>
    <w:rsid w:val="00B21463"/>
    <w:rsid w:val="00B21708"/>
    <w:rsid w:val="00B21754"/>
    <w:rsid w:val="00B21FD1"/>
    <w:rsid w:val="00B22197"/>
    <w:rsid w:val="00B232CB"/>
    <w:rsid w:val="00B237FA"/>
    <w:rsid w:val="00B239E8"/>
    <w:rsid w:val="00B23BE9"/>
    <w:rsid w:val="00B23E2E"/>
    <w:rsid w:val="00B23E3E"/>
    <w:rsid w:val="00B242C8"/>
    <w:rsid w:val="00B244CA"/>
    <w:rsid w:val="00B246DF"/>
    <w:rsid w:val="00B25172"/>
    <w:rsid w:val="00B25360"/>
    <w:rsid w:val="00B26363"/>
    <w:rsid w:val="00B2683B"/>
    <w:rsid w:val="00B269D6"/>
    <w:rsid w:val="00B26B13"/>
    <w:rsid w:val="00B30492"/>
    <w:rsid w:val="00B307F3"/>
    <w:rsid w:val="00B316B3"/>
    <w:rsid w:val="00B316C3"/>
    <w:rsid w:val="00B3171E"/>
    <w:rsid w:val="00B3257E"/>
    <w:rsid w:val="00B3288D"/>
    <w:rsid w:val="00B3404F"/>
    <w:rsid w:val="00B34962"/>
    <w:rsid w:val="00B35211"/>
    <w:rsid w:val="00B357C7"/>
    <w:rsid w:val="00B357D5"/>
    <w:rsid w:val="00B361E8"/>
    <w:rsid w:val="00B3637E"/>
    <w:rsid w:val="00B3684B"/>
    <w:rsid w:val="00B36B3A"/>
    <w:rsid w:val="00B36E33"/>
    <w:rsid w:val="00B37DCC"/>
    <w:rsid w:val="00B37E2E"/>
    <w:rsid w:val="00B400D2"/>
    <w:rsid w:val="00B4205E"/>
    <w:rsid w:val="00B4258D"/>
    <w:rsid w:val="00B42D09"/>
    <w:rsid w:val="00B431AF"/>
    <w:rsid w:val="00B43C81"/>
    <w:rsid w:val="00B43EE1"/>
    <w:rsid w:val="00B4489F"/>
    <w:rsid w:val="00B44B7E"/>
    <w:rsid w:val="00B45441"/>
    <w:rsid w:val="00B45898"/>
    <w:rsid w:val="00B45A05"/>
    <w:rsid w:val="00B4617B"/>
    <w:rsid w:val="00B4693C"/>
    <w:rsid w:val="00B47CC4"/>
    <w:rsid w:val="00B47E75"/>
    <w:rsid w:val="00B50281"/>
    <w:rsid w:val="00B51375"/>
    <w:rsid w:val="00B514AF"/>
    <w:rsid w:val="00B51C74"/>
    <w:rsid w:val="00B51CC7"/>
    <w:rsid w:val="00B51D25"/>
    <w:rsid w:val="00B53C83"/>
    <w:rsid w:val="00B53DEE"/>
    <w:rsid w:val="00B554A8"/>
    <w:rsid w:val="00B56C3D"/>
    <w:rsid w:val="00B56E70"/>
    <w:rsid w:val="00B60041"/>
    <w:rsid w:val="00B61C9D"/>
    <w:rsid w:val="00B62116"/>
    <w:rsid w:val="00B62477"/>
    <w:rsid w:val="00B62503"/>
    <w:rsid w:val="00B628A0"/>
    <w:rsid w:val="00B62CF7"/>
    <w:rsid w:val="00B639A1"/>
    <w:rsid w:val="00B63FF3"/>
    <w:rsid w:val="00B6411E"/>
    <w:rsid w:val="00B6412E"/>
    <w:rsid w:val="00B6412F"/>
    <w:rsid w:val="00B6434E"/>
    <w:rsid w:val="00B64477"/>
    <w:rsid w:val="00B64B13"/>
    <w:rsid w:val="00B64C66"/>
    <w:rsid w:val="00B656FD"/>
    <w:rsid w:val="00B65D3E"/>
    <w:rsid w:val="00B6650E"/>
    <w:rsid w:val="00B66603"/>
    <w:rsid w:val="00B671DD"/>
    <w:rsid w:val="00B67330"/>
    <w:rsid w:val="00B678D5"/>
    <w:rsid w:val="00B6798A"/>
    <w:rsid w:val="00B701D8"/>
    <w:rsid w:val="00B70819"/>
    <w:rsid w:val="00B70B9C"/>
    <w:rsid w:val="00B710A1"/>
    <w:rsid w:val="00B713F4"/>
    <w:rsid w:val="00B7181E"/>
    <w:rsid w:val="00B71BB2"/>
    <w:rsid w:val="00B736FF"/>
    <w:rsid w:val="00B74259"/>
    <w:rsid w:val="00B74D7C"/>
    <w:rsid w:val="00B74E49"/>
    <w:rsid w:val="00B75305"/>
    <w:rsid w:val="00B75DA3"/>
    <w:rsid w:val="00B75EB3"/>
    <w:rsid w:val="00B761D9"/>
    <w:rsid w:val="00B77C44"/>
    <w:rsid w:val="00B77E79"/>
    <w:rsid w:val="00B77F3F"/>
    <w:rsid w:val="00B801D3"/>
    <w:rsid w:val="00B8034F"/>
    <w:rsid w:val="00B830DD"/>
    <w:rsid w:val="00B83347"/>
    <w:rsid w:val="00B835D5"/>
    <w:rsid w:val="00B837BB"/>
    <w:rsid w:val="00B839C9"/>
    <w:rsid w:val="00B83D27"/>
    <w:rsid w:val="00B843A9"/>
    <w:rsid w:val="00B8477C"/>
    <w:rsid w:val="00B84A2A"/>
    <w:rsid w:val="00B85305"/>
    <w:rsid w:val="00B85D2C"/>
    <w:rsid w:val="00B85F68"/>
    <w:rsid w:val="00B8677A"/>
    <w:rsid w:val="00B86D35"/>
    <w:rsid w:val="00B92570"/>
    <w:rsid w:val="00B93E13"/>
    <w:rsid w:val="00B93F43"/>
    <w:rsid w:val="00B9550C"/>
    <w:rsid w:val="00B971B1"/>
    <w:rsid w:val="00B97572"/>
    <w:rsid w:val="00B97C7B"/>
    <w:rsid w:val="00BA0E1C"/>
    <w:rsid w:val="00BA0F3A"/>
    <w:rsid w:val="00BA3049"/>
    <w:rsid w:val="00BA451B"/>
    <w:rsid w:val="00BA5006"/>
    <w:rsid w:val="00BA542B"/>
    <w:rsid w:val="00BA5619"/>
    <w:rsid w:val="00BA5D9B"/>
    <w:rsid w:val="00BA624B"/>
    <w:rsid w:val="00BA7232"/>
    <w:rsid w:val="00BA7265"/>
    <w:rsid w:val="00BB0D8B"/>
    <w:rsid w:val="00BB0E4A"/>
    <w:rsid w:val="00BB1C60"/>
    <w:rsid w:val="00BB1CD0"/>
    <w:rsid w:val="00BB296A"/>
    <w:rsid w:val="00BB30ED"/>
    <w:rsid w:val="00BB38EC"/>
    <w:rsid w:val="00BB4242"/>
    <w:rsid w:val="00BB42F4"/>
    <w:rsid w:val="00BB43ED"/>
    <w:rsid w:val="00BB51A9"/>
    <w:rsid w:val="00BB6C1C"/>
    <w:rsid w:val="00BB6CBA"/>
    <w:rsid w:val="00BC13C3"/>
    <w:rsid w:val="00BC15A0"/>
    <w:rsid w:val="00BC2381"/>
    <w:rsid w:val="00BC2979"/>
    <w:rsid w:val="00BC3934"/>
    <w:rsid w:val="00BC4BFC"/>
    <w:rsid w:val="00BC4C99"/>
    <w:rsid w:val="00BC4DAF"/>
    <w:rsid w:val="00BC5322"/>
    <w:rsid w:val="00BC5602"/>
    <w:rsid w:val="00BC5667"/>
    <w:rsid w:val="00BC5A58"/>
    <w:rsid w:val="00BC66D4"/>
    <w:rsid w:val="00BC69B6"/>
    <w:rsid w:val="00BC6A1C"/>
    <w:rsid w:val="00BC71C7"/>
    <w:rsid w:val="00BC7BE4"/>
    <w:rsid w:val="00BC7E17"/>
    <w:rsid w:val="00BD047F"/>
    <w:rsid w:val="00BD0FA1"/>
    <w:rsid w:val="00BD0FAA"/>
    <w:rsid w:val="00BD1732"/>
    <w:rsid w:val="00BD18A6"/>
    <w:rsid w:val="00BD213A"/>
    <w:rsid w:val="00BD255A"/>
    <w:rsid w:val="00BD360B"/>
    <w:rsid w:val="00BD39D4"/>
    <w:rsid w:val="00BD407E"/>
    <w:rsid w:val="00BD44B0"/>
    <w:rsid w:val="00BD46A6"/>
    <w:rsid w:val="00BD4CA7"/>
    <w:rsid w:val="00BD4F84"/>
    <w:rsid w:val="00BD51FC"/>
    <w:rsid w:val="00BD6429"/>
    <w:rsid w:val="00BD6461"/>
    <w:rsid w:val="00BD653E"/>
    <w:rsid w:val="00BD6D05"/>
    <w:rsid w:val="00BD70A0"/>
    <w:rsid w:val="00BD747E"/>
    <w:rsid w:val="00BD7946"/>
    <w:rsid w:val="00BD7963"/>
    <w:rsid w:val="00BD796C"/>
    <w:rsid w:val="00BD7992"/>
    <w:rsid w:val="00BE0203"/>
    <w:rsid w:val="00BE03D8"/>
    <w:rsid w:val="00BE1A01"/>
    <w:rsid w:val="00BE1A57"/>
    <w:rsid w:val="00BE1B0D"/>
    <w:rsid w:val="00BE1E27"/>
    <w:rsid w:val="00BE202C"/>
    <w:rsid w:val="00BE24C0"/>
    <w:rsid w:val="00BE3198"/>
    <w:rsid w:val="00BE39E9"/>
    <w:rsid w:val="00BE4056"/>
    <w:rsid w:val="00BE500A"/>
    <w:rsid w:val="00BE53D8"/>
    <w:rsid w:val="00BE619A"/>
    <w:rsid w:val="00BE6788"/>
    <w:rsid w:val="00BE6EFA"/>
    <w:rsid w:val="00BE74F3"/>
    <w:rsid w:val="00BE7EA0"/>
    <w:rsid w:val="00BF3B1D"/>
    <w:rsid w:val="00BF3CCD"/>
    <w:rsid w:val="00BF3E79"/>
    <w:rsid w:val="00BF3F8B"/>
    <w:rsid w:val="00BF52CB"/>
    <w:rsid w:val="00BF5584"/>
    <w:rsid w:val="00BF578B"/>
    <w:rsid w:val="00BF58D0"/>
    <w:rsid w:val="00BF6AA0"/>
    <w:rsid w:val="00BF6AB7"/>
    <w:rsid w:val="00BF6BE7"/>
    <w:rsid w:val="00C0026F"/>
    <w:rsid w:val="00C005B0"/>
    <w:rsid w:val="00C0063B"/>
    <w:rsid w:val="00C01918"/>
    <w:rsid w:val="00C02801"/>
    <w:rsid w:val="00C02B33"/>
    <w:rsid w:val="00C02F93"/>
    <w:rsid w:val="00C031FA"/>
    <w:rsid w:val="00C032CA"/>
    <w:rsid w:val="00C0369E"/>
    <w:rsid w:val="00C0379B"/>
    <w:rsid w:val="00C03D64"/>
    <w:rsid w:val="00C0412B"/>
    <w:rsid w:val="00C0443C"/>
    <w:rsid w:val="00C04B55"/>
    <w:rsid w:val="00C04B84"/>
    <w:rsid w:val="00C05D79"/>
    <w:rsid w:val="00C06411"/>
    <w:rsid w:val="00C06F3E"/>
    <w:rsid w:val="00C076EB"/>
    <w:rsid w:val="00C109D7"/>
    <w:rsid w:val="00C11891"/>
    <w:rsid w:val="00C127A9"/>
    <w:rsid w:val="00C13190"/>
    <w:rsid w:val="00C13732"/>
    <w:rsid w:val="00C13781"/>
    <w:rsid w:val="00C14BE5"/>
    <w:rsid w:val="00C1515E"/>
    <w:rsid w:val="00C15B41"/>
    <w:rsid w:val="00C16924"/>
    <w:rsid w:val="00C16B19"/>
    <w:rsid w:val="00C16BB4"/>
    <w:rsid w:val="00C16D34"/>
    <w:rsid w:val="00C1761E"/>
    <w:rsid w:val="00C17682"/>
    <w:rsid w:val="00C17DAC"/>
    <w:rsid w:val="00C203E4"/>
    <w:rsid w:val="00C206A8"/>
    <w:rsid w:val="00C20881"/>
    <w:rsid w:val="00C218A1"/>
    <w:rsid w:val="00C21F80"/>
    <w:rsid w:val="00C2248F"/>
    <w:rsid w:val="00C24A66"/>
    <w:rsid w:val="00C24E41"/>
    <w:rsid w:val="00C25400"/>
    <w:rsid w:val="00C25742"/>
    <w:rsid w:val="00C25B40"/>
    <w:rsid w:val="00C268BC"/>
    <w:rsid w:val="00C27B0F"/>
    <w:rsid w:val="00C27F18"/>
    <w:rsid w:val="00C27F66"/>
    <w:rsid w:val="00C3034B"/>
    <w:rsid w:val="00C31CC7"/>
    <w:rsid w:val="00C323F7"/>
    <w:rsid w:val="00C329C6"/>
    <w:rsid w:val="00C32B08"/>
    <w:rsid w:val="00C32EC0"/>
    <w:rsid w:val="00C32F45"/>
    <w:rsid w:val="00C342B7"/>
    <w:rsid w:val="00C34742"/>
    <w:rsid w:val="00C35CF2"/>
    <w:rsid w:val="00C3614E"/>
    <w:rsid w:val="00C37C27"/>
    <w:rsid w:val="00C37CBE"/>
    <w:rsid w:val="00C409DD"/>
    <w:rsid w:val="00C4150B"/>
    <w:rsid w:val="00C4260A"/>
    <w:rsid w:val="00C42E05"/>
    <w:rsid w:val="00C42EA7"/>
    <w:rsid w:val="00C43750"/>
    <w:rsid w:val="00C44287"/>
    <w:rsid w:val="00C445FB"/>
    <w:rsid w:val="00C449F1"/>
    <w:rsid w:val="00C44F76"/>
    <w:rsid w:val="00C45835"/>
    <w:rsid w:val="00C45A9A"/>
    <w:rsid w:val="00C469BE"/>
    <w:rsid w:val="00C46CC7"/>
    <w:rsid w:val="00C477D7"/>
    <w:rsid w:val="00C479B8"/>
    <w:rsid w:val="00C47B29"/>
    <w:rsid w:val="00C50030"/>
    <w:rsid w:val="00C50415"/>
    <w:rsid w:val="00C508CF"/>
    <w:rsid w:val="00C50926"/>
    <w:rsid w:val="00C50CDD"/>
    <w:rsid w:val="00C50E7D"/>
    <w:rsid w:val="00C51A4B"/>
    <w:rsid w:val="00C51A62"/>
    <w:rsid w:val="00C52DC1"/>
    <w:rsid w:val="00C53726"/>
    <w:rsid w:val="00C53B03"/>
    <w:rsid w:val="00C53C9C"/>
    <w:rsid w:val="00C540E8"/>
    <w:rsid w:val="00C54DE6"/>
    <w:rsid w:val="00C5558A"/>
    <w:rsid w:val="00C55CE9"/>
    <w:rsid w:val="00C5677B"/>
    <w:rsid w:val="00C56D50"/>
    <w:rsid w:val="00C573F6"/>
    <w:rsid w:val="00C578B6"/>
    <w:rsid w:val="00C57C32"/>
    <w:rsid w:val="00C60806"/>
    <w:rsid w:val="00C62F18"/>
    <w:rsid w:val="00C635F3"/>
    <w:rsid w:val="00C64F84"/>
    <w:rsid w:val="00C65004"/>
    <w:rsid w:val="00C65707"/>
    <w:rsid w:val="00C65C5B"/>
    <w:rsid w:val="00C65FEB"/>
    <w:rsid w:val="00C6615D"/>
    <w:rsid w:val="00C66587"/>
    <w:rsid w:val="00C66858"/>
    <w:rsid w:val="00C67ABD"/>
    <w:rsid w:val="00C70121"/>
    <w:rsid w:val="00C70E69"/>
    <w:rsid w:val="00C712D1"/>
    <w:rsid w:val="00C71A94"/>
    <w:rsid w:val="00C72913"/>
    <w:rsid w:val="00C73292"/>
    <w:rsid w:val="00C73484"/>
    <w:rsid w:val="00C73AA0"/>
    <w:rsid w:val="00C73BED"/>
    <w:rsid w:val="00C74465"/>
    <w:rsid w:val="00C747EC"/>
    <w:rsid w:val="00C7540D"/>
    <w:rsid w:val="00C770EF"/>
    <w:rsid w:val="00C773D4"/>
    <w:rsid w:val="00C776C2"/>
    <w:rsid w:val="00C804F0"/>
    <w:rsid w:val="00C811ED"/>
    <w:rsid w:val="00C81931"/>
    <w:rsid w:val="00C81EC9"/>
    <w:rsid w:val="00C835A7"/>
    <w:rsid w:val="00C840BB"/>
    <w:rsid w:val="00C840C4"/>
    <w:rsid w:val="00C84734"/>
    <w:rsid w:val="00C85B0B"/>
    <w:rsid w:val="00C85B64"/>
    <w:rsid w:val="00C85E94"/>
    <w:rsid w:val="00C86E95"/>
    <w:rsid w:val="00C86FC5"/>
    <w:rsid w:val="00C87310"/>
    <w:rsid w:val="00C874F7"/>
    <w:rsid w:val="00C87A96"/>
    <w:rsid w:val="00C87C72"/>
    <w:rsid w:val="00C87F33"/>
    <w:rsid w:val="00C9029C"/>
    <w:rsid w:val="00C90A76"/>
    <w:rsid w:val="00C91B7F"/>
    <w:rsid w:val="00C91FDF"/>
    <w:rsid w:val="00C9209E"/>
    <w:rsid w:val="00C9248E"/>
    <w:rsid w:val="00C92F24"/>
    <w:rsid w:val="00C93F94"/>
    <w:rsid w:val="00C947EF"/>
    <w:rsid w:val="00C94A47"/>
    <w:rsid w:val="00C94BD1"/>
    <w:rsid w:val="00C94E9B"/>
    <w:rsid w:val="00C95A04"/>
    <w:rsid w:val="00C976E2"/>
    <w:rsid w:val="00C97D58"/>
    <w:rsid w:val="00CA1302"/>
    <w:rsid w:val="00CA1C97"/>
    <w:rsid w:val="00CA36DA"/>
    <w:rsid w:val="00CA3BD8"/>
    <w:rsid w:val="00CA56B8"/>
    <w:rsid w:val="00CA61F4"/>
    <w:rsid w:val="00CA67E7"/>
    <w:rsid w:val="00CA6BD9"/>
    <w:rsid w:val="00CA6C3C"/>
    <w:rsid w:val="00CB01F1"/>
    <w:rsid w:val="00CB0201"/>
    <w:rsid w:val="00CB0861"/>
    <w:rsid w:val="00CB0F6F"/>
    <w:rsid w:val="00CB156C"/>
    <w:rsid w:val="00CB2649"/>
    <w:rsid w:val="00CB2B4C"/>
    <w:rsid w:val="00CB2C2F"/>
    <w:rsid w:val="00CB327F"/>
    <w:rsid w:val="00CB46A3"/>
    <w:rsid w:val="00CB4746"/>
    <w:rsid w:val="00CB4BA1"/>
    <w:rsid w:val="00CB5687"/>
    <w:rsid w:val="00CB5E6D"/>
    <w:rsid w:val="00CB74EC"/>
    <w:rsid w:val="00CC093C"/>
    <w:rsid w:val="00CC1E85"/>
    <w:rsid w:val="00CC28DE"/>
    <w:rsid w:val="00CC30C3"/>
    <w:rsid w:val="00CC3E60"/>
    <w:rsid w:val="00CC51AF"/>
    <w:rsid w:val="00CC5FAE"/>
    <w:rsid w:val="00CC622D"/>
    <w:rsid w:val="00CC73B9"/>
    <w:rsid w:val="00CC7BF6"/>
    <w:rsid w:val="00CD0036"/>
    <w:rsid w:val="00CD0267"/>
    <w:rsid w:val="00CD02BE"/>
    <w:rsid w:val="00CD0DB7"/>
    <w:rsid w:val="00CD1111"/>
    <w:rsid w:val="00CD1209"/>
    <w:rsid w:val="00CD1464"/>
    <w:rsid w:val="00CD1474"/>
    <w:rsid w:val="00CD174A"/>
    <w:rsid w:val="00CD182A"/>
    <w:rsid w:val="00CD2851"/>
    <w:rsid w:val="00CD28E6"/>
    <w:rsid w:val="00CD2E8A"/>
    <w:rsid w:val="00CD3752"/>
    <w:rsid w:val="00CD4DEE"/>
    <w:rsid w:val="00CD50F4"/>
    <w:rsid w:val="00CD5F13"/>
    <w:rsid w:val="00CD5F4A"/>
    <w:rsid w:val="00CE029D"/>
    <w:rsid w:val="00CE02E3"/>
    <w:rsid w:val="00CE0CBD"/>
    <w:rsid w:val="00CE24BA"/>
    <w:rsid w:val="00CE3701"/>
    <w:rsid w:val="00CE3A17"/>
    <w:rsid w:val="00CE3EED"/>
    <w:rsid w:val="00CE3FE2"/>
    <w:rsid w:val="00CE45BF"/>
    <w:rsid w:val="00CE4F2F"/>
    <w:rsid w:val="00CE5290"/>
    <w:rsid w:val="00CE54A7"/>
    <w:rsid w:val="00CE5887"/>
    <w:rsid w:val="00CE5E26"/>
    <w:rsid w:val="00CE6752"/>
    <w:rsid w:val="00CE6ABB"/>
    <w:rsid w:val="00CE6F1E"/>
    <w:rsid w:val="00CE7082"/>
    <w:rsid w:val="00CE70C1"/>
    <w:rsid w:val="00CE7824"/>
    <w:rsid w:val="00CE7B97"/>
    <w:rsid w:val="00CF0179"/>
    <w:rsid w:val="00CF03B3"/>
    <w:rsid w:val="00CF05AD"/>
    <w:rsid w:val="00CF24C0"/>
    <w:rsid w:val="00CF26EF"/>
    <w:rsid w:val="00CF28FA"/>
    <w:rsid w:val="00CF29FD"/>
    <w:rsid w:val="00CF2BD5"/>
    <w:rsid w:val="00CF2F03"/>
    <w:rsid w:val="00CF3356"/>
    <w:rsid w:val="00CF40DD"/>
    <w:rsid w:val="00CF419D"/>
    <w:rsid w:val="00CF42E2"/>
    <w:rsid w:val="00CF463D"/>
    <w:rsid w:val="00CF4F61"/>
    <w:rsid w:val="00CF507E"/>
    <w:rsid w:val="00CF58C1"/>
    <w:rsid w:val="00CF594B"/>
    <w:rsid w:val="00CF5FA4"/>
    <w:rsid w:val="00CF6D51"/>
    <w:rsid w:val="00CF7A4A"/>
    <w:rsid w:val="00D0136A"/>
    <w:rsid w:val="00D01A0C"/>
    <w:rsid w:val="00D0218D"/>
    <w:rsid w:val="00D02CBB"/>
    <w:rsid w:val="00D03342"/>
    <w:rsid w:val="00D0356C"/>
    <w:rsid w:val="00D03ADD"/>
    <w:rsid w:val="00D04294"/>
    <w:rsid w:val="00D043B2"/>
    <w:rsid w:val="00D04870"/>
    <w:rsid w:val="00D051DB"/>
    <w:rsid w:val="00D05251"/>
    <w:rsid w:val="00D06B16"/>
    <w:rsid w:val="00D06C82"/>
    <w:rsid w:val="00D07057"/>
    <w:rsid w:val="00D070BE"/>
    <w:rsid w:val="00D0767E"/>
    <w:rsid w:val="00D07ADA"/>
    <w:rsid w:val="00D105AC"/>
    <w:rsid w:val="00D10656"/>
    <w:rsid w:val="00D108DA"/>
    <w:rsid w:val="00D13DA1"/>
    <w:rsid w:val="00D14280"/>
    <w:rsid w:val="00D142A0"/>
    <w:rsid w:val="00D15BF9"/>
    <w:rsid w:val="00D1645D"/>
    <w:rsid w:val="00D16931"/>
    <w:rsid w:val="00D176CB"/>
    <w:rsid w:val="00D1773B"/>
    <w:rsid w:val="00D17CF9"/>
    <w:rsid w:val="00D21385"/>
    <w:rsid w:val="00D21F5F"/>
    <w:rsid w:val="00D2219F"/>
    <w:rsid w:val="00D22D9E"/>
    <w:rsid w:val="00D23542"/>
    <w:rsid w:val="00D239C1"/>
    <w:rsid w:val="00D23B4A"/>
    <w:rsid w:val="00D2503D"/>
    <w:rsid w:val="00D259C0"/>
    <w:rsid w:val="00D26040"/>
    <w:rsid w:val="00D265D3"/>
    <w:rsid w:val="00D2668D"/>
    <w:rsid w:val="00D2710E"/>
    <w:rsid w:val="00D27229"/>
    <w:rsid w:val="00D303A9"/>
    <w:rsid w:val="00D30FEB"/>
    <w:rsid w:val="00D31CAC"/>
    <w:rsid w:val="00D32251"/>
    <w:rsid w:val="00D326D9"/>
    <w:rsid w:val="00D32C46"/>
    <w:rsid w:val="00D334C9"/>
    <w:rsid w:val="00D335EA"/>
    <w:rsid w:val="00D33BE3"/>
    <w:rsid w:val="00D34056"/>
    <w:rsid w:val="00D34BAE"/>
    <w:rsid w:val="00D35778"/>
    <w:rsid w:val="00D362A8"/>
    <w:rsid w:val="00D36428"/>
    <w:rsid w:val="00D364E5"/>
    <w:rsid w:val="00D37A8D"/>
    <w:rsid w:val="00D4029E"/>
    <w:rsid w:val="00D403F1"/>
    <w:rsid w:val="00D40AD0"/>
    <w:rsid w:val="00D40CB7"/>
    <w:rsid w:val="00D414BC"/>
    <w:rsid w:val="00D415D5"/>
    <w:rsid w:val="00D418A7"/>
    <w:rsid w:val="00D41FB6"/>
    <w:rsid w:val="00D42CAD"/>
    <w:rsid w:val="00D42E93"/>
    <w:rsid w:val="00D4344F"/>
    <w:rsid w:val="00D43665"/>
    <w:rsid w:val="00D43A66"/>
    <w:rsid w:val="00D43BFE"/>
    <w:rsid w:val="00D44609"/>
    <w:rsid w:val="00D449AF"/>
    <w:rsid w:val="00D44AF0"/>
    <w:rsid w:val="00D450A9"/>
    <w:rsid w:val="00D45E77"/>
    <w:rsid w:val="00D4654D"/>
    <w:rsid w:val="00D46C88"/>
    <w:rsid w:val="00D478D4"/>
    <w:rsid w:val="00D50ED2"/>
    <w:rsid w:val="00D511DF"/>
    <w:rsid w:val="00D51230"/>
    <w:rsid w:val="00D51957"/>
    <w:rsid w:val="00D51E45"/>
    <w:rsid w:val="00D53771"/>
    <w:rsid w:val="00D539CC"/>
    <w:rsid w:val="00D53DFA"/>
    <w:rsid w:val="00D5509F"/>
    <w:rsid w:val="00D55D91"/>
    <w:rsid w:val="00D56AF9"/>
    <w:rsid w:val="00D57003"/>
    <w:rsid w:val="00D57FA3"/>
    <w:rsid w:val="00D60B68"/>
    <w:rsid w:val="00D61053"/>
    <w:rsid w:val="00D6148A"/>
    <w:rsid w:val="00D61B9F"/>
    <w:rsid w:val="00D61F15"/>
    <w:rsid w:val="00D6220F"/>
    <w:rsid w:val="00D63DB8"/>
    <w:rsid w:val="00D65AE5"/>
    <w:rsid w:val="00D6608B"/>
    <w:rsid w:val="00D66342"/>
    <w:rsid w:val="00D67144"/>
    <w:rsid w:val="00D671B6"/>
    <w:rsid w:val="00D67861"/>
    <w:rsid w:val="00D70353"/>
    <w:rsid w:val="00D70429"/>
    <w:rsid w:val="00D70553"/>
    <w:rsid w:val="00D70D33"/>
    <w:rsid w:val="00D726E6"/>
    <w:rsid w:val="00D72DE3"/>
    <w:rsid w:val="00D72F9C"/>
    <w:rsid w:val="00D730C4"/>
    <w:rsid w:val="00D73C65"/>
    <w:rsid w:val="00D73CE7"/>
    <w:rsid w:val="00D743CD"/>
    <w:rsid w:val="00D746AB"/>
    <w:rsid w:val="00D74DDA"/>
    <w:rsid w:val="00D75446"/>
    <w:rsid w:val="00D75F7E"/>
    <w:rsid w:val="00D7608D"/>
    <w:rsid w:val="00D7698C"/>
    <w:rsid w:val="00D77178"/>
    <w:rsid w:val="00D82307"/>
    <w:rsid w:val="00D82382"/>
    <w:rsid w:val="00D82A73"/>
    <w:rsid w:val="00D82E41"/>
    <w:rsid w:val="00D836CE"/>
    <w:rsid w:val="00D84482"/>
    <w:rsid w:val="00D846E1"/>
    <w:rsid w:val="00D85B8D"/>
    <w:rsid w:val="00D85F69"/>
    <w:rsid w:val="00D900AF"/>
    <w:rsid w:val="00D90961"/>
    <w:rsid w:val="00D91174"/>
    <w:rsid w:val="00D91C28"/>
    <w:rsid w:val="00D922D6"/>
    <w:rsid w:val="00D92F95"/>
    <w:rsid w:val="00D93F03"/>
    <w:rsid w:val="00D945C1"/>
    <w:rsid w:val="00D9490D"/>
    <w:rsid w:val="00D94E19"/>
    <w:rsid w:val="00D951C6"/>
    <w:rsid w:val="00D9630E"/>
    <w:rsid w:val="00DA00C7"/>
    <w:rsid w:val="00DA0594"/>
    <w:rsid w:val="00DA0B54"/>
    <w:rsid w:val="00DA0C60"/>
    <w:rsid w:val="00DA10F8"/>
    <w:rsid w:val="00DA1B44"/>
    <w:rsid w:val="00DA1D3B"/>
    <w:rsid w:val="00DA1EDC"/>
    <w:rsid w:val="00DA298D"/>
    <w:rsid w:val="00DA54AC"/>
    <w:rsid w:val="00DA564C"/>
    <w:rsid w:val="00DA5D90"/>
    <w:rsid w:val="00DA5EB3"/>
    <w:rsid w:val="00DA7094"/>
    <w:rsid w:val="00DA71E7"/>
    <w:rsid w:val="00DA7537"/>
    <w:rsid w:val="00DA7D19"/>
    <w:rsid w:val="00DB0877"/>
    <w:rsid w:val="00DB132C"/>
    <w:rsid w:val="00DB1981"/>
    <w:rsid w:val="00DB19BF"/>
    <w:rsid w:val="00DB27A7"/>
    <w:rsid w:val="00DB352C"/>
    <w:rsid w:val="00DB3D92"/>
    <w:rsid w:val="00DB456A"/>
    <w:rsid w:val="00DB49E5"/>
    <w:rsid w:val="00DB5751"/>
    <w:rsid w:val="00DB59DF"/>
    <w:rsid w:val="00DB5D70"/>
    <w:rsid w:val="00DB5D77"/>
    <w:rsid w:val="00DB7CA8"/>
    <w:rsid w:val="00DC053C"/>
    <w:rsid w:val="00DC29C5"/>
    <w:rsid w:val="00DC2BCD"/>
    <w:rsid w:val="00DC3784"/>
    <w:rsid w:val="00DC3B3E"/>
    <w:rsid w:val="00DC4707"/>
    <w:rsid w:val="00DC4B2A"/>
    <w:rsid w:val="00DC4B61"/>
    <w:rsid w:val="00DC4F45"/>
    <w:rsid w:val="00DC7C8B"/>
    <w:rsid w:val="00DD014B"/>
    <w:rsid w:val="00DD033C"/>
    <w:rsid w:val="00DD04A4"/>
    <w:rsid w:val="00DD0E67"/>
    <w:rsid w:val="00DD11AF"/>
    <w:rsid w:val="00DD1D16"/>
    <w:rsid w:val="00DD213A"/>
    <w:rsid w:val="00DD2A19"/>
    <w:rsid w:val="00DD48FD"/>
    <w:rsid w:val="00DD6BAB"/>
    <w:rsid w:val="00DD74F7"/>
    <w:rsid w:val="00DE10AB"/>
    <w:rsid w:val="00DE116A"/>
    <w:rsid w:val="00DE1A42"/>
    <w:rsid w:val="00DE2115"/>
    <w:rsid w:val="00DE2C45"/>
    <w:rsid w:val="00DE3F25"/>
    <w:rsid w:val="00DE3FF4"/>
    <w:rsid w:val="00DE42F4"/>
    <w:rsid w:val="00DE5283"/>
    <w:rsid w:val="00DE5859"/>
    <w:rsid w:val="00DE5C2B"/>
    <w:rsid w:val="00DE5F4A"/>
    <w:rsid w:val="00DE70AC"/>
    <w:rsid w:val="00DE7421"/>
    <w:rsid w:val="00DE7576"/>
    <w:rsid w:val="00DE7C6C"/>
    <w:rsid w:val="00DE7D8B"/>
    <w:rsid w:val="00DE7F17"/>
    <w:rsid w:val="00DF10A4"/>
    <w:rsid w:val="00DF113F"/>
    <w:rsid w:val="00DF1AD0"/>
    <w:rsid w:val="00DF1DCA"/>
    <w:rsid w:val="00DF23FA"/>
    <w:rsid w:val="00DF32AC"/>
    <w:rsid w:val="00DF34DD"/>
    <w:rsid w:val="00DF3A53"/>
    <w:rsid w:val="00DF3D7E"/>
    <w:rsid w:val="00DF3D8A"/>
    <w:rsid w:val="00DF4994"/>
    <w:rsid w:val="00DF4E65"/>
    <w:rsid w:val="00DF5370"/>
    <w:rsid w:val="00DF5E99"/>
    <w:rsid w:val="00DF6759"/>
    <w:rsid w:val="00DF68F5"/>
    <w:rsid w:val="00E00616"/>
    <w:rsid w:val="00E00FA1"/>
    <w:rsid w:val="00E0106E"/>
    <w:rsid w:val="00E01125"/>
    <w:rsid w:val="00E012E3"/>
    <w:rsid w:val="00E01559"/>
    <w:rsid w:val="00E01E5E"/>
    <w:rsid w:val="00E0285F"/>
    <w:rsid w:val="00E03E57"/>
    <w:rsid w:val="00E03E73"/>
    <w:rsid w:val="00E03EFD"/>
    <w:rsid w:val="00E05DEB"/>
    <w:rsid w:val="00E05FCC"/>
    <w:rsid w:val="00E06360"/>
    <w:rsid w:val="00E0694E"/>
    <w:rsid w:val="00E06C71"/>
    <w:rsid w:val="00E07D37"/>
    <w:rsid w:val="00E10BF4"/>
    <w:rsid w:val="00E11048"/>
    <w:rsid w:val="00E11DCA"/>
    <w:rsid w:val="00E1322B"/>
    <w:rsid w:val="00E13811"/>
    <w:rsid w:val="00E1452D"/>
    <w:rsid w:val="00E148EE"/>
    <w:rsid w:val="00E15B36"/>
    <w:rsid w:val="00E15F82"/>
    <w:rsid w:val="00E164D0"/>
    <w:rsid w:val="00E16584"/>
    <w:rsid w:val="00E167C6"/>
    <w:rsid w:val="00E177AC"/>
    <w:rsid w:val="00E177C4"/>
    <w:rsid w:val="00E201C1"/>
    <w:rsid w:val="00E211EF"/>
    <w:rsid w:val="00E22384"/>
    <w:rsid w:val="00E234C0"/>
    <w:rsid w:val="00E238FB"/>
    <w:rsid w:val="00E23E3F"/>
    <w:rsid w:val="00E242D9"/>
    <w:rsid w:val="00E25542"/>
    <w:rsid w:val="00E25FD8"/>
    <w:rsid w:val="00E2610B"/>
    <w:rsid w:val="00E26A87"/>
    <w:rsid w:val="00E26B91"/>
    <w:rsid w:val="00E27542"/>
    <w:rsid w:val="00E27927"/>
    <w:rsid w:val="00E27ACD"/>
    <w:rsid w:val="00E30488"/>
    <w:rsid w:val="00E308CF"/>
    <w:rsid w:val="00E3113B"/>
    <w:rsid w:val="00E31BB7"/>
    <w:rsid w:val="00E321F7"/>
    <w:rsid w:val="00E32E47"/>
    <w:rsid w:val="00E3325E"/>
    <w:rsid w:val="00E33307"/>
    <w:rsid w:val="00E33719"/>
    <w:rsid w:val="00E33BF4"/>
    <w:rsid w:val="00E33EB7"/>
    <w:rsid w:val="00E3441C"/>
    <w:rsid w:val="00E35187"/>
    <w:rsid w:val="00E35A94"/>
    <w:rsid w:val="00E36A76"/>
    <w:rsid w:val="00E36E69"/>
    <w:rsid w:val="00E36FE2"/>
    <w:rsid w:val="00E40AA2"/>
    <w:rsid w:val="00E41C0D"/>
    <w:rsid w:val="00E42698"/>
    <w:rsid w:val="00E427DC"/>
    <w:rsid w:val="00E42C8C"/>
    <w:rsid w:val="00E437D1"/>
    <w:rsid w:val="00E439D5"/>
    <w:rsid w:val="00E43E6B"/>
    <w:rsid w:val="00E44AF5"/>
    <w:rsid w:val="00E45476"/>
    <w:rsid w:val="00E456E7"/>
    <w:rsid w:val="00E45CC9"/>
    <w:rsid w:val="00E45EFE"/>
    <w:rsid w:val="00E4625C"/>
    <w:rsid w:val="00E46391"/>
    <w:rsid w:val="00E46CFE"/>
    <w:rsid w:val="00E47A48"/>
    <w:rsid w:val="00E47EBF"/>
    <w:rsid w:val="00E50A7F"/>
    <w:rsid w:val="00E51787"/>
    <w:rsid w:val="00E51EF5"/>
    <w:rsid w:val="00E51F56"/>
    <w:rsid w:val="00E52303"/>
    <w:rsid w:val="00E52513"/>
    <w:rsid w:val="00E53234"/>
    <w:rsid w:val="00E55198"/>
    <w:rsid w:val="00E55927"/>
    <w:rsid w:val="00E563E8"/>
    <w:rsid w:val="00E56664"/>
    <w:rsid w:val="00E60A0D"/>
    <w:rsid w:val="00E614D8"/>
    <w:rsid w:val="00E616F0"/>
    <w:rsid w:val="00E61D22"/>
    <w:rsid w:val="00E62169"/>
    <w:rsid w:val="00E62BBA"/>
    <w:rsid w:val="00E65417"/>
    <w:rsid w:val="00E65A2D"/>
    <w:rsid w:val="00E66393"/>
    <w:rsid w:val="00E6659D"/>
    <w:rsid w:val="00E66C16"/>
    <w:rsid w:val="00E66F54"/>
    <w:rsid w:val="00E673FD"/>
    <w:rsid w:val="00E70208"/>
    <w:rsid w:val="00E7118D"/>
    <w:rsid w:val="00E713B9"/>
    <w:rsid w:val="00E71546"/>
    <w:rsid w:val="00E71B5F"/>
    <w:rsid w:val="00E728A8"/>
    <w:rsid w:val="00E72BAB"/>
    <w:rsid w:val="00E7321E"/>
    <w:rsid w:val="00E73BCD"/>
    <w:rsid w:val="00E74773"/>
    <w:rsid w:val="00E74B85"/>
    <w:rsid w:val="00E75994"/>
    <w:rsid w:val="00E75F01"/>
    <w:rsid w:val="00E75F24"/>
    <w:rsid w:val="00E76F2D"/>
    <w:rsid w:val="00E771DE"/>
    <w:rsid w:val="00E7722D"/>
    <w:rsid w:val="00E77D93"/>
    <w:rsid w:val="00E804EA"/>
    <w:rsid w:val="00E8091F"/>
    <w:rsid w:val="00E80A30"/>
    <w:rsid w:val="00E81505"/>
    <w:rsid w:val="00E82E16"/>
    <w:rsid w:val="00E839BC"/>
    <w:rsid w:val="00E83A5F"/>
    <w:rsid w:val="00E83B86"/>
    <w:rsid w:val="00E84D75"/>
    <w:rsid w:val="00E85824"/>
    <w:rsid w:val="00E85C73"/>
    <w:rsid w:val="00E87A77"/>
    <w:rsid w:val="00E91DB7"/>
    <w:rsid w:val="00E92373"/>
    <w:rsid w:val="00E925F7"/>
    <w:rsid w:val="00E93061"/>
    <w:rsid w:val="00E938F4"/>
    <w:rsid w:val="00E93A6A"/>
    <w:rsid w:val="00E9444F"/>
    <w:rsid w:val="00E95D58"/>
    <w:rsid w:val="00E96267"/>
    <w:rsid w:val="00E9676D"/>
    <w:rsid w:val="00E96776"/>
    <w:rsid w:val="00EA0030"/>
    <w:rsid w:val="00EA1709"/>
    <w:rsid w:val="00EA1B6F"/>
    <w:rsid w:val="00EA1C14"/>
    <w:rsid w:val="00EA1EB7"/>
    <w:rsid w:val="00EA259E"/>
    <w:rsid w:val="00EA25B8"/>
    <w:rsid w:val="00EA2A30"/>
    <w:rsid w:val="00EA2CC4"/>
    <w:rsid w:val="00EA32E5"/>
    <w:rsid w:val="00EA3AF3"/>
    <w:rsid w:val="00EA4167"/>
    <w:rsid w:val="00EA4468"/>
    <w:rsid w:val="00EA4775"/>
    <w:rsid w:val="00EA4B5F"/>
    <w:rsid w:val="00EA59AC"/>
    <w:rsid w:val="00EA6A46"/>
    <w:rsid w:val="00EB121D"/>
    <w:rsid w:val="00EB161D"/>
    <w:rsid w:val="00EB1BD5"/>
    <w:rsid w:val="00EB1C7F"/>
    <w:rsid w:val="00EB2CB9"/>
    <w:rsid w:val="00EB458B"/>
    <w:rsid w:val="00EB4E2F"/>
    <w:rsid w:val="00EB5B96"/>
    <w:rsid w:val="00EB6531"/>
    <w:rsid w:val="00EB6AF7"/>
    <w:rsid w:val="00EB6EF0"/>
    <w:rsid w:val="00EB752B"/>
    <w:rsid w:val="00EB77A9"/>
    <w:rsid w:val="00EB7C35"/>
    <w:rsid w:val="00EC1684"/>
    <w:rsid w:val="00EC1A42"/>
    <w:rsid w:val="00EC1AB8"/>
    <w:rsid w:val="00EC1B57"/>
    <w:rsid w:val="00EC22D4"/>
    <w:rsid w:val="00EC26DB"/>
    <w:rsid w:val="00EC379C"/>
    <w:rsid w:val="00EC3915"/>
    <w:rsid w:val="00EC425F"/>
    <w:rsid w:val="00EC45F4"/>
    <w:rsid w:val="00EC5070"/>
    <w:rsid w:val="00EC52CA"/>
    <w:rsid w:val="00EC66A4"/>
    <w:rsid w:val="00EC6925"/>
    <w:rsid w:val="00EC7067"/>
    <w:rsid w:val="00EC708E"/>
    <w:rsid w:val="00EC71C5"/>
    <w:rsid w:val="00ED0014"/>
    <w:rsid w:val="00ED06C4"/>
    <w:rsid w:val="00ED1286"/>
    <w:rsid w:val="00ED1AD9"/>
    <w:rsid w:val="00ED1B91"/>
    <w:rsid w:val="00ED21A7"/>
    <w:rsid w:val="00ED2460"/>
    <w:rsid w:val="00ED2BCA"/>
    <w:rsid w:val="00ED2CBF"/>
    <w:rsid w:val="00ED4AF7"/>
    <w:rsid w:val="00ED4CD4"/>
    <w:rsid w:val="00ED5371"/>
    <w:rsid w:val="00ED5AA4"/>
    <w:rsid w:val="00ED5CB3"/>
    <w:rsid w:val="00ED5F60"/>
    <w:rsid w:val="00ED6A80"/>
    <w:rsid w:val="00ED6DF5"/>
    <w:rsid w:val="00ED7A12"/>
    <w:rsid w:val="00EE02BF"/>
    <w:rsid w:val="00EE1312"/>
    <w:rsid w:val="00EE18A8"/>
    <w:rsid w:val="00EE19A9"/>
    <w:rsid w:val="00EE1CDF"/>
    <w:rsid w:val="00EE2A7E"/>
    <w:rsid w:val="00EE36DC"/>
    <w:rsid w:val="00EE3E60"/>
    <w:rsid w:val="00EE4361"/>
    <w:rsid w:val="00EE4A81"/>
    <w:rsid w:val="00EE4F2C"/>
    <w:rsid w:val="00EE5065"/>
    <w:rsid w:val="00EE518E"/>
    <w:rsid w:val="00EE69C9"/>
    <w:rsid w:val="00EE6E7A"/>
    <w:rsid w:val="00EE7599"/>
    <w:rsid w:val="00EE7DED"/>
    <w:rsid w:val="00EF0B0B"/>
    <w:rsid w:val="00EF191C"/>
    <w:rsid w:val="00EF246D"/>
    <w:rsid w:val="00EF2A4F"/>
    <w:rsid w:val="00EF2E6D"/>
    <w:rsid w:val="00EF421F"/>
    <w:rsid w:val="00EF4BEF"/>
    <w:rsid w:val="00EF5005"/>
    <w:rsid w:val="00EF5623"/>
    <w:rsid w:val="00EF57E8"/>
    <w:rsid w:val="00EF770B"/>
    <w:rsid w:val="00EF7A28"/>
    <w:rsid w:val="00EF7BDC"/>
    <w:rsid w:val="00F001B5"/>
    <w:rsid w:val="00F00952"/>
    <w:rsid w:val="00F01C7D"/>
    <w:rsid w:val="00F02950"/>
    <w:rsid w:val="00F04663"/>
    <w:rsid w:val="00F04AE3"/>
    <w:rsid w:val="00F06692"/>
    <w:rsid w:val="00F10FD4"/>
    <w:rsid w:val="00F11483"/>
    <w:rsid w:val="00F12265"/>
    <w:rsid w:val="00F1243F"/>
    <w:rsid w:val="00F12589"/>
    <w:rsid w:val="00F12736"/>
    <w:rsid w:val="00F12870"/>
    <w:rsid w:val="00F12879"/>
    <w:rsid w:val="00F12A0D"/>
    <w:rsid w:val="00F147CE"/>
    <w:rsid w:val="00F14861"/>
    <w:rsid w:val="00F14CA8"/>
    <w:rsid w:val="00F14D74"/>
    <w:rsid w:val="00F15265"/>
    <w:rsid w:val="00F1554D"/>
    <w:rsid w:val="00F158AA"/>
    <w:rsid w:val="00F15AF5"/>
    <w:rsid w:val="00F15D50"/>
    <w:rsid w:val="00F160FA"/>
    <w:rsid w:val="00F163E6"/>
    <w:rsid w:val="00F1658E"/>
    <w:rsid w:val="00F16D68"/>
    <w:rsid w:val="00F16E7D"/>
    <w:rsid w:val="00F175F0"/>
    <w:rsid w:val="00F17770"/>
    <w:rsid w:val="00F1781B"/>
    <w:rsid w:val="00F178A4"/>
    <w:rsid w:val="00F225B7"/>
    <w:rsid w:val="00F225F3"/>
    <w:rsid w:val="00F22AAE"/>
    <w:rsid w:val="00F22F33"/>
    <w:rsid w:val="00F232F8"/>
    <w:rsid w:val="00F23B46"/>
    <w:rsid w:val="00F242A5"/>
    <w:rsid w:val="00F243EA"/>
    <w:rsid w:val="00F25168"/>
    <w:rsid w:val="00F2646C"/>
    <w:rsid w:val="00F26493"/>
    <w:rsid w:val="00F268F0"/>
    <w:rsid w:val="00F2742C"/>
    <w:rsid w:val="00F27587"/>
    <w:rsid w:val="00F30E7A"/>
    <w:rsid w:val="00F314A5"/>
    <w:rsid w:val="00F316F6"/>
    <w:rsid w:val="00F33A7E"/>
    <w:rsid w:val="00F344EC"/>
    <w:rsid w:val="00F3452E"/>
    <w:rsid w:val="00F345F3"/>
    <w:rsid w:val="00F34988"/>
    <w:rsid w:val="00F35FF4"/>
    <w:rsid w:val="00F361F1"/>
    <w:rsid w:val="00F36620"/>
    <w:rsid w:val="00F36838"/>
    <w:rsid w:val="00F36852"/>
    <w:rsid w:val="00F36E5C"/>
    <w:rsid w:val="00F36F3A"/>
    <w:rsid w:val="00F36F89"/>
    <w:rsid w:val="00F37BA7"/>
    <w:rsid w:val="00F37BC9"/>
    <w:rsid w:val="00F41290"/>
    <w:rsid w:val="00F41CA1"/>
    <w:rsid w:val="00F420B2"/>
    <w:rsid w:val="00F428E8"/>
    <w:rsid w:val="00F438D1"/>
    <w:rsid w:val="00F43A65"/>
    <w:rsid w:val="00F46C38"/>
    <w:rsid w:val="00F47D21"/>
    <w:rsid w:val="00F50A74"/>
    <w:rsid w:val="00F530BD"/>
    <w:rsid w:val="00F54553"/>
    <w:rsid w:val="00F552C0"/>
    <w:rsid w:val="00F56054"/>
    <w:rsid w:val="00F5614B"/>
    <w:rsid w:val="00F56A0F"/>
    <w:rsid w:val="00F56AFE"/>
    <w:rsid w:val="00F56FF3"/>
    <w:rsid w:val="00F5794A"/>
    <w:rsid w:val="00F60A6F"/>
    <w:rsid w:val="00F60E52"/>
    <w:rsid w:val="00F612EF"/>
    <w:rsid w:val="00F622AF"/>
    <w:rsid w:val="00F625F7"/>
    <w:rsid w:val="00F629CA"/>
    <w:rsid w:val="00F62DBE"/>
    <w:rsid w:val="00F6334F"/>
    <w:rsid w:val="00F63CD4"/>
    <w:rsid w:val="00F642E7"/>
    <w:rsid w:val="00F6459A"/>
    <w:rsid w:val="00F645E5"/>
    <w:rsid w:val="00F65847"/>
    <w:rsid w:val="00F671FD"/>
    <w:rsid w:val="00F674A8"/>
    <w:rsid w:val="00F67C44"/>
    <w:rsid w:val="00F67F7A"/>
    <w:rsid w:val="00F7086E"/>
    <w:rsid w:val="00F709A3"/>
    <w:rsid w:val="00F72C32"/>
    <w:rsid w:val="00F72C84"/>
    <w:rsid w:val="00F73149"/>
    <w:rsid w:val="00F732D6"/>
    <w:rsid w:val="00F73785"/>
    <w:rsid w:val="00F73FD3"/>
    <w:rsid w:val="00F750A6"/>
    <w:rsid w:val="00F75BAA"/>
    <w:rsid w:val="00F75CF4"/>
    <w:rsid w:val="00F75DBB"/>
    <w:rsid w:val="00F772BE"/>
    <w:rsid w:val="00F77435"/>
    <w:rsid w:val="00F80CB8"/>
    <w:rsid w:val="00F81086"/>
    <w:rsid w:val="00F82C23"/>
    <w:rsid w:val="00F82C4F"/>
    <w:rsid w:val="00F82E12"/>
    <w:rsid w:val="00F838B2"/>
    <w:rsid w:val="00F8393B"/>
    <w:rsid w:val="00F83B38"/>
    <w:rsid w:val="00F83EB4"/>
    <w:rsid w:val="00F843FF"/>
    <w:rsid w:val="00F8518B"/>
    <w:rsid w:val="00F857AD"/>
    <w:rsid w:val="00F85959"/>
    <w:rsid w:val="00F85A72"/>
    <w:rsid w:val="00F85D70"/>
    <w:rsid w:val="00F85EC2"/>
    <w:rsid w:val="00F85FB4"/>
    <w:rsid w:val="00F8607F"/>
    <w:rsid w:val="00F864A7"/>
    <w:rsid w:val="00F87C3A"/>
    <w:rsid w:val="00F908F9"/>
    <w:rsid w:val="00F90FBF"/>
    <w:rsid w:val="00F91D39"/>
    <w:rsid w:val="00F93224"/>
    <w:rsid w:val="00F95316"/>
    <w:rsid w:val="00F95F7B"/>
    <w:rsid w:val="00F97AB3"/>
    <w:rsid w:val="00FA1A2D"/>
    <w:rsid w:val="00FA2819"/>
    <w:rsid w:val="00FA2BAF"/>
    <w:rsid w:val="00FA2DDE"/>
    <w:rsid w:val="00FA32B8"/>
    <w:rsid w:val="00FA4831"/>
    <w:rsid w:val="00FA48C9"/>
    <w:rsid w:val="00FA5994"/>
    <w:rsid w:val="00FA5EB4"/>
    <w:rsid w:val="00FA6A1F"/>
    <w:rsid w:val="00FA730D"/>
    <w:rsid w:val="00FA78B9"/>
    <w:rsid w:val="00FB0204"/>
    <w:rsid w:val="00FB156E"/>
    <w:rsid w:val="00FB1594"/>
    <w:rsid w:val="00FB275B"/>
    <w:rsid w:val="00FB4919"/>
    <w:rsid w:val="00FB4A8A"/>
    <w:rsid w:val="00FB529B"/>
    <w:rsid w:val="00FB543D"/>
    <w:rsid w:val="00FB5DD7"/>
    <w:rsid w:val="00FB5E7A"/>
    <w:rsid w:val="00FB6227"/>
    <w:rsid w:val="00FB78E4"/>
    <w:rsid w:val="00FB791D"/>
    <w:rsid w:val="00FB7BF6"/>
    <w:rsid w:val="00FC04E9"/>
    <w:rsid w:val="00FC0713"/>
    <w:rsid w:val="00FC2E84"/>
    <w:rsid w:val="00FC45C6"/>
    <w:rsid w:val="00FC4939"/>
    <w:rsid w:val="00FC4C58"/>
    <w:rsid w:val="00FC57E1"/>
    <w:rsid w:val="00FC6B3D"/>
    <w:rsid w:val="00FC6D4D"/>
    <w:rsid w:val="00FC7333"/>
    <w:rsid w:val="00FC7930"/>
    <w:rsid w:val="00FC7FF1"/>
    <w:rsid w:val="00FD04F3"/>
    <w:rsid w:val="00FD0BD4"/>
    <w:rsid w:val="00FD174A"/>
    <w:rsid w:val="00FD1CB4"/>
    <w:rsid w:val="00FD2260"/>
    <w:rsid w:val="00FD287C"/>
    <w:rsid w:val="00FD2E69"/>
    <w:rsid w:val="00FD305D"/>
    <w:rsid w:val="00FD329C"/>
    <w:rsid w:val="00FD4437"/>
    <w:rsid w:val="00FD541D"/>
    <w:rsid w:val="00FD590D"/>
    <w:rsid w:val="00FD7036"/>
    <w:rsid w:val="00FD74F6"/>
    <w:rsid w:val="00FD75CA"/>
    <w:rsid w:val="00FD7896"/>
    <w:rsid w:val="00FD7CDD"/>
    <w:rsid w:val="00FE097D"/>
    <w:rsid w:val="00FE0C00"/>
    <w:rsid w:val="00FE0C31"/>
    <w:rsid w:val="00FE0C35"/>
    <w:rsid w:val="00FE135F"/>
    <w:rsid w:val="00FE1389"/>
    <w:rsid w:val="00FE14EB"/>
    <w:rsid w:val="00FE1985"/>
    <w:rsid w:val="00FE1D56"/>
    <w:rsid w:val="00FE2196"/>
    <w:rsid w:val="00FE32CD"/>
    <w:rsid w:val="00FE3823"/>
    <w:rsid w:val="00FE3B26"/>
    <w:rsid w:val="00FE43BC"/>
    <w:rsid w:val="00FE4A0E"/>
    <w:rsid w:val="00FE4C8C"/>
    <w:rsid w:val="00FE4EC6"/>
    <w:rsid w:val="00FE5E44"/>
    <w:rsid w:val="00FE68AA"/>
    <w:rsid w:val="00FE6A5C"/>
    <w:rsid w:val="00FE74BE"/>
    <w:rsid w:val="00FF02F0"/>
    <w:rsid w:val="00FF033A"/>
    <w:rsid w:val="00FF0593"/>
    <w:rsid w:val="00FF06E9"/>
    <w:rsid w:val="00FF37AA"/>
    <w:rsid w:val="00FF4E7F"/>
    <w:rsid w:val="00FF563E"/>
    <w:rsid w:val="00FF5CB4"/>
    <w:rsid w:val="00FF5FBB"/>
    <w:rsid w:val="00FF5FF0"/>
    <w:rsid w:val="00FF61DC"/>
    <w:rsid w:val="00FF6299"/>
    <w:rsid w:val="00FF7121"/>
    <w:rsid w:val="00FF7E9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7105"/>
    <o:shapelayout v:ext="edit">
      <o:idmap v:ext="edit" data="1"/>
    </o:shapelayout>
  </w:shapeDefaults>
  <w:decimalSymbol w:val="."/>
  <w:listSeparator w:val=","/>
  <w14:docId w14:val="1C943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5" w:qFormat="1"/>
    <w:lsdException w:name="heading 1" w:uiPriority="9"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4" w:unhideWhenUsed="1"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5"/>
    <w:qFormat/>
    <w:rsid w:val="003D068D"/>
    <w:pPr>
      <w:spacing w:after="120" w:line="276" w:lineRule="auto"/>
      <w:jc w:val="both"/>
    </w:pPr>
    <w:rPr>
      <w:rFonts w:ascii="Segoe UI" w:hAnsi="Segoe UI"/>
      <w:szCs w:val="22"/>
      <w:lang w:val="en-GB"/>
    </w:rPr>
  </w:style>
  <w:style w:type="paragraph" w:styleId="Heading1">
    <w:name w:val="heading 1"/>
    <w:basedOn w:val="Normal"/>
    <w:next w:val="Normal"/>
    <w:link w:val="Heading1Char"/>
    <w:autoRedefine/>
    <w:uiPriority w:val="9"/>
    <w:qFormat/>
    <w:rsid w:val="003D068D"/>
    <w:pPr>
      <w:numPr>
        <w:numId w:val="3"/>
      </w:numPr>
      <w:spacing w:before="60" w:line="240" w:lineRule="auto"/>
      <w:jc w:val="left"/>
      <w:outlineLvl w:val="0"/>
    </w:pPr>
    <w:rPr>
      <w:rFonts w:eastAsia="Times New Roman" w:cs="Segoe UI"/>
      <w:b/>
      <w:snapToGrid w:val="0"/>
      <w:sz w:val="24"/>
      <w:szCs w:val="32"/>
    </w:rPr>
  </w:style>
  <w:style w:type="paragraph" w:styleId="Heading2">
    <w:name w:val="heading 2"/>
    <w:basedOn w:val="Normal"/>
    <w:next w:val="Normal"/>
    <w:link w:val="Heading2Char"/>
    <w:autoRedefine/>
    <w:uiPriority w:val="1"/>
    <w:qFormat/>
    <w:rsid w:val="00886982"/>
    <w:pPr>
      <w:keepNext/>
      <w:numPr>
        <w:ilvl w:val="1"/>
        <w:numId w:val="3"/>
      </w:numPr>
      <w:spacing w:before="60" w:line="240" w:lineRule="auto"/>
      <w:jc w:val="left"/>
      <w:outlineLvl w:val="1"/>
    </w:pPr>
    <w:rPr>
      <w:rFonts w:eastAsia="Times New Roman"/>
      <w:b/>
      <w:snapToGrid w:val="0"/>
      <w:color w:val="884C91"/>
      <w:sz w:val="24"/>
      <w:szCs w:val="24"/>
    </w:rPr>
  </w:style>
  <w:style w:type="paragraph" w:styleId="Heading3">
    <w:name w:val="heading 3"/>
    <w:basedOn w:val="Normal"/>
    <w:next w:val="Normal"/>
    <w:link w:val="Heading3Char"/>
    <w:autoRedefine/>
    <w:uiPriority w:val="2"/>
    <w:qFormat/>
    <w:rsid w:val="00F420B2"/>
    <w:pPr>
      <w:keepNext/>
      <w:widowControl w:val="0"/>
      <w:numPr>
        <w:ilvl w:val="2"/>
        <w:numId w:val="3"/>
      </w:numPr>
      <w:spacing w:before="60" w:line="240" w:lineRule="auto"/>
      <w:jc w:val="left"/>
      <w:outlineLvl w:val="2"/>
    </w:pPr>
    <w:rPr>
      <w:rFonts w:eastAsia="Times New Roman"/>
      <w:b/>
      <w:snapToGrid w:val="0"/>
      <w:color w:val="2DBDB6"/>
      <w:sz w:val="24"/>
      <w:szCs w:val="24"/>
    </w:rPr>
  </w:style>
  <w:style w:type="paragraph" w:styleId="Heading4">
    <w:name w:val="heading 4"/>
    <w:basedOn w:val="Normal"/>
    <w:next w:val="Normal"/>
    <w:link w:val="Heading4Char"/>
    <w:uiPriority w:val="3"/>
    <w:qFormat/>
    <w:rsid w:val="003E7FAF"/>
    <w:pPr>
      <w:keepNext/>
      <w:numPr>
        <w:ilvl w:val="3"/>
        <w:numId w:val="3"/>
      </w:numPr>
      <w:spacing w:before="240" w:after="240"/>
      <w:outlineLvl w:val="3"/>
    </w:pPr>
    <w:rPr>
      <w:rFonts w:eastAsia="Times New Roman"/>
      <w:b/>
      <w:bCs/>
      <w:color w:val="000000" w:themeColor="text1"/>
      <w:szCs w:val="28"/>
    </w:rPr>
  </w:style>
  <w:style w:type="paragraph" w:styleId="Heading5">
    <w:name w:val="heading 5"/>
    <w:basedOn w:val="Normal"/>
    <w:next w:val="Normal"/>
    <w:link w:val="Heading5Char"/>
    <w:uiPriority w:val="4"/>
    <w:qFormat/>
    <w:rsid w:val="00DF23FA"/>
    <w:pPr>
      <w:numPr>
        <w:ilvl w:val="4"/>
        <w:numId w:val="3"/>
      </w:numPr>
      <w:spacing w:before="240" w:after="60" w:line="360" w:lineRule="auto"/>
      <w:jc w:val="left"/>
      <w:outlineLvl w:val="4"/>
    </w:pPr>
    <w:rPr>
      <w:rFonts w:eastAsia="Times New Roman"/>
      <w:bCs/>
      <w:i/>
      <w:iCs/>
      <w:color w:val="88C540" w:themeColor="accent1"/>
      <w:szCs w:val="26"/>
    </w:rPr>
  </w:style>
  <w:style w:type="paragraph" w:styleId="Heading6">
    <w:name w:val="heading 6"/>
    <w:basedOn w:val="Normal"/>
    <w:next w:val="Normal"/>
    <w:link w:val="Heading6Char"/>
    <w:uiPriority w:val="99"/>
    <w:semiHidden/>
    <w:unhideWhenUsed/>
    <w:rsid w:val="00AC0C10"/>
    <w:pPr>
      <w:numPr>
        <w:ilvl w:val="5"/>
        <w:numId w:val="1"/>
      </w:numPr>
      <w:spacing w:before="240" w:after="60"/>
      <w:outlineLvl w:val="5"/>
    </w:pPr>
    <w:rPr>
      <w:rFonts w:eastAsia="Times New Roman"/>
      <w:b/>
      <w:bCs/>
    </w:rPr>
  </w:style>
  <w:style w:type="paragraph" w:styleId="Heading7">
    <w:name w:val="heading 7"/>
    <w:basedOn w:val="Normal"/>
    <w:next w:val="Normal"/>
    <w:link w:val="Heading7Char"/>
    <w:uiPriority w:val="99"/>
    <w:semiHidden/>
    <w:unhideWhenUsed/>
    <w:qFormat/>
    <w:rsid w:val="00AC0C10"/>
    <w:pPr>
      <w:numPr>
        <w:ilvl w:val="6"/>
        <w:numId w:val="1"/>
      </w:numPr>
      <w:spacing w:before="240" w:after="60"/>
      <w:outlineLvl w:val="6"/>
    </w:pPr>
    <w:rPr>
      <w:rFonts w:eastAsia="Times New Roman"/>
      <w:sz w:val="24"/>
      <w:szCs w:val="24"/>
    </w:rPr>
  </w:style>
  <w:style w:type="paragraph" w:styleId="Heading8">
    <w:name w:val="heading 8"/>
    <w:basedOn w:val="Normal"/>
    <w:next w:val="Normal"/>
    <w:link w:val="Heading8Char"/>
    <w:uiPriority w:val="99"/>
    <w:semiHidden/>
    <w:unhideWhenUsed/>
    <w:qFormat/>
    <w:rsid w:val="00AC0C10"/>
    <w:pPr>
      <w:numPr>
        <w:ilvl w:val="7"/>
        <w:numId w:val="1"/>
      </w:numPr>
      <w:spacing w:before="240" w:after="60"/>
      <w:outlineLvl w:val="7"/>
    </w:pPr>
    <w:rPr>
      <w:rFonts w:eastAsia="Times New Roman"/>
      <w:i/>
      <w:iCs/>
      <w:sz w:val="24"/>
      <w:szCs w:val="24"/>
    </w:rPr>
  </w:style>
  <w:style w:type="paragraph" w:styleId="Heading9">
    <w:name w:val="heading 9"/>
    <w:basedOn w:val="Normal"/>
    <w:next w:val="Normal"/>
    <w:link w:val="Heading9Char"/>
    <w:uiPriority w:val="99"/>
    <w:semiHidden/>
    <w:unhideWhenUsed/>
    <w:qFormat/>
    <w:rsid w:val="00AC0C10"/>
    <w:pPr>
      <w:numPr>
        <w:ilvl w:val="8"/>
        <w:numId w:val="1"/>
      </w:num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D068D"/>
    <w:rPr>
      <w:rFonts w:ascii="Segoe UI" w:eastAsia="Times New Roman" w:hAnsi="Segoe UI" w:cs="Segoe UI"/>
      <w:b/>
      <w:snapToGrid w:val="0"/>
      <w:sz w:val="24"/>
      <w:szCs w:val="32"/>
      <w:lang w:val="en-GB"/>
    </w:rPr>
  </w:style>
  <w:style w:type="character" w:customStyle="1" w:styleId="Heading2Char">
    <w:name w:val="Heading 2 Char"/>
    <w:link w:val="Heading2"/>
    <w:uiPriority w:val="1"/>
    <w:rsid w:val="00886982"/>
    <w:rPr>
      <w:rFonts w:ascii="Segoe UI" w:eastAsia="Times New Roman" w:hAnsi="Segoe UI"/>
      <w:b/>
      <w:snapToGrid w:val="0"/>
      <w:color w:val="884C91"/>
      <w:sz w:val="24"/>
      <w:szCs w:val="24"/>
      <w:lang w:val="en-GB"/>
    </w:rPr>
  </w:style>
  <w:style w:type="character" w:customStyle="1" w:styleId="Heading3Char">
    <w:name w:val="Heading 3 Char"/>
    <w:link w:val="Heading3"/>
    <w:uiPriority w:val="2"/>
    <w:rsid w:val="00F420B2"/>
    <w:rPr>
      <w:rFonts w:ascii="Segoe UI" w:eastAsia="Times New Roman" w:hAnsi="Segoe UI"/>
      <w:b/>
      <w:snapToGrid w:val="0"/>
      <w:color w:val="2DBDB6"/>
      <w:sz w:val="24"/>
      <w:szCs w:val="24"/>
      <w:lang w:val="en-GB"/>
    </w:rPr>
  </w:style>
  <w:style w:type="character" w:customStyle="1" w:styleId="Heading4Char">
    <w:name w:val="Heading 4 Char"/>
    <w:link w:val="Heading4"/>
    <w:uiPriority w:val="3"/>
    <w:rsid w:val="00354B19"/>
    <w:rPr>
      <w:rFonts w:eastAsia="Times New Roman"/>
      <w:b/>
      <w:bCs/>
      <w:color w:val="000000" w:themeColor="text1"/>
      <w:sz w:val="22"/>
      <w:szCs w:val="28"/>
      <w:lang w:val="en-GB"/>
    </w:rPr>
  </w:style>
  <w:style w:type="character" w:customStyle="1" w:styleId="Heading5Char">
    <w:name w:val="Heading 5 Char"/>
    <w:link w:val="Heading5"/>
    <w:uiPriority w:val="4"/>
    <w:rsid w:val="00757DD3"/>
    <w:rPr>
      <w:rFonts w:eastAsia="Times New Roman"/>
      <w:bCs/>
      <w:i/>
      <w:iCs/>
      <w:color w:val="88C540" w:themeColor="accent1"/>
      <w:sz w:val="22"/>
      <w:szCs w:val="26"/>
      <w:lang w:val="en-GB"/>
    </w:rPr>
  </w:style>
  <w:style w:type="character" w:customStyle="1" w:styleId="Heading6Char">
    <w:name w:val="Heading 6 Char"/>
    <w:link w:val="Heading6"/>
    <w:uiPriority w:val="99"/>
    <w:semiHidden/>
    <w:rsid w:val="00470F8E"/>
    <w:rPr>
      <w:rFonts w:eastAsia="Times New Roman"/>
      <w:b/>
      <w:bCs/>
      <w:sz w:val="22"/>
      <w:szCs w:val="22"/>
      <w:lang w:val="en-GB"/>
    </w:rPr>
  </w:style>
  <w:style w:type="character" w:customStyle="1" w:styleId="Heading7Char">
    <w:name w:val="Heading 7 Char"/>
    <w:link w:val="Heading7"/>
    <w:uiPriority w:val="99"/>
    <w:semiHidden/>
    <w:rsid w:val="00470F8E"/>
    <w:rPr>
      <w:rFonts w:eastAsia="Times New Roman"/>
      <w:sz w:val="24"/>
      <w:szCs w:val="24"/>
      <w:lang w:val="en-GB"/>
    </w:rPr>
  </w:style>
  <w:style w:type="character" w:customStyle="1" w:styleId="Heading8Char">
    <w:name w:val="Heading 8 Char"/>
    <w:link w:val="Heading8"/>
    <w:uiPriority w:val="99"/>
    <w:semiHidden/>
    <w:rsid w:val="00470F8E"/>
    <w:rPr>
      <w:rFonts w:eastAsia="Times New Roman"/>
      <w:i/>
      <w:iCs/>
      <w:sz w:val="24"/>
      <w:szCs w:val="24"/>
      <w:lang w:val="en-GB"/>
    </w:rPr>
  </w:style>
  <w:style w:type="character" w:customStyle="1" w:styleId="Heading9Char">
    <w:name w:val="Heading 9 Char"/>
    <w:link w:val="Heading9"/>
    <w:uiPriority w:val="99"/>
    <w:semiHidden/>
    <w:rsid w:val="00470F8E"/>
    <w:rPr>
      <w:rFonts w:ascii="Cambria" w:eastAsia="Times New Roman" w:hAnsi="Cambria"/>
      <w:sz w:val="22"/>
      <w:szCs w:val="22"/>
      <w:lang w:val="en-GB"/>
    </w:rPr>
  </w:style>
  <w:style w:type="paragraph" w:customStyle="1" w:styleId="Footerbox1">
    <w:name w:val="Footer box 1"/>
    <w:basedOn w:val="Normal"/>
    <w:semiHidden/>
    <w:unhideWhenUsed/>
    <w:rsid w:val="00A70360"/>
    <w:pPr>
      <w:spacing w:after="0" w:line="240" w:lineRule="auto"/>
      <w:jc w:val="center"/>
    </w:pPr>
    <w:rPr>
      <w:b/>
      <w:bCs/>
      <w:color w:val="FFFFFF"/>
      <w:szCs w:val="20"/>
    </w:rPr>
  </w:style>
  <w:style w:type="paragraph" w:customStyle="1" w:styleId="Footerbox2">
    <w:name w:val="Footer box 2"/>
    <w:basedOn w:val="Normal"/>
    <w:semiHidden/>
    <w:unhideWhenUsed/>
    <w:rsid w:val="00A70360"/>
    <w:pPr>
      <w:spacing w:after="0" w:line="240" w:lineRule="auto"/>
    </w:pPr>
    <w:rPr>
      <w:b/>
      <w:bCs/>
      <w:color w:val="FFFFFF"/>
      <w:szCs w:val="20"/>
    </w:rPr>
  </w:style>
  <w:style w:type="paragraph" w:styleId="BalloonText">
    <w:name w:val="Balloon Text"/>
    <w:basedOn w:val="Normal"/>
    <w:link w:val="BalloonTextChar"/>
    <w:uiPriority w:val="99"/>
    <w:semiHidden/>
    <w:unhideWhenUsed/>
    <w:rsid w:val="00AF380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470F8E"/>
    <w:rPr>
      <w:rFonts w:ascii="Tahoma" w:hAnsi="Tahoma"/>
      <w:sz w:val="16"/>
      <w:szCs w:val="16"/>
      <w:lang w:val="en-GB"/>
    </w:rPr>
  </w:style>
  <w:style w:type="table" w:styleId="TableGrid">
    <w:name w:val="Table Grid"/>
    <w:basedOn w:val="TableNormal"/>
    <w:uiPriority w:val="59"/>
    <w:rsid w:val="00CA67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1">
    <w:name w:val="Medium Grid 3 Accent 1"/>
    <w:basedOn w:val="TableNormal"/>
    <w:uiPriority w:val="69"/>
    <w:rsid w:val="001E2728"/>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PlainTable2">
    <w:name w:val="Plain Table 2"/>
    <w:aliases w:val="ResultTable"/>
    <w:basedOn w:val="TableNormal"/>
    <w:uiPriority w:val="42"/>
    <w:rsid w:val="000400D4"/>
    <w:tblPr>
      <w:tblStyleRowBandSize w:val="1"/>
      <w:tblStyleColBandSize w:val="1"/>
      <w:tblBorders>
        <w:top w:val="single" w:sz="4" w:space="0" w:color="358A02"/>
        <w:left w:val="single" w:sz="4" w:space="0" w:color="358A02"/>
        <w:bottom w:val="single" w:sz="4" w:space="0" w:color="358A02"/>
        <w:right w:val="single" w:sz="4" w:space="0" w:color="358A02"/>
        <w:insideH w:val="single" w:sz="4" w:space="0" w:color="358A02"/>
        <w:insideV w:val="single" w:sz="4" w:space="0" w:color="358A02"/>
      </w:tblBorders>
    </w:tblPr>
    <w:tblStylePr w:type="firstRow">
      <w:rPr>
        <w:b/>
        <w:bCs/>
        <w:color w:val="FFFFFF" w:themeColor="background1"/>
      </w:rPr>
      <w:tblPr/>
      <w:tcPr>
        <w:shd w:val="clear" w:color="auto" w:fill="41C406"/>
      </w:tcPr>
    </w:tblStylePr>
    <w:tblStylePr w:type="lastRow">
      <w:rPr>
        <w:b/>
        <w:bCs/>
      </w:rPr>
      <w:tblPr/>
      <w:tcPr>
        <w:tcBorders>
          <w:top w:val="single" w:sz="4" w:space="0" w:color="358A02"/>
          <w:left w:val="single" w:sz="4" w:space="0" w:color="358A02"/>
          <w:bottom w:val="single" w:sz="4" w:space="0" w:color="358A02"/>
          <w:right w:val="single" w:sz="4" w:space="0" w:color="358A02"/>
          <w:insideH w:val="single" w:sz="4" w:space="0" w:color="358A02"/>
          <w:insideV w:val="single" w:sz="4" w:space="0" w:color="358A02"/>
        </w:tcBorders>
      </w:tcPr>
    </w:tblStylePr>
    <w:tblStylePr w:type="firstCol">
      <w:rPr>
        <w:b w:val="0"/>
        <w:bCs/>
      </w:rPr>
    </w:tblStylePr>
    <w:tblStylePr w:type="lastCol">
      <w:rPr>
        <w:b w:val="0"/>
        <w:bCs/>
      </w:rPr>
    </w:tblStylePr>
    <w:tblStylePr w:type="band1Vert">
      <w:tblPr/>
      <w:tcPr>
        <w:tcBorders>
          <w:left w:val="single" w:sz="4" w:space="0" w:color="358A02"/>
          <w:right w:val="single" w:sz="4" w:space="0" w:color="358A02"/>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shd w:val="clear" w:color="auto" w:fill="D3FFD1"/>
      </w:tcPr>
    </w:tblStylePr>
  </w:style>
  <w:style w:type="paragraph" w:customStyle="1" w:styleId="Footerboxcontent1">
    <w:name w:val="Footer box content 1"/>
    <w:basedOn w:val="Normal"/>
    <w:semiHidden/>
    <w:unhideWhenUsed/>
    <w:rsid w:val="00A70360"/>
    <w:pPr>
      <w:spacing w:after="0" w:line="240" w:lineRule="auto"/>
      <w:jc w:val="center"/>
    </w:pPr>
    <w:rPr>
      <w:b/>
      <w:bCs/>
      <w:color w:val="002060"/>
      <w:szCs w:val="20"/>
    </w:rPr>
  </w:style>
  <w:style w:type="paragraph" w:styleId="Footer">
    <w:name w:val="footer"/>
    <w:basedOn w:val="Headermain"/>
    <w:link w:val="FooterChar"/>
    <w:uiPriority w:val="99"/>
    <w:unhideWhenUsed/>
    <w:rsid w:val="00701828"/>
    <w:pPr>
      <w:tabs>
        <w:tab w:val="clear" w:pos="4513"/>
        <w:tab w:val="clear" w:pos="9026"/>
        <w:tab w:val="clear" w:pos="9063"/>
        <w:tab w:val="center" w:pos="5387"/>
        <w:tab w:val="left" w:pos="9356"/>
      </w:tabs>
      <w:spacing w:before="120"/>
    </w:pPr>
    <w:rPr>
      <w:rFonts w:ascii="Calibri" w:hAnsi="Calibri"/>
      <w:noProof/>
      <w:color w:val="002D62"/>
      <w:lang w:eastAsia="en-GB"/>
    </w:rPr>
  </w:style>
  <w:style w:type="paragraph" w:customStyle="1" w:styleId="Headermain">
    <w:name w:val="Header main"/>
    <w:basedOn w:val="Normal"/>
    <w:rsid w:val="009D51F8"/>
    <w:pPr>
      <w:tabs>
        <w:tab w:val="center" w:pos="4513"/>
        <w:tab w:val="right" w:pos="9026"/>
        <w:tab w:val="right" w:pos="9063"/>
      </w:tabs>
      <w:spacing w:after="0" w:line="240" w:lineRule="auto"/>
    </w:pPr>
    <w:rPr>
      <w:rFonts w:ascii="Book Antiqua" w:hAnsi="Book Antiqua"/>
      <w:b/>
      <w:bCs/>
      <w:color w:val="002060"/>
    </w:rPr>
  </w:style>
  <w:style w:type="character" w:customStyle="1" w:styleId="FooterChar">
    <w:name w:val="Footer Char"/>
    <w:link w:val="Footer"/>
    <w:uiPriority w:val="99"/>
    <w:rsid w:val="00470F8E"/>
    <w:rPr>
      <w:b/>
      <w:bCs/>
      <w:noProof/>
      <w:color w:val="002D62"/>
      <w:szCs w:val="22"/>
      <w:lang w:val="en-GB" w:eastAsia="en-GB"/>
    </w:rPr>
  </w:style>
  <w:style w:type="paragraph" w:customStyle="1" w:styleId="Footerboxcontent2">
    <w:name w:val="Footer box content 2"/>
    <w:basedOn w:val="Normal"/>
    <w:semiHidden/>
    <w:unhideWhenUsed/>
    <w:rsid w:val="00FC7930"/>
    <w:pPr>
      <w:spacing w:after="0" w:line="240" w:lineRule="auto"/>
    </w:pPr>
    <w:rPr>
      <w:b/>
      <w:color w:val="002060"/>
      <w:szCs w:val="20"/>
    </w:rPr>
  </w:style>
  <w:style w:type="character" w:styleId="Hyperlink">
    <w:name w:val="Hyperlink"/>
    <w:uiPriority w:val="99"/>
    <w:rsid w:val="00804A1B"/>
    <w:rPr>
      <w:color w:val="0000FF"/>
      <w:u w:val="single"/>
    </w:rPr>
  </w:style>
  <w:style w:type="paragraph" w:styleId="TOCHeading">
    <w:name w:val="TOC Heading"/>
    <w:basedOn w:val="Heading1"/>
    <w:next w:val="Normal"/>
    <w:uiPriority w:val="39"/>
    <w:unhideWhenUsed/>
    <w:rsid w:val="00142C01"/>
    <w:pPr>
      <w:keepLines/>
      <w:numPr>
        <w:numId w:val="0"/>
      </w:numPr>
      <w:spacing w:line="276" w:lineRule="auto"/>
      <w:ind w:left="567" w:hanging="567"/>
      <w:outlineLvl w:val="9"/>
    </w:pPr>
    <w:rPr>
      <w:rFonts w:ascii="Cambria" w:hAnsi="Cambria"/>
      <w:bCs/>
      <w:color w:val="365F91"/>
      <w:szCs w:val="28"/>
      <w:lang w:val="en-US"/>
    </w:rPr>
  </w:style>
  <w:style w:type="paragraph" w:styleId="TOC1">
    <w:name w:val="toc 1"/>
    <w:basedOn w:val="Normal"/>
    <w:next w:val="Normal"/>
    <w:uiPriority w:val="39"/>
    <w:unhideWhenUsed/>
    <w:rsid w:val="000B5556"/>
    <w:pPr>
      <w:tabs>
        <w:tab w:val="left" w:pos="1276"/>
        <w:tab w:val="right" w:leader="dot" w:pos="10480"/>
      </w:tabs>
      <w:spacing w:before="180" w:after="60" w:line="240" w:lineRule="auto"/>
    </w:pPr>
    <w:rPr>
      <w:rFonts w:cs="Calibri"/>
      <w:b/>
      <w:bCs/>
      <w:caps/>
      <w:szCs w:val="20"/>
    </w:rPr>
  </w:style>
  <w:style w:type="paragraph" w:styleId="TOC2">
    <w:name w:val="toc 2"/>
    <w:basedOn w:val="Normal"/>
    <w:next w:val="Normal"/>
    <w:uiPriority w:val="39"/>
    <w:unhideWhenUsed/>
    <w:rsid w:val="000B5556"/>
    <w:pPr>
      <w:tabs>
        <w:tab w:val="left" w:pos="1540"/>
        <w:tab w:val="right" w:leader="dot" w:pos="10480"/>
      </w:tabs>
      <w:spacing w:after="0" w:line="240" w:lineRule="auto"/>
      <w:ind w:left="221"/>
    </w:pPr>
    <w:rPr>
      <w:rFonts w:cs="Calibri"/>
      <w:smallCaps/>
      <w:szCs w:val="20"/>
    </w:rPr>
  </w:style>
  <w:style w:type="paragraph" w:styleId="TOC3">
    <w:name w:val="toc 3"/>
    <w:basedOn w:val="Normal"/>
    <w:next w:val="Normal"/>
    <w:autoRedefine/>
    <w:uiPriority w:val="39"/>
    <w:unhideWhenUsed/>
    <w:rsid w:val="00F67C44"/>
    <w:pPr>
      <w:tabs>
        <w:tab w:val="left" w:pos="1320"/>
        <w:tab w:val="left" w:pos="1871"/>
        <w:tab w:val="right" w:leader="dot" w:pos="10480"/>
      </w:tabs>
      <w:spacing w:after="0"/>
      <w:ind w:left="1871" w:hanging="794"/>
    </w:pPr>
    <w:rPr>
      <w:rFonts w:cs="Calibri"/>
      <w:i/>
      <w:iCs/>
      <w:szCs w:val="20"/>
    </w:rPr>
  </w:style>
  <w:style w:type="paragraph" w:styleId="TOC4">
    <w:name w:val="toc 4"/>
    <w:basedOn w:val="Normal"/>
    <w:next w:val="Normal"/>
    <w:autoRedefine/>
    <w:uiPriority w:val="39"/>
    <w:unhideWhenUsed/>
    <w:rsid w:val="00142C01"/>
    <w:pPr>
      <w:spacing w:after="0"/>
      <w:ind w:left="660"/>
    </w:pPr>
    <w:rPr>
      <w:rFonts w:cs="Calibri"/>
      <w:sz w:val="18"/>
      <w:szCs w:val="18"/>
    </w:rPr>
  </w:style>
  <w:style w:type="paragraph" w:styleId="TOC5">
    <w:name w:val="toc 5"/>
    <w:basedOn w:val="Normal"/>
    <w:next w:val="Normal"/>
    <w:autoRedefine/>
    <w:uiPriority w:val="39"/>
    <w:unhideWhenUsed/>
    <w:rsid w:val="00142C01"/>
    <w:pPr>
      <w:spacing w:after="0"/>
      <w:ind w:left="880"/>
    </w:pPr>
    <w:rPr>
      <w:rFonts w:cs="Calibri"/>
      <w:sz w:val="18"/>
      <w:szCs w:val="18"/>
    </w:rPr>
  </w:style>
  <w:style w:type="paragraph" w:styleId="DocumentMap">
    <w:name w:val="Document Map"/>
    <w:basedOn w:val="Normal"/>
    <w:link w:val="DocumentMapChar"/>
    <w:uiPriority w:val="99"/>
    <w:semiHidden/>
    <w:unhideWhenUsed/>
    <w:rsid w:val="000B7444"/>
    <w:rPr>
      <w:rFonts w:ascii="Tahoma" w:hAnsi="Tahoma"/>
      <w:sz w:val="16"/>
      <w:szCs w:val="16"/>
    </w:rPr>
  </w:style>
  <w:style w:type="character" w:customStyle="1" w:styleId="DocumentMapChar">
    <w:name w:val="Document Map Char"/>
    <w:link w:val="DocumentMap"/>
    <w:uiPriority w:val="99"/>
    <w:semiHidden/>
    <w:rsid w:val="00470F8E"/>
    <w:rPr>
      <w:rFonts w:ascii="Tahoma" w:hAnsi="Tahoma"/>
      <w:sz w:val="16"/>
      <w:szCs w:val="16"/>
      <w:lang w:val="en-GB"/>
    </w:rPr>
  </w:style>
  <w:style w:type="paragraph" w:customStyle="1" w:styleId="DocumentTitle">
    <w:name w:val="Document Title"/>
    <w:basedOn w:val="Normal"/>
    <w:unhideWhenUsed/>
    <w:rsid w:val="00B75DA3"/>
    <w:pPr>
      <w:spacing w:before="240" w:after="240"/>
      <w:jc w:val="center"/>
    </w:pPr>
    <w:rPr>
      <w:b/>
      <w:smallCaps/>
      <w:color w:val="FFFFFF"/>
      <w:sz w:val="48"/>
      <w:szCs w:val="48"/>
    </w:rPr>
  </w:style>
  <w:style w:type="paragraph" w:customStyle="1" w:styleId="Documentnumber">
    <w:name w:val="Document number"/>
    <w:basedOn w:val="Normal"/>
    <w:unhideWhenUsed/>
    <w:rsid w:val="00701828"/>
    <w:pPr>
      <w:jc w:val="center"/>
    </w:pPr>
    <w:rPr>
      <w:b/>
      <w:color w:val="002D62"/>
      <w:sz w:val="32"/>
      <w:szCs w:val="32"/>
    </w:rPr>
  </w:style>
  <w:style w:type="paragraph" w:customStyle="1" w:styleId="TableHeader">
    <w:name w:val="Table Header"/>
    <w:basedOn w:val="Normal"/>
    <w:next w:val="Normal"/>
    <w:autoRedefine/>
    <w:rsid w:val="007B642E"/>
    <w:pPr>
      <w:shd w:val="clear" w:color="auto" w:fill="002D62"/>
      <w:spacing w:before="480" w:after="360" w:line="240" w:lineRule="auto"/>
      <w:ind w:left="284" w:hanging="284"/>
      <w:jc w:val="center"/>
    </w:pPr>
    <w:rPr>
      <w:rFonts w:eastAsia="Times New Roman"/>
      <w:b/>
      <w:bCs/>
      <w:caps/>
      <w:sz w:val="32"/>
      <w:szCs w:val="20"/>
    </w:rPr>
  </w:style>
  <w:style w:type="paragraph" w:styleId="Header">
    <w:name w:val="header"/>
    <w:basedOn w:val="Normal"/>
    <w:link w:val="HeaderChar"/>
    <w:uiPriority w:val="99"/>
    <w:unhideWhenUsed/>
    <w:rsid w:val="006F3911"/>
    <w:pPr>
      <w:tabs>
        <w:tab w:val="center" w:pos="4513"/>
        <w:tab w:val="right" w:pos="9026"/>
      </w:tabs>
    </w:pPr>
  </w:style>
  <w:style w:type="character" w:customStyle="1" w:styleId="HeaderChar">
    <w:name w:val="Header Char"/>
    <w:link w:val="Header"/>
    <w:uiPriority w:val="99"/>
    <w:rsid w:val="00470F8E"/>
    <w:rPr>
      <w:sz w:val="22"/>
      <w:szCs w:val="22"/>
      <w:lang w:val="en-GB"/>
    </w:rPr>
  </w:style>
  <w:style w:type="paragraph" w:customStyle="1" w:styleId="Figure">
    <w:name w:val="Figure"/>
    <w:basedOn w:val="Normal"/>
    <w:next w:val="Normal"/>
    <w:uiPriority w:val="6"/>
    <w:qFormat/>
    <w:rsid w:val="003D068D"/>
    <w:pPr>
      <w:numPr>
        <w:numId w:val="5"/>
      </w:numPr>
      <w:spacing w:line="240" w:lineRule="auto"/>
      <w:jc w:val="center"/>
    </w:pPr>
    <w:rPr>
      <w:b/>
      <w:sz w:val="16"/>
    </w:rPr>
  </w:style>
  <w:style w:type="paragraph" w:customStyle="1" w:styleId="Table">
    <w:name w:val="Table"/>
    <w:basedOn w:val="Figure"/>
    <w:next w:val="Normal"/>
    <w:uiPriority w:val="6"/>
    <w:qFormat/>
    <w:rsid w:val="009B3339"/>
    <w:pPr>
      <w:numPr>
        <w:numId w:val="4"/>
      </w:numPr>
    </w:pPr>
  </w:style>
  <w:style w:type="paragraph" w:styleId="TableofFigures">
    <w:name w:val="table of figures"/>
    <w:basedOn w:val="Normal"/>
    <w:next w:val="Normal"/>
    <w:uiPriority w:val="99"/>
    <w:unhideWhenUsed/>
    <w:rsid w:val="00560679"/>
    <w:pPr>
      <w:tabs>
        <w:tab w:val="left" w:pos="1276"/>
        <w:tab w:val="right" w:leader="dot" w:pos="10480"/>
      </w:tabs>
      <w:spacing w:after="60" w:line="240" w:lineRule="auto"/>
    </w:pPr>
    <w:rPr>
      <w:b/>
    </w:rPr>
  </w:style>
  <w:style w:type="paragraph" w:styleId="NoSpacing">
    <w:name w:val="No Spacing"/>
    <w:uiPriority w:val="99"/>
    <w:rsid w:val="00261B34"/>
    <w:pPr>
      <w:jc w:val="both"/>
    </w:pPr>
    <w:rPr>
      <w:sz w:val="22"/>
      <w:szCs w:val="22"/>
      <w:lang w:val="en-GB"/>
    </w:rPr>
  </w:style>
  <w:style w:type="character" w:styleId="BookTitle">
    <w:name w:val="Book Title"/>
    <w:basedOn w:val="DefaultParagraphFont"/>
    <w:uiPriority w:val="99"/>
    <w:unhideWhenUsed/>
    <w:rsid w:val="00261B34"/>
    <w:rPr>
      <w:b/>
      <w:bCs/>
      <w:smallCaps/>
      <w:spacing w:val="5"/>
    </w:rPr>
  </w:style>
  <w:style w:type="paragraph" w:styleId="ListParagraph">
    <w:name w:val="List Paragraph"/>
    <w:basedOn w:val="Normal"/>
    <w:uiPriority w:val="34"/>
    <w:qFormat/>
    <w:rsid w:val="003D068D"/>
    <w:pPr>
      <w:spacing w:after="200"/>
      <w:ind w:left="720"/>
      <w:contextualSpacing/>
      <w:jc w:val="left"/>
    </w:pPr>
    <w:rPr>
      <w:rFonts w:eastAsiaTheme="minorHAnsi" w:cstheme="minorBidi"/>
    </w:rPr>
  </w:style>
  <w:style w:type="character" w:styleId="CommentReference">
    <w:name w:val="annotation reference"/>
    <w:basedOn w:val="DefaultParagraphFont"/>
    <w:uiPriority w:val="99"/>
    <w:semiHidden/>
    <w:unhideWhenUsed/>
    <w:rsid w:val="001E0B4C"/>
    <w:rPr>
      <w:sz w:val="16"/>
      <w:szCs w:val="16"/>
    </w:rPr>
  </w:style>
  <w:style w:type="paragraph" w:styleId="CommentText">
    <w:name w:val="annotation text"/>
    <w:basedOn w:val="Normal"/>
    <w:link w:val="CommentTextChar"/>
    <w:uiPriority w:val="99"/>
    <w:unhideWhenUsed/>
    <w:rsid w:val="001E0B4C"/>
    <w:pPr>
      <w:spacing w:line="240" w:lineRule="auto"/>
    </w:pPr>
    <w:rPr>
      <w:szCs w:val="20"/>
    </w:rPr>
  </w:style>
  <w:style w:type="character" w:customStyle="1" w:styleId="CommentTextChar">
    <w:name w:val="Comment Text Char"/>
    <w:basedOn w:val="DefaultParagraphFont"/>
    <w:link w:val="CommentText"/>
    <w:uiPriority w:val="99"/>
    <w:rsid w:val="00470F8E"/>
    <w:rPr>
      <w:lang w:val="en-GB"/>
    </w:rPr>
  </w:style>
  <w:style w:type="table" w:styleId="GridTable4-Accent6">
    <w:name w:val="Grid Table 4 Accent 6"/>
    <w:basedOn w:val="TableNormal"/>
    <w:uiPriority w:val="49"/>
    <w:rsid w:val="001E0B4C"/>
    <w:tblPr>
      <w:tblStyleRowBandSize w:val="1"/>
      <w:tblStyleColBandSize w:val="1"/>
      <w:tblBorders>
        <w:top w:val="single" w:sz="4" w:space="0" w:color="BC8DC3" w:themeColor="accent6" w:themeTint="99"/>
        <w:left w:val="single" w:sz="4" w:space="0" w:color="BC8DC3" w:themeColor="accent6" w:themeTint="99"/>
        <w:bottom w:val="single" w:sz="4" w:space="0" w:color="BC8DC3" w:themeColor="accent6" w:themeTint="99"/>
        <w:right w:val="single" w:sz="4" w:space="0" w:color="BC8DC3" w:themeColor="accent6" w:themeTint="99"/>
        <w:insideH w:val="single" w:sz="4" w:space="0" w:color="BC8DC3" w:themeColor="accent6" w:themeTint="99"/>
        <w:insideV w:val="single" w:sz="4" w:space="0" w:color="BC8DC3" w:themeColor="accent6" w:themeTint="99"/>
      </w:tblBorders>
    </w:tblPr>
    <w:tblStylePr w:type="firstRow">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tcPr>
    </w:tblStylePr>
    <w:tblStylePr w:type="lastRow">
      <w:rPr>
        <w:b/>
        <w:bCs/>
      </w:rPr>
      <w:tblPr/>
      <w:tcPr>
        <w:tcBorders>
          <w:top w:val="double" w:sz="4" w:space="0" w:color="884C91" w:themeColor="accent6"/>
        </w:tcBorders>
      </w:tcPr>
    </w:tblStylePr>
    <w:tblStylePr w:type="firstCol">
      <w:rPr>
        <w:b/>
        <w:bCs/>
      </w:rPr>
    </w:tblStylePr>
    <w:tblStylePr w:type="lastCol">
      <w:rPr>
        <w:b/>
        <w:bCs/>
      </w:rPr>
    </w:tblStylePr>
    <w:tblStylePr w:type="band1Vert">
      <w:tblPr/>
      <w:tcPr>
        <w:shd w:val="clear" w:color="auto" w:fill="E8D8EB" w:themeFill="accent6" w:themeFillTint="33"/>
      </w:tcPr>
    </w:tblStylePr>
    <w:tblStylePr w:type="band1Horz">
      <w:tblPr/>
      <w:tcPr>
        <w:shd w:val="clear" w:color="auto" w:fill="E8D8EB" w:themeFill="accent6" w:themeFillTint="33"/>
      </w:tcPr>
    </w:tblStylePr>
  </w:style>
  <w:style w:type="paragraph" w:styleId="CommentSubject">
    <w:name w:val="annotation subject"/>
    <w:basedOn w:val="CommentText"/>
    <w:next w:val="CommentText"/>
    <w:link w:val="CommentSubjectChar"/>
    <w:uiPriority w:val="99"/>
    <w:semiHidden/>
    <w:unhideWhenUsed/>
    <w:rsid w:val="00575F1B"/>
    <w:rPr>
      <w:b/>
      <w:bCs/>
    </w:rPr>
  </w:style>
  <w:style w:type="character" w:customStyle="1" w:styleId="CommentSubjectChar">
    <w:name w:val="Comment Subject Char"/>
    <w:basedOn w:val="CommentTextChar"/>
    <w:link w:val="CommentSubject"/>
    <w:uiPriority w:val="99"/>
    <w:semiHidden/>
    <w:rsid w:val="00470F8E"/>
    <w:rPr>
      <w:b/>
      <w:bCs/>
      <w:lang w:val="en-GB"/>
    </w:rPr>
  </w:style>
  <w:style w:type="paragraph" w:styleId="TOC6">
    <w:name w:val="toc 6"/>
    <w:basedOn w:val="Normal"/>
    <w:next w:val="Normal"/>
    <w:autoRedefine/>
    <w:uiPriority w:val="39"/>
    <w:unhideWhenUsed/>
    <w:rsid w:val="00FF563E"/>
    <w:pPr>
      <w:spacing w:after="100" w:line="259" w:lineRule="auto"/>
      <w:ind w:left="1100"/>
      <w:jc w:val="left"/>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FF563E"/>
    <w:pPr>
      <w:spacing w:after="100" w:line="259" w:lineRule="auto"/>
      <w:ind w:left="1320"/>
      <w:jc w:val="left"/>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FF563E"/>
    <w:pPr>
      <w:spacing w:after="100" w:line="259" w:lineRule="auto"/>
      <w:ind w:left="1540"/>
      <w:jc w:val="left"/>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FF563E"/>
    <w:pPr>
      <w:spacing w:after="100" w:line="259" w:lineRule="auto"/>
      <w:ind w:left="1760"/>
      <w:jc w:val="left"/>
    </w:pPr>
    <w:rPr>
      <w:rFonts w:asciiTheme="minorHAnsi" w:eastAsiaTheme="minorEastAsia" w:hAnsiTheme="minorHAnsi" w:cstheme="minorBidi"/>
      <w:lang w:eastAsia="en-GB"/>
    </w:rPr>
  </w:style>
  <w:style w:type="paragraph" w:styleId="Revision">
    <w:name w:val="Revision"/>
    <w:hidden/>
    <w:uiPriority w:val="99"/>
    <w:semiHidden/>
    <w:rsid w:val="006A239A"/>
    <w:rPr>
      <w:sz w:val="22"/>
      <w:szCs w:val="22"/>
      <w:lang w:val="en-GB"/>
    </w:rPr>
  </w:style>
  <w:style w:type="paragraph" w:customStyle="1" w:styleId="Reference">
    <w:name w:val="Reference"/>
    <w:basedOn w:val="Normal"/>
    <w:link w:val="ReferenceChar"/>
    <w:rsid w:val="006C7C52"/>
    <w:rPr>
      <w:rFonts w:asciiTheme="minorHAnsi" w:hAnsiTheme="minorHAnsi"/>
      <w:i/>
      <w:u w:val="single"/>
      <w:lang w:val="en-US"/>
    </w:rPr>
  </w:style>
  <w:style w:type="character" w:customStyle="1" w:styleId="ReferenceChar">
    <w:name w:val="Reference Char"/>
    <w:basedOn w:val="DefaultParagraphFont"/>
    <w:link w:val="Reference"/>
    <w:rsid w:val="006C7C52"/>
    <w:rPr>
      <w:rFonts w:asciiTheme="minorHAnsi" w:hAnsiTheme="minorHAnsi"/>
      <w:i/>
      <w:sz w:val="22"/>
      <w:szCs w:val="22"/>
      <w:u w:val="single"/>
    </w:rPr>
  </w:style>
  <w:style w:type="paragraph" w:styleId="FootnoteText">
    <w:name w:val="footnote text"/>
    <w:basedOn w:val="Normal"/>
    <w:link w:val="FootnoteTextChar"/>
    <w:uiPriority w:val="99"/>
    <w:semiHidden/>
    <w:unhideWhenUsed/>
    <w:rsid w:val="00B86D35"/>
    <w:pPr>
      <w:spacing w:after="0" w:line="240" w:lineRule="auto"/>
    </w:pPr>
    <w:rPr>
      <w:szCs w:val="20"/>
    </w:rPr>
  </w:style>
  <w:style w:type="character" w:customStyle="1" w:styleId="FootnoteTextChar">
    <w:name w:val="Footnote Text Char"/>
    <w:basedOn w:val="DefaultParagraphFont"/>
    <w:link w:val="FootnoteText"/>
    <w:uiPriority w:val="99"/>
    <w:semiHidden/>
    <w:rsid w:val="00470F8E"/>
    <w:rPr>
      <w:lang w:val="en-GB"/>
    </w:rPr>
  </w:style>
  <w:style w:type="character" w:styleId="FootnoteReference">
    <w:name w:val="footnote reference"/>
    <w:basedOn w:val="DefaultParagraphFont"/>
    <w:uiPriority w:val="99"/>
    <w:semiHidden/>
    <w:unhideWhenUsed/>
    <w:rsid w:val="00B86D35"/>
    <w:rPr>
      <w:vertAlign w:val="superscript"/>
    </w:rPr>
  </w:style>
  <w:style w:type="paragraph" w:styleId="NormalWeb">
    <w:name w:val="Normal (Web)"/>
    <w:basedOn w:val="Normal"/>
    <w:uiPriority w:val="99"/>
    <w:semiHidden/>
    <w:unhideWhenUsed/>
    <w:rsid w:val="00252065"/>
    <w:pPr>
      <w:spacing w:before="100" w:beforeAutospacing="1" w:after="100" w:afterAutospacing="1" w:line="240" w:lineRule="auto"/>
      <w:jc w:val="left"/>
    </w:pPr>
    <w:rPr>
      <w:rFonts w:ascii="Times New Roman" w:eastAsiaTheme="minorEastAsia" w:hAnsi="Times New Roman"/>
      <w:sz w:val="24"/>
      <w:szCs w:val="24"/>
      <w:lang w:eastAsia="en-GB"/>
    </w:rPr>
  </w:style>
  <w:style w:type="table" w:styleId="GridTable4">
    <w:name w:val="Grid Table 4"/>
    <w:basedOn w:val="TableNormal"/>
    <w:uiPriority w:val="49"/>
    <w:rsid w:val="00A90AF6"/>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FollowedHyperlink">
    <w:name w:val="FollowedHyperlink"/>
    <w:basedOn w:val="DefaultParagraphFont"/>
    <w:uiPriority w:val="99"/>
    <w:semiHidden/>
    <w:unhideWhenUsed/>
    <w:rsid w:val="006F4D9D"/>
    <w:rPr>
      <w:color w:val="2DBDB6" w:themeColor="followedHyperlink"/>
      <w:u w:val="single"/>
    </w:rPr>
  </w:style>
  <w:style w:type="character" w:styleId="Strong">
    <w:name w:val="Strong"/>
    <w:basedOn w:val="DefaultParagraphFont"/>
    <w:uiPriority w:val="99"/>
    <w:rsid w:val="00D61053"/>
    <w:rPr>
      <w:b/>
      <w:bCs/>
    </w:rPr>
  </w:style>
  <w:style w:type="table" w:customStyle="1" w:styleId="MiscTable">
    <w:name w:val="MiscTable"/>
    <w:basedOn w:val="TableNormal"/>
    <w:uiPriority w:val="49"/>
    <w:rsid w:val="00FE198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blStylePr w:type="firstRow">
      <w:pPr>
        <w:jc w:val="center"/>
      </w:pPr>
      <w:rPr>
        <w:b/>
        <w:bCs/>
        <w:color w:val="FFFFFF" w:themeColor="background1"/>
      </w:rPr>
      <w:tblPr/>
      <w:tcPr>
        <w:tcBorders>
          <w:top w:val="single" w:sz="4" w:space="0" w:color="884C91" w:themeColor="accent6"/>
          <w:left w:val="single" w:sz="4" w:space="0" w:color="884C91" w:themeColor="accent6"/>
          <w:bottom w:val="single" w:sz="4" w:space="0" w:color="884C91" w:themeColor="accent6"/>
          <w:right w:val="single" w:sz="4" w:space="0" w:color="884C91" w:themeColor="accent6"/>
          <w:insideH w:val="nil"/>
          <w:insideV w:val="nil"/>
        </w:tcBorders>
        <w:shd w:val="clear" w:color="auto" w:fill="884C91" w:themeFill="accent6"/>
        <w:vAlign w:val="center"/>
      </w:tcPr>
    </w:tblStylePr>
    <w:tblStylePr w:type="lastRow">
      <w:rPr>
        <w:b/>
        <w:bCs/>
      </w:rPr>
      <w:tblPr/>
      <w:tcPr>
        <w:tcBorders>
          <w:top w:val="double" w:sz="4" w:space="0" w:color="884C91" w:themeColor="accent6"/>
        </w:tcBorders>
      </w:tcPr>
    </w:tblStylePr>
    <w:tblStylePr w:type="firstCol">
      <w:rPr>
        <w:b w:val="0"/>
        <w:bCs/>
      </w:rPr>
    </w:tblStylePr>
    <w:tblStylePr w:type="lastCol">
      <w:rPr>
        <w:b w:val="0"/>
        <w:bCs/>
      </w:rPr>
    </w:tblStylePr>
    <w:tblStylePr w:type="band1Horz">
      <w:tblPr/>
      <w:tcPr>
        <w:shd w:val="clear" w:color="auto" w:fill="E1E7FF"/>
      </w:tcPr>
    </w:tblStylePr>
  </w:style>
  <w:style w:type="paragraph" w:customStyle="1" w:styleId="Monospaced">
    <w:name w:val="Monospaced"/>
    <w:basedOn w:val="Normal"/>
    <w:link w:val="MonospacedChar"/>
    <w:autoRedefine/>
    <w:uiPriority w:val="10"/>
    <w:qFormat/>
    <w:rsid w:val="00147CF3"/>
    <w:pPr>
      <w:ind w:left="720"/>
    </w:pPr>
    <w:rPr>
      <w:rFonts w:ascii="Consolas" w:hAnsi="Consolas"/>
      <w:noProof/>
      <w:sz w:val="19"/>
    </w:rPr>
  </w:style>
  <w:style w:type="character" w:customStyle="1" w:styleId="MonospacedChar">
    <w:name w:val="Monospaced Char"/>
    <w:basedOn w:val="DefaultParagraphFont"/>
    <w:link w:val="Monospaced"/>
    <w:uiPriority w:val="10"/>
    <w:rsid w:val="008A5F21"/>
    <w:rPr>
      <w:rFonts w:ascii="Consolas" w:hAnsi="Consolas"/>
      <w:noProof/>
      <w:sz w:val="19"/>
      <w:szCs w:val="22"/>
      <w:lang w:val="en-GB"/>
    </w:rPr>
  </w:style>
  <w:style w:type="paragraph" w:styleId="HTMLPreformatted">
    <w:name w:val="HTML Preformatted"/>
    <w:basedOn w:val="Normal"/>
    <w:link w:val="HTMLPreformattedChar"/>
    <w:uiPriority w:val="99"/>
    <w:semiHidden/>
    <w:unhideWhenUsed/>
    <w:rsid w:val="005A26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Cs w:val="20"/>
      <w:lang w:eastAsia="en-GB"/>
    </w:rPr>
  </w:style>
  <w:style w:type="character" w:customStyle="1" w:styleId="HTMLPreformattedChar">
    <w:name w:val="HTML Preformatted Char"/>
    <w:basedOn w:val="DefaultParagraphFont"/>
    <w:link w:val="HTMLPreformatted"/>
    <w:uiPriority w:val="99"/>
    <w:semiHidden/>
    <w:rsid w:val="00470F8E"/>
    <w:rPr>
      <w:rFonts w:ascii="Courier New" w:eastAsia="Times New Roman" w:hAnsi="Courier New" w:cs="Courier New"/>
      <w:lang w:val="en-GB" w:eastAsia="en-GB"/>
    </w:rPr>
  </w:style>
  <w:style w:type="paragraph" w:customStyle="1" w:styleId="EntityName">
    <w:name w:val="EntityName"/>
    <w:basedOn w:val="Normal"/>
    <w:link w:val="EntityNameChar"/>
    <w:uiPriority w:val="7"/>
    <w:qFormat/>
    <w:rsid w:val="00D92F95"/>
    <w:pPr>
      <w:spacing w:after="0"/>
    </w:pPr>
    <w:rPr>
      <w:noProof/>
      <w:u w:val="double"/>
    </w:rPr>
  </w:style>
  <w:style w:type="character" w:customStyle="1" w:styleId="EntityNameChar">
    <w:name w:val="EntityName Char"/>
    <w:basedOn w:val="DefaultParagraphFont"/>
    <w:link w:val="EntityName"/>
    <w:uiPriority w:val="7"/>
    <w:rsid w:val="00D92F95"/>
    <w:rPr>
      <w:noProof/>
      <w:sz w:val="22"/>
      <w:szCs w:val="22"/>
      <w:u w:val="double"/>
      <w:lang w:val="en-GB"/>
    </w:rPr>
  </w:style>
  <w:style w:type="paragraph" w:customStyle="1" w:styleId="ColumnVariableName">
    <w:name w:val="Column/Variable Name"/>
    <w:basedOn w:val="Normal"/>
    <w:link w:val="ColumnVariableNameChar"/>
    <w:rsid w:val="00586BC4"/>
    <w:rPr>
      <w:rFonts w:ascii="Consolas" w:hAnsi="Consolas"/>
    </w:rPr>
  </w:style>
  <w:style w:type="character" w:customStyle="1" w:styleId="ColumnVariableNameChar">
    <w:name w:val="Column/Variable Name Char"/>
    <w:basedOn w:val="DefaultParagraphFont"/>
    <w:link w:val="ColumnVariableName"/>
    <w:rsid w:val="00586BC4"/>
    <w:rPr>
      <w:rFonts w:ascii="Consolas" w:hAnsi="Consolas"/>
      <w:sz w:val="22"/>
      <w:szCs w:val="22"/>
      <w:lang w:val="en-GB"/>
    </w:rPr>
  </w:style>
  <w:style w:type="paragraph" w:customStyle="1" w:styleId="Type">
    <w:name w:val="Type"/>
    <w:basedOn w:val="Normal"/>
    <w:link w:val="TypeChar"/>
    <w:uiPriority w:val="8"/>
    <w:qFormat/>
    <w:rsid w:val="00653F00"/>
    <w:rPr>
      <w:rFonts w:ascii="Consolas" w:hAnsi="Consolas"/>
      <w:noProof/>
      <w:color w:val="0034FF"/>
      <w:sz w:val="18"/>
    </w:rPr>
  </w:style>
  <w:style w:type="character" w:customStyle="1" w:styleId="TypeChar">
    <w:name w:val="Type Char"/>
    <w:basedOn w:val="DefaultParagraphFont"/>
    <w:link w:val="Type"/>
    <w:uiPriority w:val="8"/>
    <w:rsid w:val="008A5F21"/>
    <w:rPr>
      <w:rFonts w:ascii="Consolas" w:hAnsi="Consolas"/>
      <w:noProof/>
      <w:color w:val="0034FF"/>
      <w:sz w:val="18"/>
      <w:szCs w:val="22"/>
      <w:lang w:val="en-GB"/>
    </w:rPr>
  </w:style>
  <w:style w:type="paragraph" w:customStyle="1" w:styleId="OnScreenelement">
    <w:name w:val="On Screen element"/>
    <w:basedOn w:val="Normal"/>
    <w:link w:val="OnScreenelementChar"/>
    <w:rsid w:val="00CF463D"/>
    <w:rPr>
      <w:noProof/>
      <w:color w:val="FFFFFF" w:themeColor="background1"/>
      <w14:textOutline w14:w="12700" w14:cap="rnd" w14:cmpd="sng" w14:algn="ctr">
        <w14:solidFill>
          <w14:schemeClr w14:val="bg2">
            <w14:lumMod w14:val="10000"/>
          </w14:schemeClr>
        </w14:solidFill>
        <w14:prstDash w14:val="solid"/>
        <w14:bevel/>
      </w14:textOutline>
    </w:rPr>
  </w:style>
  <w:style w:type="character" w:customStyle="1" w:styleId="OnScreenelementChar">
    <w:name w:val="On Screen element Char"/>
    <w:basedOn w:val="DefaultParagraphFont"/>
    <w:link w:val="OnScreenelement"/>
    <w:rsid w:val="00CF463D"/>
    <w:rPr>
      <w:noProof/>
      <w:color w:val="FFFFFF" w:themeColor="background1"/>
      <w:sz w:val="22"/>
      <w:szCs w:val="22"/>
      <w:lang w:val="en-GB"/>
      <w14:textOutline w14:w="12700" w14:cap="rnd" w14:cmpd="sng" w14:algn="ctr">
        <w14:solidFill>
          <w14:schemeClr w14:val="bg2">
            <w14:lumMod w14:val="10000"/>
          </w14:schemeClr>
        </w14:solidFill>
        <w14:prstDash w14:val="solid"/>
        <w14:bevel/>
      </w14:textOutline>
    </w:rPr>
  </w:style>
  <w:style w:type="paragraph" w:customStyle="1" w:styleId="FieldName">
    <w:name w:val="FieldName"/>
    <w:basedOn w:val="Normal"/>
    <w:link w:val="FieldNameChar"/>
    <w:autoRedefine/>
    <w:uiPriority w:val="9"/>
    <w:qFormat/>
    <w:rsid w:val="00853644"/>
    <w:rPr>
      <w:rFonts w:asciiTheme="minorHAnsi" w:hAnsiTheme="minorHAnsi"/>
      <w:noProof/>
      <w:u w:val="dotted"/>
    </w:rPr>
  </w:style>
  <w:style w:type="character" w:customStyle="1" w:styleId="FieldNameChar">
    <w:name w:val="FieldName Char"/>
    <w:basedOn w:val="DefaultParagraphFont"/>
    <w:link w:val="FieldName"/>
    <w:uiPriority w:val="9"/>
    <w:rsid w:val="008A5F21"/>
    <w:rPr>
      <w:rFonts w:asciiTheme="minorHAnsi" w:hAnsiTheme="minorHAnsi"/>
      <w:noProof/>
      <w:sz w:val="22"/>
      <w:szCs w:val="22"/>
      <w:u w:val="dotted"/>
      <w:lang w:val="en-GB"/>
    </w:rPr>
  </w:style>
  <w:style w:type="table" w:styleId="ListTable4-Accent1">
    <w:name w:val="List Table 4 Accent 1"/>
    <w:basedOn w:val="TableNormal"/>
    <w:uiPriority w:val="49"/>
    <w:rsid w:val="0007435E"/>
    <w:tblPr>
      <w:tblStyleRowBandSize w:val="1"/>
      <w:tblStyleColBandSize w:val="1"/>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tcBorders>
        <w:shd w:val="clear" w:color="auto" w:fill="88C540" w:themeFill="accent1"/>
      </w:tcPr>
    </w:tblStylePr>
    <w:tblStylePr w:type="lastRow">
      <w:rPr>
        <w:b/>
        <w:bCs/>
      </w:rPr>
      <w:tblPr/>
      <w:tcPr>
        <w:tcBorders>
          <w:top w:val="double" w:sz="4" w:space="0" w:color="B7DC8C" w:themeColor="accent1" w:themeTint="99"/>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table" w:styleId="PlainTable1">
    <w:name w:val="Plain Table 1"/>
    <w:aliases w:val="EntityTable"/>
    <w:basedOn w:val="TableNormal"/>
    <w:uiPriority w:val="41"/>
    <w:rsid w:val="000400D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1A2933" w:themeFill="text2" w:themeFillShade="BF"/>
      </w:tcPr>
    </w:tblStylePr>
    <w:tblStylePr w:type="lastRow">
      <w:rPr>
        <w:b/>
        <w:bCs/>
      </w:rPr>
      <w:tblPr/>
      <w:tcPr>
        <w:tcBorders>
          <w:top w:val="double" w:sz="4" w:space="0" w:color="BFBFBF" w:themeColor="background1" w:themeShade="BF"/>
        </w:tcBorders>
      </w:tcPr>
    </w:tblStylePr>
    <w:tblStylePr w:type="firstCol">
      <w:rPr>
        <w:b w:val="0"/>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5Dark-Accent5">
    <w:name w:val="Grid Table 5 Dark Accent 5"/>
    <w:basedOn w:val="TableNormal"/>
    <w:uiPriority w:val="50"/>
    <w:rsid w:val="00C9029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F2F4"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FC2C8"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FC2C8"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FC2C8"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FC2C8" w:themeFill="accent5"/>
      </w:tcPr>
    </w:tblStylePr>
    <w:tblStylePr w:type="band1Vert">
      <w:tblPr/>
      <w:tcPr>
        <w:shd w:val="clear" w:color="auto" w:fill="E5E6E9" w:themeFill="accent5" w:themeFillTint="66"/>
      </w:tcPr>
    </w:tblStylePr>
    <w:tblStylePr w:type="band1Horz">
      <w:tblPr/>
      <w:tcPr>
        <w:shd w:val="clear" w:color="auto" w:fill="E5E6E9" w:themeFill="accent5" w:themeFillTint="66"/>
      </w:tcPr>
    </w:tblStylePr>
  </w:style>
  <w:style w:type="table" w:styleId="TableGridLight">
    <w:name w:val="Grid Table Light"/>
    <w:aliases w:val="GUITable"/>
    <w:basedOn w:val="TableNormal"/>
    <w:uiPriority w:val="40"/>
    <w:rsid w:val="000400D4"/>
    <w:tblPr>
      <w:tblStyleRowBandSize w:val="1"/>
      <w:tblBorders>
        <w:top w:val="single" w:sz="4" w:space="0" w:color="AC5208"/>
        <w:left w:val="single" w:sz="4" w:space="0" w:color="AC5208"/>
        <w:bottom w:val="single" w:sz="4" w:space="0" w:color="AC5208"/>
        <w:right w:val="single" w:sz="4" w:space="0" w:color="AC5208"/>
        <w:insideH w:val="single" w:sz="4" w:space="0" w:color="AC5208"/>
        <w:insideV w:val="single" w:sz="4" w:space="0" w:color="AC5208"/>
      </w:tblBorders>
    </w:tblPr>
    <w:tblStylePr w:type="firstRow">
      <w:rPr>
        <w:b/>
        <w:color w:val="FFFFFF" w:themeColor="background1"/>
      </w:rPr>
      <w:tblPr/>
      <w:tcPr>
        <w:shd w:val="clear" w:color="auto" w:fill="D86C0C"/>
      </w:tcPr>
    </w:tblStylePr>
    <w:tblStylePr w:type="band1Horz">
      <w:tblPr/>
      <w:tcPr>
        <w:shd w:val="clear" w:color="auto" w:fill="F7C593"/>
      </w:tcPr>
    </w:tblStylePr>
  </w:style>
  <w:style w:type="table" w:styleId="GridTable1Light-Accent4">
    <w:name w:val="Grid Table 1 Light Accent 4"/>
    <w:basedOn w:val="TableNormal"/>
    <w:uiPriority w:val="46"/>
    <w:rsid w:val="00860E14"/>
    <w:tblPr>
      <w:tblStyleRowBandSize w:val="1"/>
      <w:tblStyleColBandSize w:val="1"/>
      <w:tblBorders>
        <w:top w:val="single" w:sz="4" w:space="0" w:color="93B3C8" w:themeColor="accent4" w:themeTint="66"/>
        <w:left w:val="single" w:sz="4" w:space="0" w:color="93B3C8" w:themeColor="accent4" w:themeTint="66"/>
        <w:bottom w:val="single" w:sz="4" w:space="0" w:color="93B3C8" w:themeColor="accent4" w:themeTint="66"/>
        <w:right w:val="single" w:sz="4" w:space="0" w:color="93B3C8" w:themeColor="accent4" w:themeTint="66"/>
        <w:insideH w:val="single" w:sz="4" w:space="0" w:color="93B3C8" w:themeColor="accent4" w:themeTint="66"/>
        <w:insideV w:val="single" w:sz="4" w:space="0" w:color="93B3C8" w:themeColor="accent4" w:themeTint="66"/>
      </w:tblBorders>
    </w:tblPr>
    <w:tblStylePr w:type="firstRow">
      <w:rPr>
        <w:b/>
        <w:bCs/>
      </w:rPr>
      <w:tblPr/>
      <w:tcPr>
        <w:tcBorders>
          <w:bottom w:val="single" w:sz="12" w:space="0" w:color="5D8EAD" w:themeColor="accent4" w:themeTint="99"/>
        </w:tcBorders>
      </w:tcPr>
    </w:tblStylePr>
    <w:tblStylePr w:type="lastRow">
      <w:rPr>
        <w:b/>
        <w:bCs/>
      </w:rPr>
      <w:tblPr/>
      <w:tcPr>
        <w:tcBorders>
          <w:top w:val="double" w:sz="2" w:space="0" w:color="5D8EAD" w:themeColor="accent4"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470F8E"/>
    <w:tblPr>
      <w:tblStyleRowBandSize w:val="1"/>
      <w:tblStyleColBandSize w:val="1"/>
      <w:tblBorders>
        <w:top w:val="single" w:sz="4" w:space="0" w:color="BC8DC3" w:themeColor="accent3" w:themeTint="99"/>
        <w:left w:val="single" w:sz="4" w:space="0" w:color="BC8DC3" w:themeColor="accent3" w:themeTint="99"/>
        <w:bottom w:val="single" w:sz="4" w:space="0" w:color="BC8DC3" w:themeColor="accent3" w:themeTint="99"/>
        <w:right w:val="single" w:sz="4" w:space="0" w:color="BC8DC3" w:themeColor="accent3" w:themeTint="99"/>
        <w:insideH w:val="single" w:sz="4" w:space="0" w:color="BC8DC3" w:themeColor="accent3" w:themeTint="99"/>
        <w:insideV w:val="single" w:sz="4" w:space="0" w:color="BC8DC3" w:themeColor="accent3" w:themeTint="99"/>
      </w:tblBorders>
    </w:tblPr>
    <w:tblStylePr w:type="firstRow">
      <w:rPr>
        <w:b/>
        <w:bCs/>
        <w:color w:val="FFFFFF" w:themeColor="background1"/>
      </w:rPr>
      <w:tblPr/>
      <w:tcPr>
        <w:tcBorders>
          <w:top w:val="single" w:sz="4" w:space="0" w:color="884C91" w:themeColor="accent3"/>
          <w:left w:val="single" w:sz="4" w:space="0" w:color="884C91" w:themeColor="accent3"/>
          <w:bottom w:val="single" w:sz="4" w:space="0" w:color="884C91" w:themeColor="accent3"/>
          <w:right w:val="single" w:sz="4" w:space="0" w:color="884C91" w:themeColor="accent3"/>
          <w:insideH w:val="nil"/>
          <w:insideV w:val="nil"/>
        </w:tcBorders>
        <w:shd w:val="clear" w:color="auto" w:fill="884C91" w:themeFill="accent3"/>
      </w:tcPr>
    </w:tblStylePr>
    <w:tblStylePr w:type="lastRow">
      <w:rPr>
        <w:b/>
        <w:bCs/>
      </w:rPr>
      <w:tblPr/>
      <w:tcPr>
        <w:tcBorders>
          <w:top w:val="double" w:sz="4" w:space="0" w:color="884C91" w:themeColor="accent3"/>
        </w:tcBorders>
      </w:tcPr>
    </w:tblStylePr>
    <w:tblStylePr w:type="firstCol">
      <w:rPr>
        <w:b/>
        <w:bCs/>
      </w:rPr>
    </w:tblStylePr>
    <w:tblStylePr w:type="lastCol">
      <w:rPr>
        <w:b/>
        <w:bCs/>
      </w:rPr>
    </w:tblStylePr>
    <w:tblStylePr w:type="band1Vert">
      <w:tblPr/>
      <w:tcPr>
        <w:shd w:val="clear" w:color="auto" w:fill="E8D8EB" w:themeFill="accent3" w:themeFillTint="33"/>
      </w:tcPr>
    </w:tblStylePr>
    <w:tblStylePr w:type="band1Horz">
      <w:tblPr/>
      <w:tcPr>
        <w:shd w:val="clear" w:color="auto" w:fill="E8D8EB" w:themeFill="accent3" w:themeFillTint="33"/>
      </w:tcPr>
    </w:tblStylePr>
  </w:style>
  <w:style w:type="paragraph" w:styleId="EndnoteText">
    <w:name w:val="endnote text"/>
    <w:basedOn w:val="Normal"/>
    <w:link w:val="EndnoteTextChar"/>
    <w:uiPriority w:val="99"/>
    <w:semiHidden/>
    <w:unhideWhenUsed/>
    <w:rsid w:val="005E5357"/>
    <w:pPr>
      <w:spacing w:after="0" w:line="240" w:lineRule="auto"/>
    </w:pPr>
    <w:rPr>
      <w:szCs w:val="20"/>
    </w:rPr>
  </w:style>
  <w:style w:type="character" w:customStyle="1" w:styleId="EndnoteTextChar">
    <w:name w:val="Endnote Text Char"/>
    <w:basedOn w:val="DefaultParagraphFont"/>
    <w:link w:val="EndnoteText"/>
    <w:uiPriority w:val="99"/>
    <w:semiHidden/>
    <w:rsid w:val="005E5357"/>
    <w:rPr>
      <w:lang w:val="en-GB"/>
    </w:rPr>
  </w:style>
  <w:style w:type="character" w:styleId="EndnoteReference">
    <w:name w:val="endnote reference"/>
    <w:basedOn w:val="DefaultParagraphFont"/>
    <w:uiPriority w:val="99"/>
    <w:semiHidden/>
    <w:unhideWhenUsed/>
    <w:rsid w:val="005E5357"/>
    <w:rPr>
      <w:vertAlign w:val="superscript"/>
    </w:rPr>
  </w:style>
  <w:style w:type="paragraph" w:styleId="Bibliography">
    <w:name w:val="Bibliography"/>
    <w:basedOn w:val="Normal"/>
    <w:next w:val="Normal"/>
    <w:uiPriority w:val="99"/>
    <w:unhideWhenUsed/>
    <w:rsid w:val="005E5357"/>
  </w:style>
  <w:style w:type="paragraph" w:styleId="Caption">
    <w:name w:val="caption"/>
    <w:basedOn w:val="Normal"/>
    <w:next w:val="Normal"/>
    <w:uiPriority w:val="99"/>
    <w:unhideWhenUsed/>
    <w:qFormat/>
    <w:rsid w:val="00EB6EF0"/>
    <w:pPr>
      <w:spacing w:after="200" w:line="240" w:lineRule="auto"/>
    </w:pPr>
    <w:rPr>
      <w:i/>
      <w:iCs/>
      <w:color w:val="233845" w:themeColor="text2"/>
      <w:sz w:val="18"/>
      <w:szCs w:val="18"/>
    </w:rPr>
  </w:style>
  <w:style w:type="character" w:customStyle="1" w:styleId="glyphicon">
    <w:name w:val="glyphicon"/>
    <w:basedOn w:val="DefaultParagraphFont"/>
    <w:rsid w:val="007F2076"/>
  </w:style>
  <w:style w:type="character" w:customStyle="1" w:styleId="Mention1">
    <w:name w:val="Mention1"/>
    <w:basedOn w:val="DefaultParagraphFont"/>
    <w:uiPriority w:val="99"/>
    <w:semiHidden/>
    <w:unhideWhenUsed/>
    <w:rsid w:val="00A744B0"/>
    <w:rPr>
      <w:color w:val="2B579A"/>
      <w:shd w:val="clear" w:color="auto" w:fill="E6E6E6"/>
    </w:rPr>
  </w:style>
  <w:style w:type="table" w:styleId="GridTable4-Accent1">
    <w:name w:val="Grid Table 4 Accent 1"/>
    <w:basedOn w:val="TableNormal"/>
    <w:uiPriority w:val="49"/>
    <w:rsid w:val="00715BBB"/>
    <w:rPr>
      <w:rFonts w:asciiTheme="minorHAnsi" w:eastAsiaTheme="minorHAnsi" w:hAnsiTheme="minorHAnsi" w:cstheme="minorBidi"/>
      <w:sz w:val="22"/>
      <w:szCs w:val="22"/>
      <w:lang w:val="en-GB"/>
    </w:rPr>
    <w:tblPr>
      <w:tblStyleRowBandSize w:val="1"/>
      <w:tblStyleColBandSize w:val="1"/>
      <w:tblInd w:w="0" w:type="nil"/>
      <w:tblBorders>
        <w:top w:val="single" w:sz="4" w:space="0" w:color="B7DC8C" w:themeColor="accent1" w:themeTint="99"/>
        <w:left w:val="single" w:sz="4" w:space="0" w:color="B7DC8C" w:themeColor="accent1" w:themeTint="99"/>
        <w:bottom w:val="single" w:sz="4" w:space="0" w:color="B7DC8C" w:themeColor="accent1" w:themeTint="99"/>
        <w:right w:val="single" w:sz="4" w:space="0" w:color="B7DC8C" w:themeColor="accent1" w:themeTint="99"/>
        <w:insideH w:val="single" w:sz="4" w:space="0" w:color="B7DC8C" w:themeColor="accent1" w:themeTint="99"/>
        <w:insideV w:val="single" w:sz="4" w:space="0" w:color="B7DC8C" w:themeColor="accent1" w:themeTint="99"/>
      </w:tblBorders>
    </w:tblPr>
    <w:tblStylePr w:type="firstRow">
      <w:rPr>
        <w:b/>
        <w:bCs/>
        <w:color w:val="FFFFFF" w:themeColor="background1"/>
      </w:rPr>
      <w:tblPr/>
      <w:tcPr>
        <w:tcBorders>
          <w:top w:val="single" w:sz="4" w:space="0" w:color="88C540" w:themeColor="accent1"/>
          <w:left w:val="single" w:sz="4" w:space="0" w:color="88C540" w:themeColor="accent1"/>
          <w:bottom w:val="single" w:sz="4" w:space="0" w:color="88C540" w:themeColor="accent1"/>
          <w:right w:val="single" w:sz="4" w:space="0" w:color="88C540" w:themeColor="accent1"/>
          <w:insideH w:val="nil"/>
          <w:insideV w:val="nil"/>
        </w:tcBorders>
        <w:shd w:val="clear" w:color="auto" w:fill="88C540" w:themeFill="accent1"/>
      </w:tcPr>
    </w:tblStylePr>
    <w:tblStylePr w:type="lastRow">
      <w:rPr>
        <w:b/>
        <w:bCs/>
      </w:rPr>
      <w:tblPr/>
      <w:tcPr>
        <w:tcBorders>
          <w:top w:val="double" w:sz="4" w:space="0" w:color="88C540" w:themeColor="accent1"/>
        </w:tcBorders>
      </w:tcPr>
    </w:tblStylePr>
    <w:tblStylePr w:type="firstCol">
      <w:rPr>
        <w:b/>
        <w:bCs/>
      </w:rPr>
    </w:tblStylePr>
    <w:tblStylePr w:type="lastCol">
      <w:rPr>
        <w:b/>
        <w:bCs/>
      </w:rPr>
    </w:tblStylePr>
    <w:tblStylePr w:type="band1Vert">
      <w:tblPr/>
      <w:tcPr>
        <w:shd w:val="clear" w:color="auto" w:fill="E7F3D8" w:themeFill="accent1" w:themeFillTint="33"/>
      </w:tcPr>
    </w:tblStylePr>
    <w:tblStylePr w:type="band1Horz">
      <w:tblPr/>
      <w:tcPr>
        <w:shd w:val="clear" w:color="auto" w:fill="E7F3D8" w:themeFill="accent1" w:themeFillTint="33"/>
      </w:tcPr>
    </w:tblStylePr>
  </w:style>
  <w:style w:type="character" w:customStyle="1" w:styleId="Mention2">
    <w:name w:val="Mention2"/>
    <w:basedOn w:val="DefaultParagraphFont"/>
    <w:uiPriority w:val="99"/>
    <w:semiHidden/>
    <w:unhideWhenUsed/>
    <w:rsid w:val="00EA2CC4"/>
    <w:rPr>
      <w:color w:val="2B579A"/>
      <w:shd w:val="clear" w:color="auto" w:fill="E6E6E6"/>
    </w:rPr>
  </w:style>
  <w:style w:type="character" w:customStyle="1" w:styleId="Mention3">
    <w:name w:val="Mention3"/>
    <w:basedOn w:val="DefaultParagraphFont"/>
    <w:uiPriority w:val="99"/>
    <w:semiHidden/>
    <w:unhideWhenUsed/>
    <w:rsid w:val="00EA4775"/>
    <w:rPr>
      <w:color w:val="2B579A"/>
      <w:shd w:val="clear" w:color="auto" w:fill="E6E6E6"/>
    </w:rPr>
  </w:style>
  <w:style w:type="paragraph" w:customStyle="1" w:styleId="Image">
    <w:name w:val="Image"/>
    <w:basedOn w:val="Normal"/>
    <w:link w:val="ImageChar"/>
    <w:uiPriority w:val="5"/>
    <w:rsid w:val="00F65847"/>
    <w:pPr>
      <w:jc w:val="center"/>
    </w:pPr>
    <w:rPr>
      <w:noProof/>
      <w:lang w:eastAsia="en-GB"/>
    </w:rPr>
  </w:style>
  <w:style w:type="character" w:customStyle="1" w:styleId="ImageChar">
    <w:name w:val="Image Char"/>
    <w:basedOn w:val="DefaultParagraphFont"/>
    <w:link w:val="Image"/>
    <w:uiPriority w:val="5"/>
    <w:rsid w:val="00F65847"/>
    <w:rPr>
      <w:noProof/>
      <w:sz w:val="22"/>
      <w:szCs w:val="22"/>
      <w:lang w:val="en-GB" w:eastAsia="en-GB"/>
    </w:rPr>
  </w:style>
  <w:style w:type="character" w:styleId="PlaceholderText">
    <w:name w:val="Placeholder Text"/>
    <w:basedOn w:val="DefaultParagraphFont"/>
    <w:uiPriority w:val="99"/>
    <w:semiHidden/>
    <w:rsid w:val="00BE03D8"/>
    <w:rPr>
      <w:color w:val="808080"/>
    </w:rPr>
  </w:style>
  <w:style w:type="paragraph" w:customStyle="1" w:styleId="hub2">
    <w:name w:val="hub2"/>
    <w:basedOn w:val="Normal"/>
    <w:link w:val="hub2Char"/>
    <w:uiPriority w:val="5"/>
    <w:qFormat/>
    <w:rsid w:val="00B4205E"/>
    <w:rPr>
      <w:rFonts w:ascii="DaxlinePro-Bold" w:hAnsi="DaxlinePro-Bold"/>
      <w:lang w:val="en-US"/>
    </w:rPr>
  </w:style>
  <w:style w:type="character" w:customStyle="1" w:styleId="hub2Char">
    <w:name w:val="hub2 Char"/>
    <w:basedOn w:val="DefaultParagraphFont"/>
    <w:link w:val="hub2"/>
    <w:uiPriority w:val="5"/>
    <w:rsid w:val="00B4205E"/>
    <w:rPr>
      <w:rFonts w:ascii="DaxlinePro-Bold" w:hAnsi="DaxlinePro-Bold"/>
      <w:szCs w:val="22"/>
    </w:rPr>
  </w:style>
  <w:style w:type="character" w:customStyle="1" w:styleId="Mention4">
    <w:name w:val="Mention4"/>
    <w:basedOn w:val="DefaultParagraphFont"/>
    <w:uiPriority w:val="99"/>
    <w:semiHidden/>
    <w:unhideWhenUsed/>
    <w:rsid w:val="00923653"/>
    <w:rPr>
      <w:color w:val="2B579A"/>
      <w:shd w:val="clear" w:color="auto" w:fill="E6E6E6"/>
    </w:rPr>
  </w:style>
  <w:style w:type="character" w:customStyle="1" w:styleId="UnresolvedMention1">
    <w:name w:val="Unresolved Mention1"/>
    <w:basedOn w:val="DefaultParagraphFont"/>
    <w:uiPriority w:val="99"/>
    <w:semiHidden/>
    <w:unhideWhenUsed/>
    <w:rsid w:val="00A95F04"/>
    <w:rPr>
      <w:color w:val="808080"/>
      <w:shd w:val="clear" w:color="auto" w:fill="E6E6E6"/>
    </w:rPr>
  </w:style>
  <w:style w:type="character" w:customStyle="1" w:styleId="UnresolvedMention2">
    <w:name w:val="Unresolved Mention2"/>
    <w:basedOn w:val="DefaultParagraphFont"/>
    <w:uiPriority w:val="99"/>
    <w:semiHidden/>
    <w:unhideWhenUsed/>
    <w:rsid w:val="00670821"/>
    <w:rPr>
      <w:color w:val="808080"/>
      <w:shd w:val="clear" w:color="auto" w:fill="E6E6E6"/>
    </w:rPr>
  </w:style>
  <w:style w:type="paragraph" w:customStyle="1" w:styleId="Default">
    <w:name w:val="Default"/>
    <w:rsid w:val="0064515E"/>
    <w:pPr>
      <w:autoSpaceDE w:val="0"/>
      <w:autoSpaceDN w:val="0"/>
      <w:adjustRightInd w:val="0"/>
    </w:pPr>
    <w:rPr>
      <w:rFonts w:cs="Calibri"/>
      <w:color w:val="000000"/>
      <w:sz w:val="24"/>
      <w:szCs w:val="24"/>
      <w:lang w:val="en-GB"/>
    </w:rPr>
  </w:style>
  <w:style w:type="character" w:customStyle="1" w:styleId="UnresolvedMention3">
    <w:name w:val="Unresolved Mention3"/>
    <w:basedOn w:val="DefaultParagraphFont"/>
    <w:uiPriority w:val="99"/>
    <w:semiHidden/>
    <w:unhideWhenUsed/>
    <w:rsid w:val="00300D2F"/>
    <w:rPr>
      <w:color w:val="808080"/>
      <w:shd w:val="clear" w:color="auto" w:fill="E6E6E6"/>
    </w:rPr>
  </w:style>
  <w:style w:type="table" w:customStyle="1" w:styleId="TableGrid1">
    <w:name w:val="Table Grid1"/>
    <w:basedOn w:val="TableNormal"/>
    <w:next w:val="TableGrid"/>
    <w:uiPriority w:val="59"/>
    <w:rsid w:val="00886982"/>
    <w:rPr>
      <w:rFonts w:ascii="Segoe UI" w:eastAsiaTheme="minorHAnsi" w:hAnsi="Segoe UI" w:cstheme="minorBidi"/>
      <w:szCs w:val="24"/>
      <w:lang w:val="en-GB"/>
    </w:rPr>
    <w:tblPr>
      <w:tblStyleRowBandSize w:val="1"/>
      <w:tblStyleColBandSize w:val="1"/>
      <w:tblBorders>
        <w:top w:val="single" w:sz="8" w:space="0" w:color="233845"/>
        <w:left w:val="single" w:sz="8" w:space="0" w:color="233845"/>
        <w:bottom w:val="single" w:sz="8" w:space="0" w:color="233845"/>
        <w:right w:val="single" w:sz="8" w:space="0" w:color="233845"/>
        <w:insideH w:val="single" w:sz="8" w:space="0" w:color="233845"/>
        <w:insideV w:val="single" w:sz="8" w:space="0" w:color="233845"/>
      </w:tblBorders>
    </w:tblPr>
    <w:tcPr>
      <w:shd w:val="clear" w:color="auto" w:fill="C9D9E3" w:themeFill="accent4" w:themeFillTint="33"/>
    </w:tcPr>
    <w:tblStylePr w:type="firstRow">
      <w:rPr>
        <w:rFonts w:ascii="Segoe UI" w:hAnsi="Segoe UI"/>
        <w:b/>
        <w:color w:val="FFFFFF" w:themeColor="background1"/>
        <w:sz w:val="20"/>
      </w:rPr>
      <w:tblPr/>
      <w:tcPr>
        <w:shd w:val="clear" w:color="auto" w:fill="233845" w:themeFill="text2"/>
      </w:tcPr>
    </w:tblStylePr>
    <w:tblStylePr w:type="lastRow">
      <w:rPr>
        <w:rFonts w:ascii="Segoe UI" w:hAnsi="Segoe UI"/>
        <w:b/>
        <w:sz w:val="20"/>
      </w:rPr>
    </w:tblStylePr>
    <w:tblStylePr w:type="firstCol">
      <w:rPr>
        <w:b/>
      </w:rPr>
    </w:tblStylePr>
    <w:tblStylePr w:type="lastCol">
      <w:rPr>
        <w:b/>
      </w:rPr>
    </w:tblStylePr>
    <w:tblStylePr w:type="band1Vert">
      <w:rPr>
        <w:rFonts w:ascii="Segoe UI" w:hAnsi="Segoe UI"/>
        <w:sz w:val="20"/>
      </w:rPr>
      <w:tblPr/>
      <w:tcPr>
        <w:shd w:val="clear" w:color="auto" w:fill="C9D9E3" w:themeFill="accent4" w:themeFillTint="33"/>
      </w:tcPr>
    </w:tblStylePr>
    <w:tblStylePr w:type="band2Vert">
      <w:rPr>
        <w:rFonts w:ascii="Segoe UI" w:hAnsi="Segoe UI"/>
        <w:sz w:val="20"/>
      </w:rPr>
    </w:tblStylePr>
    <w:tblStylePr w:type="band1Horz">
      <w:tblPr/>
      <w:tcPr>
        <w:shd w:val="clear" w:color="auto" w:fill="C9D9E3" w:themeFill="text2" w:themeFillTint="33"/>
      </w:tcPr>
    </w:tblStylePr>
    <w:tblStylePr w:type="band2Horz">
      <w:tblPr/>
      <w:tcPr>
        <w:shd w:val="clear" w:color="auto" w:fill="FFFFFF" w:themeFill="background1"/>
      </w:tcPr>
    </w:tblStylePr>
  </w:style>
  <w:style w:type="paragraph" w:styleId="BodyText">
    <w:name w:val="Body Text"/>
    <w:link w:val="BodyTextChar"/>
    <w:qFormat/>
    <w:rsid w:val="00886982"/>
    <w:pPr>
      <w:widowControl w:val="0"/>
      <w:spacing w:after="120"/>
    </w:pPr>
    <w:rPr>
      <w:rFonts w:ascii="Segoe UI" w:eastAsia="Times New Roman" w:hAnsi="Segoe UI" w:cs="Segoe UI"/>
      <w:color w:val="000000"/>
    </w:rPr>
  </w:style>
  <w:style w:type="character" w:customStyle="1" w:styleId="BodyTextChar">
    <w:name w:val="Body Text Char"/>
    <w:basedOn w:val="DefaultParagraphFont"/>
    <w:link w:val="BodyText"/>
    <w:rsid w:val="00886982"/>
    <w:rPr>
      <w:rFonts w:ascii="Segoe UI" w:eastAsia="Times New Roman" w:hAnsi="Segoe UI" w:cs="Segoe UI"/>
      <w:color w:val="000000"/>
    </w:rPr>
  </w:style>
  <w:style w:type="character" w:styleId="UnresolvedMention">
    <w:name w:val="Unresolved Mention"/>
    <w:basedOn w:val="DefaultParagraphFont"/>
    <w:uiPriority w:val="99"/>
    <w:semiHidden/>
    <w:unhideWhenUsed/>
    <w:rsid w:val="004B27A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1443">
      <w:bodyDiv w:val="1"/>
      <w:marLeft w:val="0"/>
      <w:marRight w:val="0"/>
      <w:marTop w:val="0"/>
      <w:marBottom w:val="0"/>
      <w:divBdr>
        <w:top w:val="none" w:sz="0" w:space="0" w:color="auto"/>
        <w:left w:val="none" w:sz="0" w:space="0" w:color="auto"/>
        <w:bottom w:val="none" w:sz="0" w:space="0" w:color="auto"/>
        <w:right w:val="none" w:sz="0" w:space="0" w:color="auto"/>
      </w:divBdr>
    </w:div>
    <w:div w:id="10645060">
      <w:bodyDiv w:val="1"/>
      <w:marLeft w:val="0"/>
      <w:marRight w:val="0"/>
      <w:marTop w:val="0"/>
      <w:marBottom w:val="0"/>
      <w:divBdr>
        <w:top w:val="none" w:sz="0" w:space="0" w:color="auto"/>
        <w:left w:val="none" w:sz="0" w:space="0" w:color="auto"/>
        <w:bottom w:val="none" w:sz="0" w:space="0" w:color="auto"/>
        <w:right w:val="none" w:sz="0" w:space="0" w:color="auto"/>
      </w:divBdr>
    </w:div>
    <w:div w:id="10690569">
      <w:bodyDiv w:val="1"/>
      <w:marLeft w:val="0"/>
      <w:marRight w:val="0"/>
      <w:marTop w:val="0"/>
      <w:marBottom w:val="0"/>
      <w:divBdr>
        <w:top w:val="none" w:sz="0" w:space="0" w:color="auto"/>
        <w:left w:val="none" w:sz="0" w:space="0" w:color="auto"/>
        <w:bottom w:val="none" w:sz="0" w:space="0" w:color="auto"/>
        <w:right w:val="none" w:sz="0" w:space="0" w:color="auto"/>
      </w:divBdr>
    </w:div>
    <w:div w:id="12808223">
      <w:bodyDiv w:val="1"/>
      <w:marLeft w:val="0"/>
      <w:marRight w:val="0"/>
      <w:marTop w:val="0"/>
      <w:marBottom w:val="0"/>
      <w:divBdr>
        <w:top w:val="none" w:sz="0" w:space="0" w:color="auto"/>
        <w:left w:val="none" w:sz="0" w:space="0" w:color="auto"/>
        <w:bottom w:val="none" w:sz="0" w:space="0" w:color="auto"/>
        <w:right w:val="none" w:sz="0" w:space="0" w:color="auto"/>
      </w:divBdr>
    </w:div>
    <w:div w:id="33120963">
      <w:bodyDiv w:val="1"/>
      <w:marLeft w:val="0"/>
      <w:marRight w:val="0"/>
      <w:marTop w:val="0"/>
      <w:marBottom w:val="0"/>
      <w:divBdr>
        <w:top w:val="none" w:sz="0" w:space="0" w:color="auto"/>
        <w:left w:val="none" w:sz="0" w:space="0" w:color="auto"/>
        <w:bottom w:val="none" w:sz="0" w:space="0" w:color="auto"/>
        <w:right w:val="none" w:sz="0" w:space="0" w:color="auto"/>
      </w:divBdr>
    </w:div>
    <w:div w:id="33776010">
      <w:bodyDiv w:val="1"/>
      <w:marLeft w:val="0"/>
      <w:marRight w:val="0"/>
      <w:marTop w:val="0"/>
      <w:marBottom w:val="0"/>
      <w:divBdr>
        <w:top w:val="none" w:sz="0" w:space="0" w:color="auto"/>
        <w:left w:val="none" w:sz="0" w:space="0" w:color="auto"/>
        <w:bottom w:val="none" w:sz="0" w:space="0" w:color="auto"/>
        <w:right w:val="none" w:sz="0" w:space="0" w:color="auto"/>
      </w:divBdr>
    </w:div>
    <w:div w:id="46993682">
      <w:bodyDiv w:val="1"/>
      <w:marLeft w:val="0"/>
      <w:marRight w:val="0"/>
      <w:marTop w:val="0"/>
      <w:marBottom w:val="0"/>
      <w:divBdr>
        <w:top w:val="none" w:sz="0" w:space="0" w:color="auto"/>
        <w:left w:val="none" w:sz="0" w:space="0" w:color="auto"/>
        <w:bottom w:val="none" w:sz="0" w:space="0" w:color="auto"/>
        <w:right w:val="none" w:sz="0" w:space="0" w:color="auto"/>
      </w:divBdr>
    </w:div>
    <w:div w:id="51126971">
      <w:bodyDiv w:val="1"/>
      <w:marLeft w:val="0"/>
      <w:marRight w:val="0"/>
      <w:marTop w:val="0"/>
      <w:marBottom w:val="0"/>
      <w:divBdr>
        <w:top w:val="none" w:sz="0" w:space="0" w:color="auto"/>
        <w:left w:val="none" w:sz="0" w:space="0" w:color="auto"/>
        <w:bottom w:val="none" w:sz="0" w:space="0" w:color="auto"/>
        <w:right w:val="none" w:sz="0" w:space="0" w:color="auto"/>
      </w:divBdr>
    </w:div>
    <w:div w:id="54934313">
      <w:bodyDiv w:val="1"/>
      <w:marLeft w:val="0"/>
      <w:marRight w:val="0"/>
      <w:marTop w:val="0"/>
      <w:marBottom w:val="0"/>
      <w:divBdr>
        <w:top w:val="none" w:sz="0" w:space="0" w:color="auto"/>
        <w:left w:val="none" w:sz="0" w:space="0" w:color="auto"/>
        <w:bottom w:val="none" w:sz="0" w:space="0" w:color="auto"/>
        <w:right w:val="none" w:sz="0" w:space="0" w:color="auto"/>
      </w:divBdr>
    </w:div>
    <w:div w:id="67962306">
      <w:bodyDiv w:val="1"/>
      <w:marLeft w:val="0"/>
      <w:marRight w:val="0"/>
      <w:marTop w:val="0"/>
      <w:marBottom w:val="0"/>
      <w:divBdr>
        <w:top w:val="none" w:sz="0" w:space="0" w:color="auto"/>
        <w:left w:val="none" w:sz="0" w:space="0" w:color="auto"/>
        <w:bottom w:val="none" w:sz="0" w:space="0" w:color="auto"/>
        <w:right w:val="none" w:sz="0" w:space="0" w:color="auto"/>
      </w:divBdr>
    </w:div>
    <w:div w:id="73094753">
      <w:bodyDiv w:val="1"/>
      <w:marLeft w:val="0"/>
      <w:marRight w:val="0"/>
      <w:marTop w:val="0"/>
      <w:marBottom w:val="0"/>
      <w:divBdr>
        <w:top w:val="none" w:sz="0" w:space="0" w:color="auto"/>
        <w:left w:val="none" w:sz="0" w:space="0" w:color="auto"/>
        <w:bottom w:val="none" w:sz="0" w:space="0" w:color="auto"/>
        <w:right w:val="none" w:sz="0" w:space="0" w:color="auto"/>
      </w:divBdr>
    </w:div>
    <w:div w:id="86926514">
      <w:bodyDiv w:val="1"/>
      <w:marLeft w:val="0"/>
      <w:marRight w:val="0"/>
      <w:marTop w:val="0"/>
      <w:marBottom w:val="0"/>
      <w:divBdr>
        <w:top w:val="none" w:sz="0" w:space="0" w:color="auto"/>
        <w:left w:val="none" w:sz="0" w:space="0" w:color="auto"/>
        <w:bottom w:val="none" w:sz="0" w:space="0" w:color="auto"/>
        <w:right w:val="none" w:sz="0" w:space="0" w:color="auto"/>
      </w:divBdr>
    </w:div>
    <w:div w:id="144785618">
      <w:bodyDiv w:val="1"/>
      <w:marLeft w:val="0"/>
      <w:marRight w:val="0"/>
      <w:marTop w:val="0"/>
      <w:marBottom w:val="0"/>
      <w:divBdr>
        <w:top w:val="none" w:sz="0" w:space="0" w:color="auto"/>
        <w:left w:val="none" w:sz="0" w:space="0" w:color="auto"/>
        <w:bottom w:val="none" w:sz="0" w:space="0" w:color="auto"/>
        <w:right w:val="none" w:sz="0" w:space="0" w:color="auto"/>
      </w:divBdr>
    </w:div>
    <w:div w:id="152987499">
      <w:bodyDiv w:val="1"/>
      <w:marLeft w:val="0"/>
      <w:marRight w:val="0"/>
      <w:marTop w:val="0"/>
      <w:marBottom w:val="0"/>
      <w:divBdr>
        <w:top w:val="none" w:sz="0" w:space="0" w:color="auto"/>
        <w:left w:val="none" w:sz="0" w:space="0" w:color="auto"/>
        <w:bottom w:val="none" w:sz="0" w:space="0" w:color="auto"/>
        <w:right w:val="none" w:sz="0" w:space="0" w:color="auto"/>
      </w:divBdr>
    </w:div>
    <w:div w:id="217743335">
      <w:bodyDiv w:val="1"/>
      <w:marLeft w:val="0"/>
      <w:marRight w:val="0"/>
      <w:marTop w:val="0"/>
      <w:marBottom w:val="0"/>
      <w:divBdr>
        <w:top w:val="none" w:sz="0" w:space="0" w:color="auto"/>
        <w:left w:val="none" w:sz="0" w:space="0" w:color="auto"/>
        <w:bottom w:val="none" w:sz="0" w:space="0" w:color="auto"/>
        <w:right w:val="none" w:sz="0" w:space="0" w:color="auto"/>
      </w:divBdr>
    </w:div>
    <w:div w:id="222522384">
      <w:bodyDiv w:val="1"/>
      <w:marLeft w:val="0"/>
      <w:marRight w:val="0"/>
      <w:marTop w:val="0"/>
      <w:marBottom w:val="0"/>
      <w:divBdr>
        <w:top w:val="none" w:sz="0" w:space="0" w:color="auto"/>
        <w:left w:val="none" w:sz="0" w:space="0" w:color="auto"/>
        <w:bottom w:val="none" w:sz="0" w:space="0" w:color="auto"/>
        <w:right w:val="none" w:sz="0" w:space="0" w:color="auto"/>
      </w:divBdr>
    </w:div>
    <w:div w:id="225259016">
      <w:bodyDiv w:val="1"/>
      <w:marLeft w:val="0"/>
      <w:marRight w:val="0"/>
      <w:marTop w:val="0"/>
      <w:marBottom w:val="0"/>
      <w:divBdr>
        <w:top w:val="none" w:sz="0" w:space="0" w:color="auto"/>
        <w:left w:val="none" w:sz="0" w:space="0" w:color="auto"/>
        <w:bottom w:val="none" w:sz="0" w:space="0" w:color="auto"/>
        <w:right w:val="none" w:sz="0" w:space="0" w:color="auto"/>
      </w:divBdr>
    </w:div>
    <w:div w:id="227153613">
      <w:bodyDiv w:val="1"/>
      <w:marLeft w:val="0"/>
      <w:marRight w:val="0"/>
      <w:marTop w:val="0"/>
      <w:marBottom w:val="0"/>
      <w:divBdr>
        <w:top w:val="none" w:sz="0" w:space="0" w:color="auto"/>
        <w:left w:val="none" w:sz="0" w:space="0" w:color="auto"/>
        <w:bottom w:val="none" w:sz="0" w:space="0" w:color="auto"/>
        <w:right w:val="none" w:sz="0" w:space="0" w:color="auto"/>
      </w:divBdr>
    </w:div>
    <w:div w:id="240483583">
      <w:bodyDiv w:val="1"/>
      <w:marLeft w:val="0"/>
      <w:marRight w:val="0"/>
      <w:marTop w:val="0"/>
      <w:marBottom w:val="0"/>
      <w:divBdr>
        <w:top w:val="none" w:sz="0" w:space="0" w:color="auto"/>
        <w:left w:val="none" w:sz="0" w:space="0" w:color="auto"/>
        <w:bottom w:val="none" w:sz="0" w:space="0" w:color="auto"/>
        <w:right w:val="none" w:sz="0" w:space="0" w:color="auto"/>
      </w:divBdr>
      <w:divsChild>
        <w:div w:id="378479295">
          <w:marLeft w:val="547"/>
          <w:marRight w:val="0"/>
          <w:marTop w:val="0"/>
          <w:marBottom w:val="0"/>
          <w:divBdr>
            <w:top w:val="none" w:sz="0" w:space="0" w:color="auto"/>
            <w:left w:val="none" w:sz="0" w:space="0" w:color="auto"/>
            <w:bottom w:val="none" w:sz="0" w:space="0" w:color="auto"/>
            <w:right w:val="none" w:sz="0" w:space="0" w:color="auto"/>
          </w:divBdr>
        </w:div>
      </w:divsChild>
    </w:div>
    <w:div w:id="253974802">
      <w:bodyDiv w:val="1"/>
      <w:marLeft w:val="0"/>
      <w:marRight w:val="0"/>
      <w:marTop w:val="0"/>
      <w:marBottom w:val="0"/>
      <w:divBdr>
        <w:top w:val="none" w:sz="0" w:space="0" w:color="auto"/>
        <w:left w:val="none" w:sz="0" w:space="0" w:color="auto"/>
        <w:bottom w:val="none" w:sz="0" w:space="0" w:color="auto"/>
        <w:right w:val="none" w:sz="0" w:space="0" w:color="auto"/>
      </w:divBdr>
    </w:div>
    <w:div w:id="289943535">
      <w:bodyDiv w:val="1"/>
      <w:marLeft w:val="0"/>
      <w:marRight w:val="0"/>
      <w:marTop w:val="0"/>
      <w:marBottom w:val="0"/>
      <w:divBdr>
        <w:top w:val="none" w:sz="0" w:space="0" w:color="auto"/>
        <w:left w:val="none" w:sz="0" w:space="0" w:color="auto"/>
        <w:bottom w:val="none" w:sz="0" w:space="0" w:color="auto"/>
        <w:right w:val="none" w:sz="0" w:space="0" w:color="auto"/>
      </w:divBdr>
    </w:div>
    <w:div w:id="293948969">
      <w:bodyDiv w:val="1"/>
      <w:marLeft w:val="0"/>
      <w:marRight w:val="0"/>
      <w:marTop w:val="0"/>
      <w:marBottom w:val="0"/>
      <w:divBdr>
        <w:top w:val="none" w:sz="0" w:space="0" w:color="auto"/>
        <w:left w:val="none" w:sz="0" w:space="0" w:color="auto"/>
        <w:bottom w:val="none" w:sz="0" w:space="0" w:color="auto"/>
        <w:right w:val="none" w:sz="0" w:space="0" w:color="auto"/>
      </w:divBdr>
    </w:div>
    <w:div w:id="297153426">
      <w:bodyDiv w:val="1"/>
      <w:marLeft w:val="0"/>
      <w:marRight w:val="0"/>
      <w:marTop w:val="0"/>
      <w:marBottom w:val="0"/>
      <w:divBdr>
        <w:top w:val="none" w:sz="0" w:space="0" w:color="auto"/>
        <w:left w:val="none" w:sz="0" w:space="0" w:color="auto"/>
        <w:bottom w:val="none" w:sz="0" w:space="0" w:color="auto"/>
        <w:right w:val="none" w:sz="0" w:space="0" w:color="auto"/>
      </w:divBdr>
    </w:div>
    <w:div w:id="317926728">
      <w:bodyDiv w:val="1"/>
      <w:marLeft w:val="0"/>
      <w:marRight w:val="0"/>
      <w:marTop w:val="0"/>
      <w:marBottom w:val="0"/>
      <w:divBdr>
        <w:top w:val="none" w:sz="0" w:space="0" w:color="auto"/>
        <w:left w:val="none" w:sz="0" w:space="0" w:color="auto"/>
        <w:bottom w:val="none" w:sz="0" w:space="0" w:color="auto"/>
        <w:right w:val="none" w:sz="0" w:space="0" w:color="auto"/>
      </w:divBdr>
    </w:div>
    <w:div w:id="320429077">
      <w:bodyDiv w:val="1"/>
      <w:marLeft w:val="0"/>
      <w:marRight w:val="0"/>
      <w:marTop w:val="0"/>
      <w:marBottom w:val="0"/>
      <w:divBdr>
        <w:top w:val="none" w:sz="0" w:space="0" w:color="auto"/>
        <w:left w:val="none" w:sz="0" w:space="0" w:color="auto"/>
        <w:bottom w:val="none" w:sz="0" w:space="0" w:color="auto"/>
        <w:right w:val="none" w:sz="0" w:space="0" w:color="auto"/>
      </w:divBdr>
    </w:div>
    <w:div w:id="337538641">
      <w:bodyDiv w:val="1"/>
      <w:marLeft w:val="0"/>
      <w:marRight w:val="0"/>
      <w:marTop w:val="0"/>
      <w:marBottom w:val="0"/>
      <w:divBdr>
        <w:top w:val="none" w:sz="0" w:space="0" w:color="auto"/>
        <w:left w:val="none" w:sz="0" w:space="0" w:color="auto"/>
        <w:bottom w:val="none" w:sz="0" w:space="0" w:color="auto"/>
        <w:right w:val="none" w:sz="0" w:space="0" w:color="auto"/>
      </w:divBdr>
    </w:div>
    <w:div w:id="345521112">
      <w:bodyDiv w:val="1"/>
      <w:marLeft w:val="0"/>
      <w:marRight w:val="0"/>
      <w:marTop w:val="0"/>
      <w:marBottom w:val="0"/>
      <w:divBdr>
        <w:top w:val="none" w:sz="0" w:space="0" w:color="auto"/>
        <w:left w:val="none" w:sz="0" w:space="0" w:color="auto"/>
        <w:bottom w:val="none" w:sz="0" w:space="0" w:color="auto"/>
        <w:right w:val="none" w:sz="0" w:space="0" w:color="auto"/>
      </w:divBdr>
    </w:div>
    <w:div w:id="362362327">
      <w:bodyDiv w:val="1"/>
      <w:marLeft w:val="0"/>
      <w:marRight w:val="0"/>
      <w:marTop w:val="0"/>
      <w:marBottom w:val="0"/>
      <w:divBdr>
        <w:top w:val="none" w:sz="0" w:space="0" w:color="auto"/>
        <w:left w:val="none" w:sz="0" w:space="0" w:color="auto"/>
        <w:bottom w:val="none" w:sz="0" w:space="0" w:color="auto"/>
        <w:right w:val="none" w:sz="0" w:space="0" w:color="auto"/>
      </w:divBdr>
    </w:div>
    <w:div w:id="378481194">
      <w:bodyDiv w:val="1"/>
      <w:marLeft w:val="0"/>
      <w:marRight w:val="0"/>
      <w:marTop w:val="0"/>
      <w:marBottom w:val="0"/>
      <w:divBdr>
        <w:top w:val="none" w:sz="0" w:space="0" w:color="auto"/>
        <w:left w:val="none" w:sz="0" w:space="0" w:color="auto"/>
        <w:bottom w:val="none" w:sz="0" w:space="0" w:color="auto"/>
        <w:right w:val="none" w:sz="0" w:space="0" w:color="auto"/>
      </w:divBdr>
    </w:div>
    <w:div w:id="392966634">
      <w:bodyDiv w:val="1"/>
      <w:marLeft w:val="0"/>
      <w:marRight w:val="0"/>
      <w:marTop w:val="0"/>
      <w:marBottom w:val="0"/>
      <w:divBdr>
        <w:top w:val="none" w:sz="0" w:space="0" w:color="auto"/>
        <w:left w:val="none" w:sz="0" w:space="0" w:color="auto"/>
        <w:bottom w:val="none" w:sz="0" w:space="0" w:color="auto"/>
        <w:right w:val="none" w:sz="0" w:space="0" w:color="auto"/>
      </w:divBdr>
    </w:div>
    <w:div w:id="412967619">
      <w:bodyDiv w:val="1"/>
      <w:marLeft w:val="0"/>
      <w:marRight w:val="0"/>
      <w:marTop w:val="0"/>
      <w:marBottom w:val="0"/>
      <w:divBdr>
        <w:top w:val="none" w:sz="0" w:space="0" w:color="auto"/>
        <w:left w:val="none" w:sz="0" w:space="0" w:color="auto"/>
        <w:bottom w:val="none" w:sz="0" w:space="0" w:color="auto"/>
        <w:right w:val="none" w:sz="0" w:space="0" w:color="auto"/>
      </w:divBdr>
    </w:div>
    <w:div w:id="439566419">
      <w:bodyDiv w:val="1"/>
      <w:marLeft w:val="0"/>
      <w:marRight w:val="0"/>
      <w:marTop w:val="0"/>
      <w:marBottom w:val="0"/>
      <w:divBdr>
        <w:top w:val="none" w:sz="0" w:space="0" w:color="auto"/>
        <w:left w:val="none" w:sz="0" w:space="0" w:color="auto"/>
        <w:bottom w:val="none" w:sz="0" w:space="0" w:color="auto"/>
        <w:right w:val="none" w:sz="0" w:space="0" w:color="auto"/>
      </w:divBdr>
    </w:div>
    <w:div w:id="448821230">
      <w:bodyDiv w:val="1"/>
      <w:marLeft w:val="0"/>
      <w:marRight w:val="0"/>
      <w:marTop w:val="0"/>
      <w:marBottom w:val="0"/>
      <w:divBdr>
        <w:top w:val="none" w:sz="0" w:space="0" w:color="auto"/>
        <w:left w:val="none" w:sz="0" w:space="0" w:color="auto"/>
        <w:bottom w:val="none" w:sz="0" w:space="0" w:color="auto"/>
        <w:right w:val="none" w:sz="0" w:space="0" w:color="auto"/>
      </w:divBdr>
    </w:div>
    <w:div w:id="449134747">
      <w:bodyDiv w:val="1"/>
      <w:marLeft w:val="0"/>
      <w:marRight w:val="0"/>
      <w:marTop w:val="0"/>
      <w:marBottom w:val="0"/>
      <w:divBdr>
        <w:top w:val="none" w:sz="0" w:space="0" w:color="auto"/>
        <w:left w:val="none" w:sz="0" w:space="0" w:color="auto"/>
        <w:bottom w:val="none" w:sz="0" w:space="0" w:color="auto"/>
        <w:right w:val="none" w:sz="0" w:space="0" w:color="auto"/>
      </w:divBdr>
    </w:div>
    <w:div w:id="450629710">
      <w:bodyDiv w:val="1"/>
      <w:marLeft w:val="0"/>
      <w:marRight w:val="0"/>
      <w:marTop w:val="0"/>
      <w:marBottom w:val="0"/>
      <w:divBdr>
        <w:top w:val="none" w:sz="0" w:space="0" w:color="auto"/>
        <w:left w:val="none" w:sz="0" w:space="0" w:color="auto"/>
        <w:bottom w:val="none" w:sz="0" w:space="0" w:color="auto"/>
        <w:right w:val="none" w:sz="0" w:space="0" w:color="auto"/>
      </w:divBdr>
    </w:div>
    <w:div w:id="477766597">
      <w:bodyDiv w:val="1"/>
      <w:marLeft w:val="0"/>
      <w:marRight w:val="0"/>
      <w:marTop w:val="0"/>
      <w:marBottom w:val="0"/>
      <w:divBdr>
        <w:top w:val="none" w:sz="0" w:space="0" w:color="auto"/>
        <w:left w:val="none" w:sz="0" w:space="0" w:color="auto"/>
        <w:bottom w:val="none" w:sz="0" w:space="0" w:color="auto"/>
        <w:right w:val="none" w:sz="0" w:space="0" w:color="auto"/>
      </w:divBdr>
    </w:div>
    <w:div w:id="517820143">
      <w:bodyDiv w:val="1"/>
      <w:marLeft w:val="0"/>
      <w:marRight w:val="0"/>
      <w:marTop w:val="0"/>
      <w:marBottom w:val="0"/>
      <w:divBdr>
        <w:top w:val="none" w:sz="0" w:space="0" w:color="auto"/>
        <w:left w:val="none" w:sz="0" w:space="0" w:color="auto"/>
        <w:bottom w:val="none" w:sz="0" w:space="0" w:color="auto"/>
        <w:right w:val="none" w:sz="0" w:space="0" w:color="auto"/>
      </w:divBdr>
    </w:div>
    <w:div w:id="520361389">
      <w:bodyDiv w:val="1"/>
      <w:marLeft w:val="0"/>
      <w:marRight w:val="0"/>
      <w:marTop w:val="0"/>
      <w:marBottom w:val="0"/>
      <w:divBdr>
        <w:top w:val="none" w:sz="0" w:space="0" w:color="auto"/>
        <w:left w:val="none" w:sz="0" w:space="0" w:color="auto"/>
        <w:bottom w:val="none" w:sz="0" w:space="0" w:color="auto"/>
        <w:right w:val="none" w:sz="0" w:space="0" w:color="auto"/>
      </w:divBdr>
    </w:div>
    <w:div w:id="530873598">
      <w:bodyDiv w:val="1"/>
      <w:marLeft w:val="0"/>
      <w:marRight w:val="0"/>
      <w:marTop w:val="0"/>
      <w:marBottom w:val="0"/>
      <w:divBdr>
        <w:top w:val="none" w:sz="0" w:space="0" w:color="auto"/>
        <w:left w:val="none" w:sz="0" w:space="0" w:color="auto"/>
        <w:bottom w:val="none" w:sz="0" w:space="0" w:color="auto"/>
        <w:right w:val="none" w:sz="0" w:space="0" w:color="auto"/>
      </w:divBdr>
    </w:div>
    <w:div w:id="548608312">
      <w:bodyDiv w:val="1"/>
      <w:marLeft w:val="0"/>
      <w:marRight w:val="0"/>
      <w:marTop w:val="0"/>
      <w:marBottom w:val="0"/>
      <w:divBdr>
        <w:top w:val="none" w:sz="0" w:space="0" w:color="auto"/>
        <w:left w:val="none" w:sz="0" w:space="0" w:color="auto"/>
        <w:bottom w:val="none" w:sz="0" w:space="0" w:color="auto"/>
        <w:right w:val="none" w:sz="0" w:space="0" w:color="auto"/>
      </w:divBdr>
    </w:div>
    <w:div w:id="564528174">
      <w:bodyDiv w:val="1"/>
      <w:marLeft w:val="0"/>
      <w:marRight w:val="0"/>
      <w:marTop w:val="0"/>
      <w:marBottom w:val="0"/>
      <w:divBdr>
        <w:top w:val="none" w:sz="0" w:space="0" w:color="auto"/>
        <w:left w:val="none" w:sz="0" w:space="0" w:color="auto"/>
        <w:bottom w:val="none" w:sz="0" w:space="0" w:color="auto"/>
        <w:right w:val="none" w:sz="0" w:space="0" w:color="auto"/>
      </w:divBdr>
    </w:div>
    <w:div w:id="574584779">
      <w:bodyDiv w:val="1"/>
      <w:marLeft w:val="0"/>
      <w:marRight w:val="0"/>
      <w:marTop w:val="0"/>
      <w:marBottom w:val="0"/>
      <w:divBdr>
        <w:top w:val="none" w:sz="0" w:space="0" w:color="auto"/>
        <w:left w:val="none" w:sz="0" w:space="0" w:color="auto"/>
        <w:bottom w:val="none" w:sz="0" w:space="0" w:color="auto"/>
        <w:right w:val="none" w:sz="0" w:space="0" w:color="auto"/>
      </w:divBdr>
    </w:div>
    <w:div w:id="588542239">
      <w:bodyDiv w:val="1"/>
      <w:marLeft w:val="0"/>
      <w:marRight w:val="0"/>
      <w:marTop w:val="0"/>
      <w:marBottom w:val="0"/>
      <w:divBdr>
        <w:top w:val="none" w:sz="0" w:space="0" w:color="auto"/>
        <w:left w:val="none" w:sz="0" w:space="0" w:color="auto"/>
        <w:bottom w:val="none" w:sz="0" w:space="0" w:color="auto"/>
        <w:right w:val="none" w:sz="0" w:space="0" w:color="auto"/>
      </w:divBdr>
    </w:div>
    <w:div w:id="638261955">
      <w:bodyDiv w:val="1"/>
      <w:marLeft w:val="0"/>
      <w:marRight w:val="0"/>
      <w:marTop w:val="0"/>
      <w:marBottom w:val="0"/>
      <w:divBdr>
        <w:top w:val="none" w:sz="0" w:space="0" w:color="auto"/>
        <w:left w:val="none" w:sz="0" w:space="0" w:color="auto"/>
        <w:bottom w:val="none" w:sz="0" w:space="0" w:color="auto"/>
        <w:right w:val="none" w:sz="0" w:space="0" w:color="auto"/>
      </w:divBdr>
    </w:div>
    <w:div w:id="665523356">
      <w:bodyDiv w:val="1"/>
      <w:marLeft w:val="0"/>
      <w:marRight w:val="0"/>
      <w:marTop w:val="0"/>
      <w:marBottom w:val="0"/>
      <w:divBdr>
        <w:top w:val="none" w:sz="0" w:space="0" w:color="auto"/>
        <w:left w:val="none" w:sz="0" w:space="0" w:color="auto"/>
        <w:bottom w:val="none" w:sz="0" w:space="0" w:color="auto"/>
        <w:right w:val="none" w:sz="0" w:space="0" w:color="auto"/>
      </w:divBdr>
    </w:div>
    <w:div w:id="692536626">
      <w:bodyDiv w:val="1"/>
      <w:marLeft w:val="0"/>
      <w:marRight w:val="0"/>
      <w:marTop w:val="0"/>
      <w:marBottom w:val="0"/>
      <w:divBdr>
        <w:top w:val="none" w:sz="0" w:space="0" w:color="auto"/>
        <w:left w:val="none" w:sz="0" w:space="0" w:color="auto"/>
        <w:bottom w:val="none" w:sz="0" w:space="0" w:color="auto"/>
        <w:right w:val="none" w:sz="0" w:space="0" w:color="auto"/>
      </w:divBdr>
    </w:div>
    <w:div w:id="708341976">
      <w:bodyDiv w:val="1"/>
      <w:marLeft w:val="0"/>
      <w:marRight w:val="0"/>
      <w:marTop w:val="0"/>
      <w:marBottom w:val="0"/>
      <w:divBdr>
        <w:top w:val="none" w:sz="0" w:space="0" w:color="auto"/>
        <w:left w:val="none" w:sz="0" w:space="0" w:color="auto"/>
        <w:bottom w:val="none" w:sz="0" w:space="0" w:color="auto"/>
        <w:right w:val="none" w:sz="0" w:space="0" w:color="auto"/>
      </w:divBdr>
    </w:div>
    <w:div w:id="714935877">
      <w:bodyDiv w:val="1"/>
      <w:marLeft w:val="0"/>
      <w:marRight w:val="0"/>
      <w:marTop w:val="0"/>
      <w:marBottom w:val="0"/>
      <w:divBdr>
        <w:top w:val="none" w:sz="0" w:space="0" w:color="auto"/>
        <w:left w:val="none" w:sz="0" w:space="0" w:color="auto"/>
        <w:bottom w:val="none" w:sz="0" w:space="0" w:color="auto"/>
        <w:right w:val="none" w:sz="0" w:space="0" w:color="auto"/>
      </w:divBdr>
    </w:div>
    <w:div w:id="737941168">
      <w:bodyDiv w:val="1"/>
      <w:marLeft w:val="0"/>
      <w:marRight w:val="0"/>
      <w:marTop w:val="0"/>
      <w:marBottom w:val="0"/>
      <w:divBdr>
        <w:top w:val="none" w:sz="0" w:space="0" w:color="auto"/>
        <w:left w:val="none" w:sz="0" w:space="0" w:color="auto"/>
        <w:bottom w:val="none" w:sz="0" w:space="0" w:color="auto"/>
        <w:right w:val="none" w:sz="0" w:space="0" w:color="auto"/>
      </w:divBdr>
    </w:div>
    <w:div w:id="759568819">
      <w:bodyDiv w:val="1"/>
      <w:marLeft w:val="0"/>
      <w:marRight w:val="0"/>
      <w:marTop w:val="0"/>
      <w:marBottom w:val="0"/>
      <w:divBdr>
        <w:top w:val="none" w:sz="0" w:space="0" w:color="auto"/>
        <w:left w:val="none" w:sz="0" w:space="0" w:color="auto"/>
        <w:bottom w:val="none" w:sz="0" w:space="0" w:color="auto"/>
        <w:right w:val="none" w:sz="0" w:space="0" w:color="auto"/>
      </w:divBdr>
    </w:div>
    <w:div w:id="779299413">
      <w:bodyDiv w:val="1"/>
      <w:marLeft w:val="0"/>
      <w:marRight w:val="0"/>
      <w:marTop w:val="0"/>
      <w:marBottom w:val="0"/>
      <w:divBdr>
        <w:top w:val="none" w:sz="0" w:space="0" w:color="auto"/>
        <w:left w:val="none" w:sz="0" w:space="0" w:color="auto"/>
        <w:bottom w:val="none" w:sz="0" w:space="0" w:color="auto"/>
        <w:right w:val="none" w:sz="0" w:space="0" w:color="auto"/>
      </w:divBdr>
    </w:div>
    <w:div w:id="786586952">
      <w:bodyDiv w:val="1"/>
      <w:marLeft w:val="0"/>
      <w:marRight w:val="0"/>
      <w:marTop w:val="0"/>
      <w:marBottom w:val="0"/>
      <w:divBdr>
        <w:top w:val="none" w:sz="0" w:space="0" w:color="auto"/>
        <w:left w:val="none" w:sz="0" w:space="0" w:color="auto"/>
        <w:bottom w:val="none" w:sz="0" w:space="0" w:color="auto"/>
        <w:right w:val="none" w:sz="0" w:space="0" w:color="auto"/>
      </w:divBdr>
    </w:div>
    <w:div w:id="793907984">
      <w:bodyDiv w:val="1"/>
      <w:marLeft w:val="0"/>
      <w:marRight w:val="0"/>
      <w:marTop w:val="0"/>
      <w:marBottom w:val="0"/>
      <w:divBdr>
        <w:top w:val="none" w:sz="0" w:space="0" w:color="auto"/>
        <w:left w:val="none" w:sz="0" w:space="0" w:color="auto"/>
        <w:bottom w:val="none" w:sz="0" w:space="0" w:color="auto"/>
        <w:right w:val="none" w:sz="0" w:space="0" w:color="auto"/>
      </w:divBdr>
      <w:divsChild>
        <w:div w:id="31738246">
          <w:marLeft w:val="547"/>
          <w:marRight w:val="0"/>
          <w:marTop w:val="0"/>
          <w:marBottom w:val="0"/>
          <w:divBdr>
            <w:top w:val="none" w:sz="0" w:space="0" w:color="auto"/>
            <w:left w:val="none" w:sz="0" w:space="0" w:color="auto"/>
            <w:bottom w:val="none" w:sz="0" w:space="0" w:color="auto"/>
            <w:right w:val="none" w:sz="0" w:space="0" w:color="auto"/>
          </w:divBdr>
        </w:div>
      </w:divsChild>
    </w:div>
    <w:div w:id="802506765">
      <w:bodyDiv w:val="1"/>
      <w:marLeft w:val="0"/>
      <w:marRight w:val="0"/>
      <w:marTop w:val="0"/>
      <w:marBottom w:val="0"/>
      <w:divBdr>
        <w:top w:val="none" w:sz="0" w:space="0" w:color="auto"/>
        <w:left w:val="none" w:sz="0" w:space="0" w:color="auto"/>
        <w:bottom w:val="none" w:sz="0" w:space="0" w:color="auto"/>
        <w:right w:val="none" w:sz="0" w:space="0" w:color="auto"/>
      </w:divBdr>
    </w:div>
    <w:div w:id="806584280">
      <w:bodyDiv w:val="1"/>
      <w:marLeft w:val="0"/>
      <w:marRight w:val="0"/>
      <w:marTop w:val="0"/>
      <w:marBottom w:val="0"/>
      <w:divBdr>
        <w:top w:val="none" w:sz="0" w:space="0" w:color="auto"/>
        <w:left w:val="none" w:sz="0" w:space="0" w:color="auto"/>
        <w:bottom w:val="none" w:sz="0" w:space="0" w:color="auto"/>
        <w:right w:val="none" w:sz="0" w:space="0" w:color="auto"/>
      </w:divBdr>
    </w:div>
    <w:div w:id="825056125">
      <w:bodyDiv w:val="1"/>
      <w:marLeft w:val="0"/>
      <w:marRight w:val="0"/>
      <w:marTop w:val="0"/>
      <w:marBottom w:val="0"/>
      <w:divBdr>
        <w:top w:val="none" w:sz="0" w:space="0" w:color="auto"/>
        <w:left w:val="none" w:sz="0" w:space="0" w:color="auto"/>
        <w:bottom w:val="none" w:sz="0" w:space="0" w:color="auto"/>
        <w:right w:val="none" w:sz="0" w:space="0" w:color="auto"/>
      </w:divBdr>
    </w:div>
    <w:div w:id="848300165">
      <w:bodyDiv w:val="1"/>
      <w:marLeft w:val="0"/>
      <w:marRight w:val="0"/>
      <w:marTop w:val="0"/>
      <w:marBottom w:val="0"/>
      <w:divBdr>
        <w:top w:val="none" w:sz="0" w:space="0" w:color="auto"/>
        <w:left w:val="none" w:sz="0" w:space="0" w:color="auto"/>
        <w:bottom w:val="none" w:sz="0" w:space="0" w:color="auto"/>
        <w:right w:val="none" w:sz="0" w:space="0" w:color="auto"/>
      </w:divBdr>
    </w:div>
    <w:div w:id="880284510">
      <w:bodyDiv w:val="1"/>
      <w:marLeft w:val="0"/>
      <w:marRight w:val="0"/>
      <w:marTop w:val="0"/>
      <w:marBottom w:val="0"/>
      <w:divBdr>
        <w:top w:val="none" w:sz="0" w:space="0" w:color="auto"/>
        <w:left w:val="none" w:sz="0" w:space="0" w:color="auto"/>
        <w:bottom w:val="none" w:sz="0" w:space="0" w:color="auto"/>
        <w:right w:val="none" w:sz="0" w:space="0" w:color="auto"/>
      </w:divBdr>
    </w:div>
    <w:div w:id="886647079">
      <w:bodyDiv w:val="1"/>
      <w:marLeft w:val="0"/>
      <w:marRight w:val="0"/>
      <w:marTop w:val="0"/>
      <w:marBottom w:val="0"/>
      <w:divBdr>
        <w:top w:val="none" w:sz="0" w:space="0" w:color="auto"/>
        <w:left w:val="none" w:sz="0" w:space="0" w:color="auto"/>
        <w:bottom w:val="none" w:sz="0" w:space="0" w:color="auto"/>
        <w:right w:val="none" w:sz="0" w:space="0" w:color="auto"/>
      </w:divBdr>
    </w:div>
    <w:div w:id="891619815">
      <w:bodyDiv w:val="1"/>
      <w:marLeft w:val="0"/>
      <w:marRight w:val="0"/>
      <w:marTop w:val="0"/>
      <w:marBottom w:val="0"/>
      <w:divBdr>
        <w:top w:val="none" w:sz="0" w:space="0" w:color="auto"/>
        <w:left w:val="none" w:sz="0" w:space="0" w:color="auto"/>
        <w:bottom w:val="none" w:sz="0" w:space="0" w:color="auto"/>
        <w:right w:val="none" w:sz="0" w:space="0" w:color="auto"/>
      </w:divBdr>
    </w:div>
    <w:div w:id="899903041">
      <w:bodyDiv w:val="1"/>
      <w:marLeft w:val="0"/>
      <w:marRight w:val="0"/>
      <w:marTop w:val="0"/>
      <w:marBottom w:val="0"/>
      <w:divBdr>
        <w:top w:val="none" w:sz="0" w:space="0" w:color="auto"/>
        <w:left w:val="none" w:sz="0" w:space="0" w:color="auto"/>
        <w:bottom w:val="none" w:sz="0" w:space="0" w:color="auto"/>
        <w:right w:val="none" w:sz="0" w:space="0" w:color="auto"/>
      </w:divBdr>
    </w:div>
    <w:div w:id="903637775">
      <w:bodyDiv w:val="1"/>
      <w:marLeft w:val="0"/>
      <w:marRight w:val="0"/>
      <w:marTop w:val="0"/>
      <w:marBottom w:val="0"/>
      <w:divBdr>
        <w:top w:val="none" w:sz="0" w:space="0" w:color="auto"/>
        <w:left w:val="none" w:sz="0" w:space="0" w:color="auto"/>
        <w:bottom w:val="none" w:sz="0" w:space="0" w:color="auto"/>
        <w:right w:val="none" w:sz="0" w:space="0" w:color="auto"/>
      </w:divBdr>
    </w:div>
    <w:div w:id="913861436">
      <w:bodyDiv w:val="1"/>
      <w:marLeft w:val="0"/>
      <w:marRight w:val="0"/>
      <w:marTop w:val="0"/>
      <w:marBottom w:val="0"/>
      <w:divBdr>
        <w:top w:val="none" w:sz="0" w:space="0" w:color="auto"/>
        <w:left w:val="none" w:sz="0" w:space="0" w:color="auto"/>
        <w:bottom w:val="none" w:sz="0" w:space="0" w:color="auto"/>
        <w:right w:val="none" w:sz="0" w:space="0" w:color="auto"/>
      </w:divBdr>
    </w:div>
    <w:div w:id="916943615">
      <w:bodyDiv w:val="1"/>
      <w:marLeft w:val="0"/>
      <w:marRight w:val="0"/>
      <w:marTop w:val="0"/>
      <w:marBottom w:val="0"/>
      <w:divBdr>
        <w:top w:val="none" w:sz="0" w:space="0" w:color="auto"/>
        <w:left w:val="none" w:sz="0" w:space="0" w:color="auto"/>
        <w:bottom w:val="none" w:sz="0" w:space="0" w:color="auto"/>
        <w:right w:val="none" w:sz="0" w:space="0" w:color="auto"/>
      </w:divBdr>
    </w:div>
    <w:div w:id="926963850">
      <w:bodyDiv w:val="1"/>
      <w:marLeft w:val="0"/>
      <w:marRight w:val="0"/>
      <w:marTop w:val="0"/>
      <w:marBottom w:val="0"/>
      <w:divBdr>
        <w:top w:val="none" w:sz="0" w:space="0" w:color="auto"/>
        <w:left w:val="none" w:sz="0" w:space="0" w:color="auto"/>
        <w:bottom w:val="none" w:sz="0" w:space="0" w:color="auto"/>
        <w:right w:val="none" w:sz="0" w:space="0" w:color="auto"/>
      </w:divBdr>
    </w:div>
    <w:div w:id="932126532">
      <w:bodyDiv w:val="1"/>
      <w:marLeft w:val="0"/>
      <w:marRight w:val="0"/>
      <w:marTop w:val="0"/>
      <w:marBottom w:val="0"/>
      <w:divBdr>
        <w:top w:val="none" w:sz="0" w:space="0" w:color="auto"/>
        <w:left w:val="none" w:sz="0" w:space="0" w:color="auto"/>
        <w:bottom w:val="none" w:sz="0" w:space="0" w:color="auto"/>
        <w:right w:val="none" w:sz="0" w:space="0" w:color="auto"/>
      </w:divBdr>
      <w:divsChild>
        <w:div w:id="494612715">
          <w:marLeft w:val="547"/>
          <w:marRight w:val="0"/>
          <w:marTop w:val="0"/>
          <w:marBottom w:val="0"/>
          <w:divBdr>
            <w:top w:val="none" w:sz="0" w:space="0" w:color="auto"/>
            <w:left w:val="none" w:sz="0" w:space="0" w:color="auto"/>
            <w:bottom w:val="none" w:sz="0" w:space="0" w:color="auto"/>
            <w:right w:val="none" w:sz="0" w:space="0" w:color="auto"/>
          </w:divBdr>
        </w:div>
      </w:divsChild>
    </w:div>
    <w:div w:id="941184244">
      <w:bodyDiv w:val="1"/>
      <w:marLeft w:val="0"/>
      <w:marRight w:val="0"/>
      <w:marTop w:val="0"/>
      <w:marBottom w:val="0"/>
      <w:divBdr>
        <w:top w:val="none" w:sz="0" w:space="0" w:color="auto"/>
        <w:left w:val="none" w:sz="0" w:space="0" w:color="auto"/>
        <w:bottom w:val="none" w:sz="0" w:space="0" w:color="auto"/>
        <w:right w:val="none" w:sz="0" w:space="0" w:color="auto"/>
      </w:divBdr>
    </w:div>
    <w:div w:id="970869442">
      <w:bodyDiv w:val="1"/>
      <w:marLeft w:val="0"/>
      <w:marRight w:val="0"/>
      <w:marTop w:val="0"/>
      <w:marBottom w:val="0"/>
      <w:divBdr>
        <w:top w:val="none" w:sz="0" w:space="0" w:color="auto"/>
        <w:left w:val="none" w:sz="0" w:space="0" w:color="auto"/>
        <w:bottom w:val="none" w:sz="0" w:space="0" w:color="auto"/>
        <w:right w:val="none" w:sz="0" w:space="0" w:color="auto"/>
      </w:divBdr>
    </w:div>
    <w:div w:id="995760758">
      <w:bodyDiv w:val="1"/>
      <w:marLeft w:val="0"/>
      <w:marRight w:val="0"/>
      <w:marTop w:val="0"/>
      <w:marBottom w:val="0"/>
      <w:divBdr>
        <w:top w:val="none" w:sz="0" w:space="0" w:color="auto"/>
        <w:left w:val="none" w:sz="0" w:space="0" w:color="auto"/>
        <w:bottom w:val="none" w:sz="0" w:space="0" w:color="auto"/>
        <w:right w:val="none" w:sz="0" w:space="0" w:color="auto"/>
      </w:divBdr>
    </w:div>
    <w:div w:id="1039821059">
      <w:bodyDiv w:val="1"/>
      <w:marLeft w:val="0"/>
      <w:marRight w:val="0"/>
      <w:marTop w:val="0"/>
      <w:marBottom w:val="0"/>
      <w:divBdr>
        <w:top w:val="none" w:sz="0" w:space="0" w:color="auto"/>
        <w:left w:val="none" w:sz="0" w:space="0" w:color="auto"/>
        <w:bottom w:val="none" w:sz="0" w:space="0" w:color="auto"/>
        <w:right w:val="none" w:sz="0" w:space="0" w:color="auto"/>
      </w:divBdr>
    </w:div>
    <w:div w:id="1058363101">
      <w:bodyDiv w:val="1"/>
      <w:marLeft w:val="0"/>
      <w:marRight w:val="0"/>
      <w:marTop w:val="0"/>
      <w:marBottom w:val="0"/>
      <w:divBdr>
        <w:top w:val="none" w:sz="0" w:space="0" w:color="auto"/>
        <w:left w:val="none" w:sz="0" w:space="0" w:color="auto"/>
        <w:bottom w:val="none" w:sz="0" w:space="0" w:color="auto"/>
        <w:right w:val="none" w:sz="0" w:space="0" w:color="auto"/>
      </w:divBdr>
    </w:div>
    <w:div w:id="1077479277">
      <w:bodyDiv w:val="1"/>
      <w:marLeft w:val="0"/>
      <w:marRight w:val="0"/>
      <w:marTop w:val="0"/>
      <w:marBottom w:val="0"/>
      <w:divBdr>
        <w:top w:val="none" w:sz="0" w:space="0" w:color="auto"/>
        <w:left w:val="none" w:sz="0" w:space="0" w:color="auto"/>
        <w:bottom w:val="none" w:sz="0" w:space="0" w:color="auto"/>
        <w:right w:val="none" w:sz="0" w:space="0" w:color="auto"/>
      </w:divBdr>
    </w:div>
    <w:div w:id="1107772180">
      <w:bodyDiv w:val="1"/>
      <w:marLeft w:val="0"/>
      <w:marRight w:val="0"/>
      <w:marTop w:val="0"/>
      <w:marBottom w:val="0"/>
      <w:divBdr>
        <w:top w:val="none" w:sz="0" w:space="0" w:color="auto"/>
        <w:left w:val="none" w:sz="0" w:space="0" w:color="auto"/>
        <w:bottom w:val="none" w:sz="0" w:space="0" w:color="auto"/>
        <w:right w:val="none" w:sz="0" w:space="0" w:color="auto"/>
      </w:divBdr>
    </w:div>
    <w:div w:id="1112940901">
      <w:bodyDiv w:val="1"/>
      <w:marLeft w:val="0"/>
      <w:marRight w:val="0"/>
      <w:marTop w:val="0"/>
      <w:marBottom w:val="0"/>
      <w:divBdr>
        <w:top w:val="none" w:sz="0" w:space="0" w:color="auto"/>
        <w:left w:val="none" w:sz="0" w:space="0" w:color="auto"/>
        <w:bottom w:val="none" w:sz="0" w:space="0" w:color="auto"/>
        <w:right w:val="none" w:sz="0" w:space="0" w:color="auto"/>
      </w:divBdr>
      <w:divsChild>
        <w:div w:id="2058166793">
          <w:marLeft w:val="547"/>
          <w:marRight w:val="0"/>
          <w:marTop w:val="0"/>
          <w:marBottom w:val="0"/>
          <w:divBdr>
            <w:top w:val="none" w:sz="0" w:space="0" w:color="auto"/>
            <w:left w:val="none" w:sz="0" w:space="0" w:color="auto"/>
            <w:bottom w:val="none" w:sz="0" w:space="0" w:color="auto"/>
            <w:right w:val="none" w:sz="0" w:space="0" w:color="auto"/>
          </w:divBdr>
        </w:div>
      </w:divsChild>
    </w:div>
    <w:div w:id="1121264784">
      <w:bodyDiv w:val="1"/>
      <w:marLeft w:val="0"/>
      <w:marRight w:val="0"/>
      <w:marTop w:val="0"/>
      <w:marBottom w:val="0"/>
      <w:divBdr>
        <w:top w:val="none" w:sz="0" w:space="0" w:color="auto"/>
        <w:left w:val="none" w:sz="0" w:space="0" w:color="auto"/>
        <w:bottom w:val="none" w:sz="0" w:space="0" w:color="auto"/>
        <w:right w:val="none" w:sz="0" w:space="0" w:color="auto"/>
      </w:divBdr>
    </w:div>
    <w:div w:id="1157309443">
      <w:bodyDiv w:val="1"/>
      <w:marLeft w:val="0"/>
      <w:marRight w:val="0"/>
      <w:marTop w:val="0"/>
      <w:marBottom w:val="0"/>
      <w:divBdr>
        <w:top w:val="none" w:sz="0" w:space="0" w:color="auto"/>
        <w:left w:val="none" w:sz="0" w:space="0" w:color="auto"/>
        <w:bottom w:val="none" w:sz="0" w:space="0" w:color="auto"/>
        <w:right w:val="none" w:sz="0" w:space="0" w:color="auto"/>
      </w:divBdr>
    </w:div>
    <w:div w:id="1168255891">
      <w:bodyDiv w:val="1"/>
      <w:marLeft w:val="0"/>
      <w:marRight w:val="0"/>
      <w:marTop w:val="0"/>
      <w:marBottom w:val="0"/>
      <w:divBdr>
        <w:top w:val="none" w:sz="0" w:space="0" w:color="auto"/>
        <w:left w:val="none" w:sz="0" w:space="0" w:color="auto"/>
        <w:bottom w:val="none" w:sz="0" w:space="0" w:color="auto"/>
        <w:right w:val="none" w:sz="0" w:space="0" w:color="auto"/>
      </w:divBdr>
    </w:div>
    <w:div w:id="1169297606">
      <w:bodyDiv w:val="1"/>
      <w:marLeft w:val="0"/>
      <w:marRight w:val="0"/>
      <w:marTop w:val="0"/>
      <w:marBottom w:val="0"/>
      <w:divBdr>
        <w:top w:val="none" w:sz="0" w:space="0" w:color="auto"/>
        <w:left w:val="none" w:sz="0" w:space="0" w:color="auto"/>
        <w:bottom w:val="none" w:sz="0" w:space="0" w:color="auto"/>
        <w:right w:val="none" w:sz="0" w:space="0" w:color="auto"/>
      </w:divBdr>
    </w:div>
    <w:div w:id="1214731269">
      <w:bodyDiv w:val="1"/>
      <w:marLeft w:val="0"/>
      <w:marRight w:val="0"/>
      <w:marTop w:val="0"/>
      <w:marBottom w:val="0"/>
      <w:divBdr>
        <w:top w:val="none" w:sz="0" w:space="0" w:color="auto"/>
        <w:left w:val="none" w:sz="0" w:space="0" w:color="auto"/>
        <w:bottom w:val="none" w:sz="0" w:space="0" w:color="auto"/>
        <w:right w:val="none" w:sz="0" w:space="0" w:color="auto"/>
      </w:divBdr>
    </w:div>
    <w:div w:id="1218122917">
      <w:bodyDiv w:val="1"/>
      <w:marLeft w:val="0"/>
      <w:marRight w:val="0"/>
      <w:marTop w:val="0"/>
      <w:marBottom w:val="0"/>
      <w:divBdr>
        <w:top w:val="none" w:sz="0" w:space="0" w:color="auto"/>
        <w:left w:val="none" w:sz="0" w:space="0" w:color="auto"/>
        <w:bottom w:val="none" w:sz="0" w:space="0" w:color="auto"/>
        <w:right w:val="none" w:sz="0" w:space="0" w:color="auto"/>
      </w:divBdr>
    </w:div>
    <w:div w:id="1218711150">
      <w:bodyDiv w:val="1"/>
      <w:marLeft w:val="0"/>
      <w:marRight w:val="0"/>
      <w:marTop w:val="0"/>
      <w:marBottom w:val="0"/>
      <w:divBdr>
        <w:top w:val="none" w:sz="0" w:space="0" w:color="auto"/>
        <w:left w:val="none" w:sz="0" w:space="0" w:color="auto"/>
        <w:bottom w:val="none" w:sz="0" w:space="0" w:color="auto"/>
        <w:right w:val="none" w:sz="0" w:space="0" w:color="auto"/>
      </w:divBdr>
    </w:div>
    <w:div w:id="1242642132">
      <w:bodyDiv w:val="1"/>
      <w:marLeft w:val="0"/>
      <w:marRight w:val="0"/>
      <w:marTop w:val="0"/>
      <w:marBottom w:val="0"/>
      <w:divBdr>
        <w:top w:val="none" w:sz="0" w:space="0" w:color="auto"/>
        <w:left w:val="none" w:sz="0" w:space="0" w:color="auto"/>
        <w:bottom w:val="none" w:sz="0" w:space="0" w:color="auto"/>
        <w:right w:val="none" w:sz="0" w:space="0" w:color="auto"/>
      </w:divBdr>
    </w:div>
    <w:div w:id="1305965780">
      <w:bodyDiv w:val="1"/>
      <w:marLeft w:val="0"/>
      <w:marRight w:val="0"/>
      <w:marTop w:val="0"/>
      <w:marBottom w:val="0"/>
      <w:divBdr>
        <w:top w:val="none" w:sz="0" w:space="0" w:color="auto"/>
        <w:left w:val="none" w:sz="0" w:space="0" w:color="auto"/>
        <w:bottom w:val="none" w:sz="0" w:space="0" w:color="auto"/>
        <w:right w:val="none" w:sz="0" w:space="0" w:color="auto"/>
      </w:divBdr>
    </w:div>
    <w:div w:id="1318847791">
      <w:bodyDiv w:val="1"/>
      <w:marLeft w:val="0"/>
      <w:marRight w:val="0"/>
      <w:marTop w:val="0"/>
      <w:marBottom w:val="0"/>
      <w:divBdr>
        <w:top w:val="none" w:sz="0" w:space="0" w:color="auto"/>
        <w:left w:val="none" w:sz="0" w:space="0" w:color="auto"/>
        <w:bottom w:val="none" w:sz="0" w:space="0" w:color="auto"/>
        <w:right w:val="none" w:sz="0" w:space="0" w:color="auto"/>
      </w:divBdr>
    </w:div>
    <w:div w:id="1330328187">
      <w:bodyDiv w:val="1"/>
      <w:marLeft w:val="0"/>
      <w:marRight w:val="0"/>
      <w:marTop w:val="0"/>
      <w:marBottom w:val="0"/>
      <w:divBdr>
        <w:top w:val="none" w:sz="0" w:space="0" w:color="auto"/>
        <w:left w:val="none" w:sz="0" w:space="0" w:color="auto"/>
        <w:bottom w:val="none" w:sz="0" w:space="0" w:color="auto"/>
        <w:right w:val="none" w:sz="0" w:space="0" w:color="auto"/>
      </w:divBdr>
    </w:div>
    <w:div w:id="1365404980">
      <w:bodyDiv w:val="1"/>
      <w:marLeft w:val="0"/>
      <w:marRight w:val="0"/>
      <w:marTop w:val="0"/>
      <w:marBottom w:val="0"/>
      <w:divBdr>
        <w:top w:val="none" w:sz="0" w:space="0" w:color="auto"/>
        <w:left w:val="none" w:sz="0" w:space="0" w:color="auto"/>
        <w:bottom w:val="none" w:sz="0" w:space="0" w:color="auto"/>
        <w:right w:val="none" w:sz="0" w:space="0" w:color="auto"/>
      </w:divBdr>
    </w:div>
    <w:div w:id="1376538359">
      <w:bodyDiv w:val="1"/>
      <w:marLeft w:val="0"/>
      <w:marRight w:val="0"/>
      <w:marTop w:val="0"/>
      <w:marBottom w:val="0"/>
      <w:divBdr>
        <w:top w:val="none" w:sz="0" w:space="0" w:color="auto"/>
        <w:left w:val="none" w:sz="0" w:space="0" w:color="auto"/>
        <w:bottom w:val="none" w:sz="0" w:space="0" w:color="auto"/>
        <w:right w:val="none" w:sz="0" w:space="0" w:color="auto"/>
      </w:divBdr>
    </w:div>
    <w:div w:id="1443115405">
      <w:bodyDiv w:val="1"/>
      <w:marLeft w:val="0"/>
      <w:marRight w:val="0"/>
      <w:marTop w:val="0"/>
      <w:marBottom w:val="0"/>
      <w:divBdr>
        <w:top w:val="none" w:sz="0" w:space="0" w:color="auto"/>
        <w:left w:val="none" w:sz="0" w:space="0" w:color="auto"/>
        <w:bottom w:val="none" w:sz="0" w:space="0" w:color="auto"/>
        <w:right w:val="none" w:sz="0" w:space="0" w:color="auto"/>
      </w:divBdr>
    </w:div>
    <w:div w:id="1474711473">
      <w:bodyDiv w:val="1"/>
      <w:marLeft w:val="0"/>
      <w:marRight w:val="0"/>
      <w:marTop w:val="0"/>
      <w:marBottom w:val="0"/>
      <w:divBdr>
        <w:top w:val="none" w:sz="0" w:space="0" w:color="auto"/>
        <w:left w:val="none" w:sz="0" w:space="0" w:color="auto"/>
        <w:bottom w:val="none" w:sz="0" w:space="0" w:color="auto"/>
        <w:right w:val="none" w:sz="0" w:space="0" w:color="auto"/>
      </w:divBdr>
    </w:div>
    <w:div w:id="1495611412">
      <w:bodyDiv w:val="1"/>
      <w:marLeft w:val="0"/>
      <w:marRight w:val="0"/>
      <w:marTop w:val="0"/>
      <w:marBottom w:val="0"/>
      <w:divBdr>
        <w:top w:val="none" w:sz="0" w:space="0" w:color="auto"/>
        <w:left w:val="none" w:sz="0" w:space="0" w:color="auto"/>
        <w:bottom w:val="none" w:sz="0" w:space="0" w:color="auto"/>
        <w:right w:val="none" w:sz="0" w:space="0" w:color="auto"/>
      </w:divBdr>
    </w:div>
    <w:div w:id="1514808374">
      <w:bodyDiv w:val="1"/>
      <w:marLeft w:val="0"/>
      <w:marRight w:val="0"/>
      <w:marTop w:val="0"/>
      <w:marBottom w:val="0"/>
      <w:divBdr>
        <w:top w:val="none" w:sz="0" w:space="0" w:color="auto"/>
        <w:left w:val="none" w:sz="0" w:space="0" w:color="auto"/>
        <w:bottom w:val="none" w:sz="0" w:space="0" w:color="auto"/>
        <w:right w:val="none" w:sz="0" w:space="0" w:color="auto"/>
      </w:divBdr>
    </w:div>
    <w:div w:id="1525553747">
      <w:bodyDiv w:val="1"/>
      <w:marLeft w:val="0"/>
      <w:marRight w:val="0"/>
      <w:marTop w:val="0"/>
      <w:marBottom w:val="0"/>
      <w:divBdr>
        <w:top w:val="none" w:sz="0" w:space="0" w:color="auto"/>
        <w:left w:val="none" w:sz="0" w:space="0" w:color="auto"/>
        <w:bottom w:val="none" w:sz="0" w:space="0" w:color="auto"/>
        <w:right w:val="none" w:sz="0" w:space="0" w:color="auto"/>
      </w:divBdr>
    </w:div>
    <w:div w:id="1545408174">
      <w:bodyDiv w:val="1"/>
      <w:marLeft w:val="0"/>
      <w:marRight w:val="0"/>
      <w:marTop w:val="0"/>
      <w:marBottom w:val="0"/>
      <w:divBdr>
        <w:top w:val="none" w:sz="0" w:space="0" w:color="auto"/>
        <w:left w:val="none" w:sz="0" w:space="0" w:color="auto"/>
        <w:bottom w:val="none" w:sz="0" w:space="0" w:color="auto"/>
        <w:right w:val="none" w:sz="0" w:space="0" w:color="auto"/>
      </w:divBdr>
    </w:div>
    <w:div w:id="1578128859">
      <w:bodyDiv w:val="1"/>
      <w:marLeft w:val="0"/>
      <w:marRight w:val="0"/>
      <w:marTop w:val="0"/>
      <w:marBottom w:val="0"/>
      <w:divBdr>
        <w:top w:val="none" w:sz="0" w:space="0" w:color="auto"/>
        <w:left w:val="none" w:sz="0" w:space="0" w:color="auto"/>
        <w:bottom w:val="none" w:sz="0" w:space="0" w:color="auto"/>
        <w:right w:val="none" w:sz="0" w:space="0" w:color="auto"/>
      </w:divBdr>
    </w:div>
    <w:div w:id="1591115220">
      <w:bodyDiv w:val="1"/>
      <w:marLeft w:val="0"/>
      <w:marRight w:val="0"/>
      <w:marTop w:val="0"/>
      <w:marBottom w:val="0"/>
      <w:divBdr>
        <w:top w:val="none" w:sz="0" w:space="0" w:color="auto"/>
        <w:left w:val="none" w:sz="0" w:space="0" w:color="auto"/>
        <w:bottom w:val="none" w:sz="0" w:space="0" w:color="auto"/>
        <w:right w:val="none" w:sz="0" w:space="0" w:color="auto"/>
      </w:divBdr>
    </w:div>
    <w:div w:id="1616280455">
      <w:bodyDiv w:val="1"/>
      <w:marLeft w:val="0"/>
      <w:marRight w:val="0"/>
      <w:marTop w:val="0"/>
      <w:marBottom w:val="0"/>
      <w:divBdr>
        <w:top w:val="none" w:sz="0" w:space="0" w:color="auto"/>
        <w:left w:val="none" w:sz="0" w:space="0" w:color="auto"/>
        <w:bottom w:val="none" w:sz="0" w:space="0" w:color="auto"/>
        <w:right w:val="none" w:sz="0" w:space="0" w:color="auto"/>
      </w:divBdr>
    </w:div>
    <w:div w:id="1623685785">
      <w:bodyDiv w:val="1"/>
      <w:marLeft w:val="0"/>
      <w:marRight w:val="0"/>
      <w:marTop w:val="0"/>
      <w:marBottom w:val="0"/>
      <w:divBdr>
        <w:top w:val="none" w:sz="0" w:space="0" w:color="auto"/>
        <w:left w:val="none" w:sz="0" w:space="0" w:color="auto"/>
        <w:bottom w:val="none" w:sz="0" w:space="0" w:color="auto"/>
        <w:right w:val="none" w:sz="0" w:space="0" w:color="auto"/>
      </w:divBdr>
    </w:div>
    <w:div w:id="1662537390">
      <w:bodyDiv w:val="1"/>
      <w:marLeft w:val="0"/>
      <w:marRight w:val="0"/>
      <w:marTop w:val="0"/>
      <w:marBottom w:val="0"/>
      <w:divBdr>
        <w:top w:val="none" w:sz="0" w:space="0" w:color="auto"/>
        <w:left w:val="none" w:sz="0" w:space="0" w:color="auto"/>
        <w:bottom w:val="none" w:sz="0" w:space="0" w:color="auto"/>
        <w:right w:val="none" w:sz="0" w:space="0" w:color="auto"/>
      </w:divBdr>
    </w:div>
    <w:div w:id="1667978598">
      <w:bodyDiv w:val="1"/>
      <w:marLeft w:val="0"/>
      <w:marRight w:val="0"/>
      <w:marTop w:val="0"/>
      <w:marBottom w:val="0"/>
      <w:divBdr>
        <w:top w:val="none" w:sz="0" w:space="0" w:color="auto"/>
        <w:left w:val="none" w:sz="0" w:space="0" w:color="auto"/>
        <w:bottom w:val="none" w:sz="0" w:space="0" w:color="auto"/>
        <w:right w:val="none" w:sz="0" w:space="0" w:color="auto"/>
      </w:divBdr>
    </w:div>
    <w:div w:id="1668512758">
      <w:bodyDiv w:val="1"/>
      <w:marLeft w:val="0"/>
      <w:marRight w:val="0"/>
      <w:marTop w:val="0"/>
      <w:marBottom w:val="0"/>
      <w:divBdr>
        <w:top w:val="none" w:sz="0" w:space="0" w:color="auto"/>
        <w:left w:val="none" w:sz="0" w:space="0" w:color="auto"/>
        <w:bottom w:val="none" w:sz="0" w:space="0" w:color="auto"/>
        <w:right w:val="none" w:sz="0" w:space="0" w:color="auto"/>
      </w:divBdr>
      <w:divsChild>
        <w:div w:id="662706844">
          <w:marLeft w:val="0"/>
          <w:marRight w:val="0"/>
          <w:marTop w:val="0"/>
          <w:marBottom w:val="0"/>
          <w:divBdr>
            <w:top w:val="none" w:sz="0" w:space="0" w:color="auto"/>
            <w:left w:val="none" w:sz="0" w:space="0" w:color="auto"/>
            <w:bottom w:val="none" w:sz="0" w:space="0" w:color="auto"/>
            <w:right w:val="none" w:sz="0" w:space="0" w:color="auto"/>
          </w:divBdr>
        </w:div>
      </w:divsChild>
    </w:div>
    <w:div w:id="1693416325">
      <w:bodyDiv w:val="1"/>
      <w:marLeft w:val="0"/>
      <w:marRight w:val="0"/>
      <w:marTop w:val="0"/>
      <w:marBottom w:val="0"/>
      <w:divBdr>
        <w:top w:val="none" w:sz="0" w:space="0" w:color="auto"/>
        <w:left w:val="none" w:sz="0" w:space="0" w:color="auto"/>
        <w:bottom w:val="none" w:sz="0" w:space="0" w:color="auto"/>
        <w:right w:val="none" w:sz="0" w:space="0" w:color="auto"/>
      </w:divBdr>
    </w:div>
    <w:div w:id="1698190339">
      <w:bodyDiv w:val="1"/>
      <w:marLeft w:val="0"/>
      <w:marRight w:val="0"/>
      <w:marTop w:val="0"/>
      <w:marBottom w:val="0"/>
      <w:divBdr>
        <w:top w:val="none" w:sz="0" w:space="0" w:color="auto"/>
        <w:left w:val="none" w:sz="0" w:space="0" w:color="auto"/>
        <w:bottom w:val="none" w:sz="0" w:space="0" w:color="auto"/>
        <w:right w:val="none" w:sz="0" w:space="0" w:color="auto"/>
      </w:divBdr>
    </w:div>
    <w:div w:id="1707676555">
      <w:bodyDiv w:val="1"/>
      <w:marLeft w:val="0"/>
      <w:marRight w:val="0"/>
      <w:marTop w:val="0"/>
      <w:marBottom w:val="0"/>
      <w:divBdr>
        <w:top w:val="none" w:sz="0" w:space="0" w:color="auto"/>
        <w:left w:val="none" w:sz="0" w:space="0" w:color="auto"/>
        <w:bottom w:val="none" w:sz="0" w:space="0" w:color="auto"/>
        <w:right w:val="none" w:sz="0" w:space="0" w:color="auto"/>
      </w:divBdr>
    </w:div>
    <w:div w:id="1777868911">
      <w:bodyDiv w:val="1"/>
      <w:marLeft w:val="0"/>
      <w:marRight w:val="0"/>
      <w:marTop w:val="0"/>
      <w:marBottom w:val="0"/>
      <w:divBdr>
        <w:top w:val="none" w:sz="0" w:space="0" w:color="auto"/>
        <w:left w:val="none" w:sz="0" w:space="0" w:color="auto"/>
        <w:bottom w:val="none" w:sz="0" w:space="0" w:color="auto"/>
        <w:right w:val="none" w:sz="0" w:space="0" w:color="auto"/>
      </w:divBdr>
    </w:div>
    <w:div w:id="1779524304">
      <w:bodyDiv w:val="1"/>
      <w:marLeft w:val="0"/>
      <w:marRight w:val="0"/>
      <w:marTop w:val="0"/>
      <w:marBottom w:val="0"/>
      <w:divBdr>
        <w:top w:val="none" w:sz="0" w:space="0" w:color="auto"/>
        <w:left w:val="none" w:sz="0" w:space="0" w:color="auto"/>
        <w:bottom w:val="none" w:sz="0" w:space="0" w:color="auto"/>
        <w:right w:val="none" w:sz="0" w:space="0" w:color="auto"/>
      </w:divBdr>
    </w:div>
    <w:div w:id="1790195615">
      <w:bodyDiv w:val="1"/>
      <w:marLeft w:val="0"/>
      <w:marRight w:val="0"/>
      <w:marTop w:val="0"/>
      <w:marBottom w:val="0"/>
      <w:divBdr>
        <w:top w:val="none" w:sz="0" w:space="0" w:color="auto"/>
        <w:left w:val="none" w:sz="0" w:space="0" w:color="auto"/>
        <w:bottom w:val="none" w:sz="0" w:space="0" w:color="auto"/>
        <w:right w:val="none" w:sz="0" w:space="0" w:color="auto"/>
      </w:divBdr>
    </w:div>
    <w:div w:id="1811632632">
      <w:bodyDiv w:val="1"/>
      <w:marLeft w:val="0"/>
      <w:marRight w:val="0"/>
      <w:marTop w:val="0"/>
      <w:marBottom w:val="0"/>
      <w:divBdr>
        <w:top w:val="none" w:sz="0" w:space="0" w:color="auto"/>
        <w:left w:val="none" w:sz="0" w:space="0" w:color="auto"/>
        <w:bottom w:val="none" w:sz="0" w:space="0" w:color="auto"/>
        <w:right w:val="none" w:sz="0" w:space="0" w:color="auto"/>
      </w:divBdr>
    </w:div>
    <w:div w:id="1817794738">
      <w:bodyDiv w:val="1"/>
      <w:marLeft w:val="0"/>
      <w:marRight w:val="0"/>
      <w:marTop w:val="0"/>
      <w:marBottom w:val="0"/>
      <w:divBdr>
        <w:top w:val="none" w:sz="0" w:space="0" w:color="auto"/>
        <w:left w:val="none" w:sz="0" w:space="0" w:color="auto"/>
        <w:bottom w:val="none" w:sz="0" w:space="0" w:color="auto"/>
        <w:right w:val="none" w:sz="0" w:space="0" w:color="auto"/>
      </w:divBdr>
    </w:div>
    <w:div w:id="1856725583">
      <w:bodyDiv w:val="1"/>
      <w:marLeft w:val="0"/>
      <w:marRight w:val="0"/>
      <w:marTop w:val="0"/>
      <w:marBottom w:val="0"/>
      <w:divBdr>
        <w:top w:val="none" w:sz="0" w:space="0" w:color="auto"/>
        <w:left w:val="none" w:sz="0" w:space="0" w:color="auto"/>
        <w:bottom w:val="none" w:sz="0" w:space="0" w:color="auto"/>
        <w:right w:val="none" w:sz="0" w:space="0" w:color="auto"/>
      </w:divBdr>
    </w:div>
    <w:div w:id="1858495121">
      <w:bodyDiv w:val="1"/>
      <w:marLeft w:val="0"/>
      <w:marRight w:val="0"/>
      <w:marTop w:val="0"/>
      <w:marBottom w:val="0"/>
      <w:divBdr>
        <w:top w:val="none" w:sz="0" w:space="0" w:color="auto"/>
        <w:left w:val="none" w:sz="0" w:space="0" w:color="auto"/>
        <w:bottom w:val="none" w:sz="0" w:space="0" w:color="auto"/>
        <w:right w:val="none" w:sz="0" w:space="0" w:color="auto"/>
      </w:divBdr>
    </w:div>
    <w:div w:id="1879078592">
      <w:bodyDiv w:val="1"/>
      <w:marLeft w:val="0"/>
      <w:marRight w:val="0"/>
      <w:marTop w:val="0"/>
      <w:marBottom w:val="0"/>
      <w:divBdr>
        <w:top w:val="none" w:sz="0" w:space="0" w:color="auto"/>
        <w:left w:val="none" w:sz="0" w:space="0" w:color="auto"/>
        <w:bottom w:val="none" w:sz="0" w:space="0" w:color="auto"/>
        <w:right w:val="none" w:sz="0" w:space="0" w:color="auto"/>
      </w:divBdr>
    </w:div>
    <w:div w:id="1880821269">
      <w:bodyDiv w:val="1"/>
      <w:marLeft w:val="0"/>
      <w:marRight w:val="0"/>
      <w:marTop w:val="0"/>
      <w:marBottom w:val="0"/>
      <w:divBdr>
        <w:top w:val="none" w:sz="0" w:space="0" w:color="auto"/>
        <w:left w:val="none" w:sz="0" w:space="0" w:color="auto"/>
        <w:bottom w:val="none" w:sz="0" w:space="0" w:color="auto"/>
        <w:right w:val="none" w:sz="0" w:space="0" w:color="auto"/>
      </w:divBdr>
    </w:div>
    <w:div w:id="1896815612">
      <w:bodyDiv w:val="1"/>
      <w:marLeft w:val="0"/>
      <w:marRight w:val="0"/>
      <w:marTop w:val="0"/>
      <w:marBottom w:val="0"/>
      <w:divBdr>
        <w:top w:val="none" w:sz="0" w:space="0" w:color="auto"/>
        <w:left w:val="none" w:sz="0" w:space="0" w:color="auto"/>
        <w:bottom w:val="none" w:sz="0" w:space="0" w:color="auto"/>
        <w:right w:val="none" w:sz="0" w:space="0" w:color="auto"/>
      </w:divBdr>
    </w:div>
    <w:div w:id="1901674787">
      <w:bodyDiv w:val="1"/>
      <w:marLeft w:val="0"/>
      <w:marRight w:val="0"/>
      <w:marTop w:val="0"/>
      <w:marBottom w:val="0"/>
      <w:divBdr>
        <w:top w:val="none" w:sz="0" w:space="0" w:color="auto"/>
        <w:left w:val="none" w:sz="0" w:space="0" w:color="auto"/>
        <w:bottom w:val="none" w:sz="0" w:space="0" w:color="auto"/>
        <w:right w:val="none" w:sz="0" w:space="0" w:color="auto"/>
      </w:divBdr>
    </w:div>
    <w:div w:id="1902516007">
      <w:bodyDiv w:val="1"/>
      <w:marLeft w:val="0"/>
      <w:marRight w:val="0"/>
      <w:marTop w:val="0"/>
      <w:marBottom w:val="0"/>
      <w:divBdr>
        <w:top w:val="none" w:sz="0" w:space="0" w:color="auto"/>
        <w:left w:val="none" w:sz="0" w:space="0" w:color="auto"/>
        <w:bottom w:val="none" w:sz="0" w:space="0" w:color="auto"/>
        <w:right w:val="none" w:sz="0" w:space="0" w:color="auto"/>
      </w:divBdr>
    </w:div>
    <w:div w:id="1912154326">
      <w:bodyDiv w:val="1"/>
      <w:marLeft w:val="0"/>
      <w:marRight w:val="0"/>
      <w:marTop w:val="0"/>
      <w:marBottom w:val="0"/>
      <w:divBdr>
        <w:top w:val="none" w:sz="0" w:space="0" w:color="auto"/>
        <w:left w:val="none" w:sz="0" w:space="0" w:color="auto"/>
        <w:bottom w:val="none" w:sz="0" w:space="0" w:color="auto"/>
        <w:right w:val="none" w:sz="0" w:space="0" w:color="auto"/>
      </w:divBdr>
    </w:div>
    <w:div w:id="1920286450">
      <w:bodyDiv w:val="1"/>
      <w:marLeft w:val="0"/>
      <w:marRight w:val="0"/>
      <w:marTop w:val="0"/>
      <w:marBottom w:val="0"/>
      <w:divBdr>
        <w:top w:val="none" w:sz="0" w:space="0" w:color="auto"/>
        <w:left w:val="none" w:sz="0" w:space="0" w:color="auto"/>
        <w:bottom w:val="none" w:sz="0" w:space="0" w:color="auto"/>
        <w:right w:val="none" w:sz="0" w:space="0" w:color="auto"/>
      </w:divBdr>
    </w:div>
    <w:div w:id="1925256221">
      <w:bodyDiv w:val="1"/>
      <w:marLeft w:val="0"/>
      <w:marRight w:val="0"/>
      <w:marTop w:val="0"/>
      <w:marBottom w:val="0"/>
      <w:divBdr>
        <w:top w:val="none" w:sz="0" w:space="0" w:color="auto"/>
        <w:left w:val="none" w:sz="0" w:space="0" w:color="auto"/>
        <w:bottom w:val="none" w:sz="0" w:space="0" w:color="auto"/>
        <w:right w:val="none" w:sz="0" w:space="0" w:color="auto"/>
      </w:divBdr>
    </w:div>
    <w:div w:id="1928036199">
      <w:bodyDiv w:val="1"/>
      <w:marLeft w:val="0"/>
      <w:marRight w:val="0"/>
      <w:marTop w:val="0"/>
      <w:marBottom w:val="0"/>
      <w:divBdr>
        <w:top w:val="none" w:sz="0" w:space="0" w:color="auto"/>
        <w:left w:val="none" w:sz="0" w:space="0" w:color="auto"/>
        <w:bottom w:val="none" w:sz="0" w:space="0" w:color="auto"/>
        <w:right w:val="none" w:sz="0" w:space="0" w:color="auto"/>
      </w:divBdr>
    </w:div>
    <w:div w:id="1944651483">
      <w:bodyDiv w:val="1"/>
      <w:marLeft w:val="0"/>
      <w:marRight w:val="0"/>
      <w:marTop w:val="0"/>
      <w:marBottom w:val="0"/>
      <w:divBdr>
        <w:top w:val="none" w:sz="0" w:space="0" w:color="auto"/>
        <w:left w:val="none" w:sz="0" w:space="0" w:color="auto"/>
        <w:bottom w:val="none" w:sz="0" w:space="0" w:color="auto"/>
        <w:right w:val="none" w:sz="0" w:space="0" w:color="auto"/>
      </w:divBdr>
    </w:div>
    <w:div w:id="1974753435">
      <w:bodyDiv w:val="1"/>
      <w:marLeft w:val="0"/>
      <w:marRight w:val="0"/>
      <w:marTop w:val="0"/>
      <w:marBottom w:val="0"/>
      <w:divBdr>
        <w:top w:val="none" w:sz="0" w:space="0" w:color="auto"/>
        <w:left w:val="none" w:sz="0" w:space="0" w:color="auto"/>
        <w:bottom w:val="none" w:sz="0" w:space="0" w:color="auto"/>
        <w:right w:val="none" w:sz="0" w:space="0" w:color="auto"/>
      </w:divBdr>
    </w:div>
    <w:div w:id="1993632305">
      <w:bodyDiv w:val="1"/>
      <w:marLeft w:val="0"/>
      <w:marRight w:val="0"/>
      <w:marTop w:val="0"/>
      <w:marBottom w:val="0"/>
      <w:divBdr>
        <w:top w:val="none" w:sz="0" w:space="0" w:color="auto"/>
        <w:left w:val="none" w:sz="0" w:space="0" w:color="auto"/>
        <w:bottom w:val="none" w:sz="0" w:space="0" w:color="auto"/>
        <w:right w:val="none" w:sz="0" w:space="0" w:color="auto"/>
      </w:divBdr>
    </w:div>
    <w:div w:id="2001494638">
      <w:bodyDiv w:val="1"/>
      <w:marLeft w:val="0"/>
      <w:marRight w:val="0"/>
      <w:marTop w:val="0"/>
      <w:marBottom w:val="0"/>
      <w:divBdr>
        <w:top w:val="none" w:sz="0" w:space="0" w:color="auto"/>
        <w:left w:val="none" w:sz="0" w:space="0" w:color="auto"/>
        <w:bottom w:val="none" w:sz="0" w:space="0" w:color="auto"/>
        <w:right w:val="none" w:sz="0" w:space="0" w:color="auto"/>
      </w:divBdr>
    </w:div>
    <w:div w:id="2039236428">
      <w:bodyDiv w:val="1"/>
      <w:marLeft w:val="0"/>
      <w:marRight w:val="0"/>
      <w:marTop w:val="0"/>
      <w:marBottom w:val="0"/>
      <w:divBdr>
        <w:top w:val="none" w:sz="0" w:space="0" w:color="auto"/>
        <w:left w:val="none" w:sz="0" w:space="0" w:color="auto"/>
        <w:bottom w:val="none" w:sz="0" w:space="0" w:color="auto"/>
        <w:right w:val="none" w:sz="0" w:space="0" w:color="auto"/>
      </w:divBdr>
    </w:div>
    <w:div w:id="2046055969">
      <w:bodyDiv w:val="1"/>
      <w:marLeft w:val="0"/>
      <w:marRight w:val="0"/>
      <w:marTop w:val="0"/>
      <w:marBottom w:val="0"/>
      <w:divBdr>
        <w:top w:val="none" w:sz="0" w:space="0" w:color="auto"/>
        <w:left w:val="none" w:sz="0" w:space="0" w:color="auto"/>
        <w:bottom w:val="none" w:sz="0" w:space="0" w:color="auto"/>
        <w:right w:val="none" w:sz="0" w:space="0" w:color="auto"/>
      </w:divBdr>
    </w:div>
    <w:div w:id="2057849723">
      <w:bodyDiv w:val="1"/>
      <w:marLeft w:val="0"/>
      <w:marRight w:val="0"/>
      <w:marTop w:val="0"/>
      <w:marBottom w:val="0"/>
      <w:divBdr>
        <w:top w:val="none" w:sz="0" w:space="0" w:color="auto"/>
        <w:left w:val="none" w:sz="0" w:space="0" w:color="auto"/>
        <w:bottom w:val="none" w:sz="0" w:space="0" w:color="auto"/>
        <w:right w:val="none" w:sz="0" w:space="0" w:color="auto"/>
      </w:divBdr>
    </w:div>
    <w:div w:id="2075203054">
      <w:bodyDiv w:val="1"/>
      <w:marLeft w:val="0"/>
      <w:marRight w:val="0"/>
      <w:marTop w:val="0"/>
      <w:marBottom w:val="0"/>
      <w:divBdr>
        <w:top w:val="none" w:sz="0" w:space="0" w:color="auto"/>
        <w:left w:val="none" w:sz="0" w:space="0" w:color="auto"/>
        <w:bottom w:val="none" w:sz="0" w:space="0" w:color="auto"/>
        <w:right w:val="none" w:sz="0" w:space="0" w:color="auto"/>
      </w:divBdr>
    </w:div>
    <w:div w:id="2087417769">
      <w:bodyDiv w:val="1"/>
      <w:marLeft w:val="0"/>
      <w:marRight w:val="0"/>
      <w:marTop w:val="0"/>
      <w:marBottom w:val="0"/>
      <w:divBdr>
        <w:top w:val="none" w:sz="0" w:space="0" w:color="auto"/>
        <w:left w:val="none" w:sz="0" w:space="0" w:color="auto"/>
        <w:bottom w:val="none" w:sz="0" w:space="0" w:color="auto"/>
        <w:right w:val="none" w:sz="0" w:space="0" w:color="auto"/>
      </w:divBdr>
    </w:div>
    <w:div w:id="2101826372">
      <w:bodyDiv w:val="1"/>
      <w:marLeft w:val="0"/>
      <w:marRight w:val="0"/>
      <w:marTop w:val="0"/>
      <w:marBottom w:val="0"/>
      <w:divBdr>
        <w:top w:val="none" w:sz="0" w:space="0" w:color="auto"/>
        <w:left w:val="none" w:sz="0" w:space="0" w:color="auto"/>
        <w:bottom w:val="none" w:sz="0" w:space="0" w:color="auto"/>
        <w:right w:val="none" w:sz="0" w:space="0" w:color="auto"/>
      </w:divBdr>
    </w:div>
    <w:div w:id="2108115280">
      <w:bodyDiv w:val="1"/>
      <w:marLeft w:val="0"/>
      <w:marRight w:val="0"/>
      <w:marTop w:val="0"/>
      <w:marBottom w:val="0"/>
      <w:divBdr>
        <w:top w:val="none" w:sz="0" w:space="0" w:color="auto"/>
        <w:left w:val="none" w:sz="0" w:space="0" w:color="auto"/>
        <w:bottom w:val="none" w:sz="0" w:space="0" w:color="auto"/>
        <w:right w:val="none" w:sz="0" w:space="0" w:color="auto"/>
      </w:divBdr>
    </w:div>
    <w:div w:id="2114127169">
      <w:bodyDiv w:val="1"/>
      <w:marLeft w:val="0"/>
      <w:marRight w:val="0"/>
      <w:marTop w:val="0"/>
      <w:marBottom w:val="0"/>
      <w:divBdr>
        <w:top w:val="none" w:sz="0" w:space="0" w:color="auto"/>
        <w:left w:val="none" w:sz="0" w:space="0" w:color="auto"/>
        <w:bottom w:val="none" w:sz="0" w:space="0" w:color="auto"/>
        <w:right w:val="none" w:sz="0" w:space="0" w:color="auto"/>
      </w:divBdr>
    </w:div>
    <w:div w:id="2114398972">
      <w:bodyDiv w:val="1"/>
      <w:marLeft w:val="0"/>
      <w:marRight w:val="0"/>
      <w:marTop w:val="0"/>
      <w:marBottom w:val="0"/>
      <w:divBdr>
        <w:top w:val="none" w:sz="0" w:space="0" w:color="auto"/>
        <w:left w:val="none" w:sz="0" w:space="0" w:color="auto"/>
        <w:bottom w:val="none" w:sz="0" w:space="0" w:color="auto"/>
        <w:right w:val="none" w:sz="0" w:space="0" w:color="auto"/>
      </w:divBdr>
    </w:div>
    <w:div w:id="2121794312">
      <w:bodyDiv w:val="1"/>
      <w:marLeft w:val="0"/>
      <w:marRight w:val="0"/>
      <w:marTop w:val="0"/>
      <w:marBottom w:val="0"/>
      <w:divBdr>
        <w:top w:val="none" w:sz="0" w:space="0" w:color="auto"/>
        <w:left w:val="none" w:sz="0" w:space="0" w:color="auto"/>
        <w:bottom w:val="none" w:sz="0" w:space="0" w:color="auto"/>
        <w:right w:val="none" w:sz="0" w:space="0" w:color="auto"/>
      </w:divBdr>
    </w:div>
    <w:div w:id="2121796109">
      <w:bodyDiv w:val="1"/>
      <w:marLeft w:val="0"/>
      <w:marRight w:val="0"/>
      <w:marTop w:val="0"/>
      <w:marBottom w:val="0"/>
      <w:divBdr>
        <w:top w:val="none" w:sz="0" w:space="0" w:color="auto"/>
        <w:left w:val="none" w:sz="0" w:space="0" w:color="auto"/>
        <w:bottom w:val="none" w:sz="0" w:space="0" w:color="auto"/>
        <w:right w:val="none" w:sz="0" w:space="0" w:color="auto"/>
      </w:divBdr>
    </w:div>
    <w:div w:id="212218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mailto:GoTechnology.Support@woodplc.com"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otechnology.github.io/"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7.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2.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_rels/header2.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Custom 4">
      <a:dk1>
        <a:sysClr val="windowText" lastClr="000000"/>
      </a:dk1>
      <a:lt1>
        <a:sysClr val="window" lastClr="FFFFFF"/>
      </a:lt1>
      <a:dk2>
        <a:srgbClr val="233845"/>
      </a:dk2>
      <a:lt2>
        <a:srgbClr val="E4E5E6"/>
      </a:lt2>
      <a:accent1>
        <a:srgbClr val="88C540"/>
      </a:accent1>
      <a:accent2>
        <a:srgbClr val="2DBDB6"/>
      </a:accent2>
      <a:accent3>
        <a:srgbClr val="884C91"/>
      </a:accent3>
      <a:accent4>
        <a:srgbClr val="233845"/>
      </a:accent4>
      <a:accent5>
        <a:srgbClr val="BFC2C8"/>
      </a:accent5>
      <a:accent6>
        <a:srgbClr val="884C91"/>
      </a:accent6>
      <a:hlink>
        <a:srgbClr val="884C91"/>
      </a:hlink>
      <a:folHlink>
        <a:srgbClr val="2DBDB6"/>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B157BD05F2440419AB1FD48A2378BAB" ma:contentTypeVersion="5" ma:contentTypeDescription="Create a new document." ma:contentTypeScope="" ma:versionID="24d9f2d07237264d120e5209cc111244">
  <xsd:schema xmlns:xsd="http://www.w3.org/2001/XMLSchema" xmlns:xs="http://www.w3.org/2001/XMLSchema" xmlns:p="http://schemas.microsoft.com/office/2006/metadata/properties" xmlns:ns2="http://schemas.microsoft.com/sharepoint/v3/fields" targetNamespace="http://schemas.microsoft.com/office/2006/metadata/properties" ma:root="true" ma:fieldsID="ea0a8a0456d8961372683f4f1f16e3ef" ns2:_="">
    <xsd:import namespace="http://schemas.microsoft.com/sharepoint/v3/fields"/>
    <xsd:element name="properties">
      <xsd:complexType>
        <xsd:sequence>
          <xsd:element name="documentManagement">
            <xsd:complexType>
              <xsd:all>
                <xsd:element ref="ns2:_Vers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Version" ma:index="8" nillable="true" ma:displayName="Version" ma:internalName="_Vers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Version xmlns="http://schemas.microsoft.com/sharepoint/v3/fields"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Sch14</b:Tag>
    <b:SourceType>BookSection</b:SourceType>
    <b:Guid>{62C5F554-A11B-4AE4-A88F-0EE74541F0E8}</b:Guid>
    <b:Author>
      <b:Author>
        <b:NameList>
          <b:Person>
            <b:Last>Schuetter</b:Last>
            <b:First>Natalie</b:First>
          </b:Person>
        </b:NameList>
      </b:Author>
    </b:Author>
    <b:Title>qedi Branding Document - Guideline on How to Use our Brand</b:Title>
    <b:Year>2014</b:Year>
    <b:City>Aberdeen</b:City>
    <b:Publisher>qedi</b:Publisher>
    <b:Pages>3</b:Pages>
    <b:Month>11</b:Month>
    <b:Day>14</b:Day>
    <b:RefOrder>1</b:RefOrder>
  </b:Source>
  <b:Source>
    <b:Tag>YSh05</b:Tag>
    <b:SourceType>DocumentFromInternetSite</b:SourceType>
    <b:Guid>{48D63323-41BE-41E4-A187-9BF167E97946}</b:Guid>
    <b:Title>Common Format and MIME Type for Comma-Separated Values (CSV) Files</b:Title>
    <b:Year>2005</b:Year>
    <b:Month>October</b:Month>
    <b:Day>1</b:Day>
    <b:InternetSiteTitle>IETF Tools</b:InternetSiteTitle>
    <b:URL>https://tools.ietf.org/html/rfc4180</b:URL>
    <b:LCID>en-US</b:LCID>
    <b:Author>
      <b:Author>
        <b:NameList>
          <b:Person>
            <b:Last>Shafranovich</b:Last>
            <b:First>Y.</b:First>
          </b:Person>
        </b:NameList>
      </b:Author>
    </b:Author>
    <b:RefOrder>4</b:RefOrder>
  </b:Source>
  <b:Source>
    <b:Tag>Ale17</b:Tag>
    <b:SourceType>InternetSite</b:SourceType>
    <b:Guid>{2BFA7D6F-3577-4632-A7D1-844C4BAF23AD}</b:Guid>
    <b:Title>Date and time input types.</b:Title>
    <b:InternetSiteTitle>Can I use...</b:InternetSiteTitle>
    <b:Year>2017</b:Year>
    <b:Month>March</b:Month>
    <b:Day>1</b:Day>
    <b:URL>http://www.caniuse.com/#search=date</b:URL>
    <b:Author>
      <b:Author>
        <b:NameList>
          <b:Person>
            <b:Last>Deveria</b:Last>
            <b:First>Alexis</b:First>
          </b:Person>
        </b:NameList>
      </b:Author>
    </b:Author>
    <b:RefOrder>5</b:RefOrder>
  </b:Source>
  <b:Source>
    <b:Tag>POS96</b:Tag>
    <b:SourceType>InternetSite</b:SourceType>
    <b:Guid>{6F071CB2-6566-4BF1-9176-02FB8756AD56}</b:Guid>
    <b:LCID>en-US</b:LCID>
    <b:Author>
      <b:Author>
        <b:Corporate>POSC Caesar Association</b:Corporate>
      </b:Author>
    </b:Author>
    <b:Title>Change Request</b:Title>
    <b:InternetSiteTitle>Reference Data Library</b:InternetSiteTitle>
    <b:Year>1996</b:Year>
    <b:Month>December</b:Month>
    <b:Day>4</b:Day>
    <b:URL>http://data.posccaesar.org/rdl/RDS334619</b:URL>
    <b:RefOrder>6</b:RefOrder>
  </b:Source>
  <b:Source>
    <b:Tag>Pro06</b:Tag>
    <b:SourceType>InternetSite</b:SourceType>
    <b:Guid>{67D420E5-AF52-4CBA-BE6A-B46BF3921D88}</b:Guid>
    <b:LCID>en-US</b:LCID>
    <b:Author>
      <b:Author>
        <b:Corporate>Project Management Institute, Inc.</b:Corporate>
      </b:Author>
    </b:Author>
    <b:Title>Work Breakdown Structure Practice Standard</b:Title>
    <b:InternetSiteTitle>Project Management Institue</b:InternetSiteTitle>
    <b:Year>2006</b:Year>
    <b:Month>October</b:Month>
    <b:Day>1</b:Day>
    <b:URL>https://www.pmi.org/pmbok-guide-standards/framework/practice-standard-work-breakdown-structures-2nd-edition</b:URL>
    <b:RefOrder>3</b:RefOrder>
  </b:Source>
  <b:Source>
    <b:Tag>Pre17</b:Tag>
    <b:SourceType>InternetSite</b:SourceType>
    <b:Guid>{0438F370-7380-4CAC-9A41-86DC3989A41D}</b:Guid>
    <b:LCID>en-GB</b:LCID>
    <b:Author>
      <b:Author>
        <b:NameList>
          <b:Person>
            <b:Last>Preston-Werner</b:Last>
            <b:First>Tom</b:First>
          </b:Person>
        </b:NameList>
      </b:Author>
    </b:Author>
    <b:Title>Semantic Versioning 2.0.0</b:Title>
    <b:InternetSiteTitle>Semantic Versioning</b:InternetSiteTitle>
    <b:Year>2017</b:Year>
    <b:Month>July</b:Month>
    <b:Day>18</b:Day>
    <b:URL>http://semver.org/spec/v2.0.0.html</b:URL>
    <b:RefOrder>2</b:RefOrder>
  </b:Source>
  <b:Source>
    <b:Tag>But06</b:Tag>
    <b:SourceType>Report</b:SourceType>
    <b:Guid>{71541CA8-805B-4489-AA31-8F9989E4FF08}</b:Guid>
    <b:Title>The International System of Units (SI) – Conversion Factors for General Use</b:Title>
    <b:Year>2006</b:Year>
    <b:URL>https://www.nist.gov/sites/default/files/documents/pml/wmd/metric/SP1038.pdf</b:URL>
    <b:Publisher>National Institute of Standards and Technology</b:Publisher>
    <b:City>Gaithersburg, Maryland, USA</b:City>
    <b:Author>
      <b:Author>
        <b:NameList>
          <b:Person>
            <b:Last>Butcher</b:Last>
            <b:First>Kenneth</b:First>
          </b:Person>
          <b:Person>
            <b:Last>Crown</b:Last>
            <b:First>Linda</b:First>
          </b:Person>
          <b:Person>
            <b:Last>Gentry</b:Last>
            <b:Middle>J.</b:Middle>
            <b:First>Elizabeth</b:First>
          </b:Person>
        </b:NameList>
      </b:Author>
    </b:Author>
    <b:Department>Weights and Measures Division</b:Department>
    <b:Institution>National Institute of Standards and Technology</b:Institution>
    <b:Pages>27</b:Pages>
    <b:Medium>Document</b:Medium>
    <b:YearAccessed>2017</b:YearAccessed>
    <b:MonthAccessed>08</b:MonthAccessed>
    <b:DayAccessed>11</b:DayAccessed>
    <b:RefOrder>7</b:RefOrder>
  </b:Source>
</b:Sources>
</file>

<file path=customXml/itemProps1.xml><?xml version="1.0" encoding="utf-8"?>
<ds:datastoreItem xmlns:ds="http://schemas.openxmlformats.org/officeDocument/2006/customXml" ds:itemID="{C984664E-B709-478A-93DA-AD860FED8C08}">
  <ds:schemaRefs>
    <ds:schemaRef ds:uri="http://schemas.microsoft.com/sharepoint/v3/contenttype/forms"/>
  </ds:schemaRefs>
</ds:datastoreItem>
</file>

<file path=customXml/itemProps2.xml><?xml version="1.0" encoding="utf-8"?>
<ds:datastoreItem xmlns:ds="http://schemas.openxmlformats.org/officeDocument/2006/customXml" ds:itemID="{0FB29EBB-BEEA-4A7A-AD24-1B8958326D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8794FE2-D1D9-4DED-B536-5BE6C6A8A698}">
  <ds:schemaRefs>
    <ds:schemaRef ds:uri="http://purl.org/dc/terms/"/>
    <ds:schemaRef ds:uri="http://schemas.microsoft.com/office/2006/documentManagement/types"/>
    <ds:schemaRef ds:uri="http://purl.org/dc/dcmitype/"/>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schemas.microsoft.com/sharepoint/v3/fields"/>
    <ds:schemaRef ds:uri="http://www.w3.org/XML/1998/namespace"/>
  </ds:schemaRefs>
</ds:datastoreItem>
</file>

<file path=customXml/itemProps4.xml><?xml version="1.0" encoding="utf-8"?>
<ds:datastoreItem xmlns:ds="http://schemas.openxmlformats.org/officeDocument/2006/customXml" ds:itemID="{AA1C9F7C-0BA9-4ED4-A05D-4630117CD9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1739</Words>
  <Characters>8852</Characters>
  <Application>Microsoft Office Word</Application>
  <DocSecurity>0</DocSecurity>
  <Lines>73</Lines>
  <Paragraphs>21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10570</CharactersWithSpaces>
  <SharedDoc>false</SharedDoc>
  <HLinks>
    <vt:vector size="78" baseType="variant">
      <vt:variant>
        <vt:i4>1703999</vt:i4>
      </vt:variant>
      <vt:variant>
        <vt:i4>80</vt:i4>
      </vt:variant>
      <vt:variant>
        <vt:i4>0</vt:i4>
      </vt:variant>
      <vt:variant>
        <vt:i4>5</vt:i4>
      </vt:variant>
      <vt:variant>
        <vt:lpwstr/>
      </vt:variant>
      <vt:variant>
        <vt:lpwstr>_Toc348524687</vt:lpwstr>
      </vt:variant>
      <vt:variant>
        <vt:i4>1703999</vt:i4>
      </vt:variant>
      <vt:variant>
        <vt:i4>71</vt:i4>
      </vt:variant>
      <vt:variant>
        <vt:i4>0</vt:i4>
      </vt:variant>
      <vt:variant>
        <vt:i4>5</vt:i4>
      </vt:variant>
      <vt:variant>
        <vt:lpwstr/>
      </vt:variant>
      <vt:variant>
        <vt:lpwstr>_Toc348524685</vt:lpwstr>
      </vt:variant>
      <vt:variant>
        <vt:i4>1703999</vt:i4>
      </vt:variant>
      <vt:variant>
        <vt:i4>65</vt:i4>
      </vt:variant>
      <vt:variant>
        <vt:i4>0</vt:i4>
      </vt:variant>
      <vt:variant>
        <vt:i4>5</vt:i4>
      </vt:variant>
      <vt:variant>
        <vt:lpwstr/>
      </vt:variant>
      <vt:variant>
        <vt:lpwstr>_Toc348524684</vt:lpwstr>
      </vt:variant>
      <vt:variant>
        <vt:i4>1376318</vt:i4>
      </vt:variant>
      <vt:variant>
        <vt:i4>56</vt:i4>
      </vt:variant>
      <vt:variant>
        <vt:i4>0</vt:i4>
      </vt:variant>
      <vt:variant>
        <vt:i4>5</vt:i4>
      </vt:variant>
      <vt:variant>
        <vt:lpwstr/>
      </vt:variant>
      <vt:variant>
        <vt:lpwstr>_Toc348524774</vt:lpwstr>
      </vt:variant>
      <vt:variant>
        <vt:i4>1376318</vt:i4>
      </vt:variant>
      <vt:variant>
        <vt:i4>50</vt:i4>
      </vt:variant>
      <vt:variant>
        <vt:i4>0</vt:i4>
      </vt:variant>
      <vt:variant>
        <vt:i4>5</vt:i4>
      </vt:variant>
      <vt:variant>
        <vt:lpwstr/>
      </vt:variant>
      <vt:variant>
        <vt:lpwstr>_Toc348524773</vt:lpwstr>
      </vt:variant>
      <vt:variant>
        <vt:i4>1376318</vt:i4>
      </vt:variant>
      <vt:variant>
        <vt:i4>44</vt:i4>
      </vt:variant>
      <vt:variant>
        <vt:i4>0</vt:i4>
      </vt:variant>
      <vt:variant>
        <vt:i4>5</vt:i4>
      </vt:variant>
      <vt:variant>
        <vt:lpwstr/>
      </vt:variant>
      <vt:variant>
        <vt:lpwstr>_Toc348524772</vt:lpwstr>
      </vt:variant>
      <vt:variant>
        <vt:i4>1376318</vt:i4>
      </vt:variant>
      <vt:variant>
        <vt:i4>38</vt:i4>
      </vt:variant>
      <vt:variant>
        <vt:i4>0</vt:i4>
      </vt:variant>
      <vt:variant>
        <vt:i4>5</vt:i4>
      </vt:variant>
      <vt:variant>
        <vt:lpwstr/>
      </vt:variant>
      <vt:variant>
        <vt:lpwstr>_Toc348524771</vt:lpwstr>
      </vt:variant>
      <vt:variant>
        <vt:i4>1376318</vt:i4>
      </vt:variant>
      <vt:variant>
        <vt:i4>32</vt:i4>
      </vt:variant>
      <vt:variant>
        <vt:i4>0</vt:i4>
      </vt:variant>
      <vt:variant>
        <vt:i4>5</vt:i4>
      </vt:variant>
      <vt:variant>
        <vt:lpwstr/>
      </vt:variant>
      <vt:variant>
        <vt:lpwstr>_Toc348524770</vt:lpwstr>
      </vt:variant>
      <vt:variant>
        <vt:i4>1310782</vt:i4>
      </vt:variant>
      <vt:variant>
        <vt:i4>26</vt:i4>
      </vt:variant>
      <vt:variant>
        <vt:i4>0</vt:i4>
      </vt:variant>
      <vt:variant>
        <vt:i4>5</vt:i4>
      </vt:variant>
      <vt:variant>
        <vt:lpwstr/>
      </vt:variant>
      <vt:variant>
        <vt:lpwstr>_Toc348524769</vt:lpwstr>
      </vt:variant>
      <vt:variant>
        <vt:i4>1310782</vt:i4>
      </vt:variant>
      <vt:variant>
        <vt:i4>20</vt:i4>
      </vt:variant>
      <vt:variant>
        <vt:i4>0</vt:i4>
      </vt:variant>
      <vt:variant>
        <vt:i4>5</vt:i4>
      </vt:variant>
      <vt:variant>
        <vt:lpwstr/>
      </vt:variant>
      <vt:variant>
        <vt:lpwstr>_Toc348524768</vt:lpwstr>
      </vt:variant>
      <vt:variant>
        <vt:i4>1310782</vt:i4>
      </vt:variant>
      <vt:variant>
        <vt:i4>14</vt:i4>
      </vt:variant>
      <vt:variant>
        <vt:i4>0</vt:i4>
      </vt:variant>
      <vt:variant>
        <vt:i4>5</vt:i4>
      </vt:variant>
      <vt:variant>
        <vt:lpwstr/>
      </vt:variant>
      <vt:variant>
        <vt:lpwstr>_Toc348524767</vt:lpwstr>
      </vt:variant>
      <vt:variant>
        <vt:i4>1310782</vt:i4>
      </vt:variant>
      <vt:variant>
        <vt:i4>8</vt:i4>
      </vt:variant>
      <vt:variant>
        <vt:i4>0</vt:i4>
      </vt:variant>
      <vt:variant>
        <vt:i4>5</vt:i4>
      </vt:variant>
      <vt:variant>
        <vt:lpwstr/>
      </vt:variant>
      <vt:variant>
        <vt:lpwstr>_Toc348524766</vt:lpwstr>
      </vt:variant>
      <vt:variant>
        <vt:i4>1310782</vt:i4>
      </vt:variant>
      <vt:variant>
        <vt:i4>2</vt:i4>
      </vt:variant>
      <vt:variant>
        <vt:i4>0</vt:i4>
      </vt:variant>
      <vt:variant>
        <vt:i4>5</vt:i4>
      </vt:variant>
      <vt:variant>
        <vt:lpwstr/>
      </vt:variant>
      <vt:variant>
        <vt:lpwstr>_Toc348524765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2019-03-26T13:40:00Z</dcterms:created>
  <dcterms:modified xsi:type="dcterms:W3CDTF">2019-10-25T13:28:00Z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0x010100DB157BD05F2440419AB1FD48A2378BAB</vt:lpwstr>
  </property>
</Properties>
</file>